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10180" w:type="dxa"/>
            <w:vAlign w:val="bottom"/>
            <w:gridSpan w:val="3"/>
          </w:tcPr>
          <w:p>
            <w:pPr>
              <w:jc w:val="center"/>
              <w:ind w:left="975"/>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7560" w:type="dxa"/>
            <w:vAlign w:val="bottom"/>
            <w:gridSpan w:val="2"/>
          </w:tcPr>
          <w:p>
            <w:pPr>
              <w:jc w:val="center"/>
              <w:ind w:right="1456"/>
              <w:spacing w:after="0" w:line="241" w:lineRule="exact"/>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447"/>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32"/>
                <w:szCs w:val="32"/>
                <w:b w:val="1"/>
                <w:bCs w:val="1"/>
                <w:color w:val="auto"/>
              </w:rPr>
              <w:t>FORM 10-K</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4"/>
                <w:szCs w:val="14"/>
                <w:color w:val="auto"/>
              </w:rPr>
              <w:t>(Mark One)</w:t>
            </w:r>
          </w:p>
        </w:tc>
        <w:tc>
          <w:tcPr>
            <w:tcW w:w="4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6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560" w:type="dxa"/>
            <w:vAlign w:val="bottom"/>
            <w:gridSpan w:val="2"/>
          </w:tcPr>
          <w:p>
            <w:pPr>
              <w:jc w:val="center"/>
              <w:ind w:right="1536"/>
              <w:spacing w:after="0"/>
              <w:rPr>
                <w:sz w:val="20"/>
                <w:szCs w:val="20"/>
                <w:color w:val="auto"/>
              </w:rPr>
            </w:pPr>
            <w:r>
              <w:rPr>
                <w:rFonts w:ascii="Arial" w:cs="Arial" w:eastAsia="Arial" w:hAnsi="Arial"/>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 the fiscal year ended December 31, 2024</w:t>
            </w:r>
          </w:p>
        </w:tc>
        <w:tc>
          <w:tcPr>
            <w:tcW w:w="0" w:type="dxa"/>
            <w:vAlign w:val="bottom"/>
          </w:tcPr>
          <w:p>
            <w:pPr>
              <w:spacing w:after="0"/>
              <w:rPr>
                <w:sz w:val="1"/>
                <w:szCs w:val="1"/>
                <w:color w:val="auto"/>
              </w:rPr>
            </w:pPr>
          </w:p>
        </w:tc>
      </w:tr>
      <w:tr>
        <w:trPr>
          <w:trHeight w:val="230"/>
        </w:trPr>
        <w:tc>
          <w:tcPr>
            <w:tcW w:w="26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9"/>
              </w:rPr>
              <w:t>or</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7560" w:type="dxa"/>
            <w:vAlign w:val="bottom"/>
            <w:gridSpan w:val="2"/>
          </w:tcPr>
          <w:p>
            <w:pPr>
              <w:jc w:val="center"/>
              <w:ind w:right="1536"/>
              <w:spacing w:after="0" w:line="189" w:lineRule="exact"/>
              <w:rPr>
                <w:sz w:val="20"/>
                <w:szCs w:val="20"/>
                <w:color w:val="auto"/>
              </w:rPr>
            </w:pPr>
            <w:r>
              <w:rPr>
                <w:rFonts w:ascii="Arial" w:cs="Arial" w:eastAsia="Arial" w:hAnsi="Arial"/>
                <w:sz w:val="18"/>
                <w:szCs w:val="18"/>
                <w:b w:val="1"/>
                <w:bCs w:val="1"/>
                <w:color w:val="auto"/>
                <w:w w:val="99"/>
              </w:rPr>
              <w:t>TRANSITION REPORT PURSUANT TO SECTION 13 OR 15(d) OF THE</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1"/>
                <w:szCs w:val="21"/>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4140" w:type="dxa"/>
            <w:vAlign w:val="bottom"/>
          </w:tcPr>
          <w:p>
            <w:pPr>
              <w:ind w:left="1180"/>
              <w:spacing w:after="0"/>
              <w:rPr>
                <w:sz w:val="20"/>
                <w:szCs w:val="20"/>
                <w:color w:val="auto"/>
              </w:rPr>
            </w:pPr>
            <w:r>
              <w:rPr>
                <w:rFonts w:ascii="Arial" w:cs="Arial" w:eastAsia="Arial" w:hAnsi="Arial"/>
                <w:sz w:val="18"/>
                <w:szCs w:val="18"/>
                <w:b w:val="1"/>
                <w:bCs w:val="1"/>
                <w:color w:val="auto"/>
              </w:rPr>
              <w:t>For the transition period from</w:t>
            </w:r>
          </w:p>
        </w:tc>
        <w:tc>
          <w:tcPr>
            <w:tcW w:w="342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7560" w:type="dxa"/>
            <w:vAlign w:val="bottom"/>
            <w:gridSpan w:val="2"/>
          </w:tcPr>
          <w:p>
            <w:pPr>
              <w:jc w:val="center"/>
              <w:ind w:right="1476"/>
              <w:spacing w:after="0"/>
              <w:rPr>
                <w:sz w:val="20"/>
                <w:szCs w:val="20"/>
                <w:color w:val="auto"/>
              </w:rPr>
            </w:pPr>
            <w:r>
              <w:rPr>
                <w:rFonts w:ascii="Arial" w:cs="Arial" w:eastAsia="Arial" w:hAnsi="Arial"/>
                <w:sz w:val="18"/>
                <w:szCs w:val="18"/>
                <w:b w:val="1"/>
                <w:bCs w:val="1"/>
                <w:color w:val="auto"/>
              </w:rPr>
              <w:t>Commission file number: 1-35229</w:t>
            </w:r>
          </w:p>
        </w:tc>
        <w:tc>
          <w:tcPr>
            <w:tcW w:w="0" w:type="dxa"/>
            <w:vAlign w:val="bottom"/>
          </w:tcPr>
          <w:p>
            <w:pPr>
              <w:spacing w:after="0"/>
              <w:rPr>
                <w:sz w:val="1"/>
                <w:szCs w:val="1"/>
                <w:color w:val="auto"/>
              </w:rPr>
            </w:pPr>
          </w:p>
        </w:tc>
      </w:tr>
      <w:tr>
        <w:trPr>
          <w:trHeight w:val="538"/>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43"/>
                <w:szCs w:val="43"/>
                <w:b w:val="1"/>
                <w:bCs w:val="1"/>
                <w:color w:val="auto"/>
              </w:rPr>
              <w:t>Xylem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7560" w:type="dxa"/>
            <w:vAlign w:val="bottom"/>
            <w:gridSpan w:val="2"/>
          </w:tcPr>
          <w:p>
            <w:pPr>
              <w:jc w:val="center"/>
              <w:ind w:right="1456"/>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0" w:type="dxa"/>
            <w:vAlign w:val="bottom"/>
          </w:tcPr>
          <w:p>
            <w:pPr>
              <w:spacing w:after="0"/>
              <w:rPr>
                <w:sz w:val="1"/>
                <w:szCs w:val="1"/>
                <w:color w:val="auto"/>
              </w:rPr>
            </w:pPr>
          </w:p>
        </w:tc>
      </w:tr>
      <w:tr>
        <w:trPr>
          <w:trHeight w:val="353"/>
        </w:trPr>
        <w:tc>
          <w:tcPr>
            <w:tcW w:w="2620" w:type="dxa"/>
            <w:vAlign w:val="bottom"/>
          </w:tcPr>
          <w:p>
            <w:pPr>
              <w:jc w:val="center"/>
              <w:ind w:left="1595"/>
              <w:spacing w:after="0"/>
              <w:rPr>
                <w:sz w:val="20"/>
                <w:szCs w:val="20"/>
                <w:color w:val="auto"/>
              </w:rPr>
            </w:pPr>
            <w:r>
              <w:rPr>
                <w:rFonts w:ascii="Arial" w:cs="Arial" w:eastAsia="Arial" w:hAnsi="Arial"/>
                <w:sz w:val="18"/>
                <w:szCs w:val="18"/>
                <w:b w:val="1"/>
                <w:bCs w:val="1"/>
                <w:color w:val="auto"/>
                <w:w w:val="98"/>
              </w:rPr>
              <w:t>Indiana</w:t>
            </w:r>
          </w:p>
        </w:tc>
        <w:tc>
          <w:tcPr>
            <w:tcW w:w="4140" w:type="dxa"/>
            <w:vAlign w:val="bottom"/>
          </w:tcPr>
          <w:p>
            <w:pPr>
              <w:spacing w:after="0"/>
              <w:rPr>
                <w:sz w:val="24"/>
                <w:szCs w:val="24"/>
                <w:color w:val="auto"/>
              </w:rPr>
            </w:pPr>
          </w:p>
        </w:tc>
        <w:tc>
          <w:tcPr>
            <w:tcW w:w="3420" w:type="dxa"/>
            <w:vAlign w:val="bottom"/>
          </w:tcPr>
          <w:p>
            <w:pPr>
              <w:jc w:val="right"/>
              <w:ind w:right="536"/>
              <w:spacing w:after="0"/>
              <w:rPr>
                <w:sz w:val="20"/>
                <w:szCs w:val="20"/>
                <w:color w:val="auto"/>
              </w:rPr>
            </w:pPr>
            <w:r>
              <w:rPr>
                <w:rFonts w:ascii="Arial" w:cs="Arial" w:eastAsia="Arial" w:hAnsi="Arial"/>
                <w:sz w:val="18"/>
                <w:szCs w:val="18"/>
                <w:b w:val="1"/>
                <w:bCs w:val="1"/>
                <w:color w:val="auto"/>
              </w:rPr>
              <w:t>45-2080495</w:t>
            </w:r>
          </w:p>
        </w:tc>
        <w:tc>
          <w:tcPr>
            <w:tcW w:w="0" w:type="dxa"/>
            <w:vAlign w:val="bottom"/>
          </w:tcPr>
          <w:p>
            <w:pPr>
              <w:spacing w:after="0"/>
              <w:rPr>
                <w:sz w:val="1"/>
                <w:szCs w:val="1"/>
                <w:color w:val="auto"/>
              </w:rPr>
            </w:pPr>
          </w:p>
        </w:tc>
      </w:tr>
      <w:tr>
        <w:trPr>
          <w:trHeight w:val="148"/>
        </w:trPr>
        <w:tc>
          <w:tcPr>
            <w:tcW w:w="6760" w:type="dxa"/>
            <w:vAlign w:val="bottom"/>
            <w:gridSpan w:val="2"/>
          </w:tcPr>
          <w:p>
            <w:pPr>
              <w:jc w:val="center"/>
              <w:ind w:right="2372"/>
              <w:spacing w:after="0" w:line="149" w:lineRule="exact"/>
              <w:rPr>
                <w:sz w:val="20"/>
                <w:szCs w:val="20"/>
                <w:color w:val="auto"/>
              </w:rPr>
            </w:pPr>
            <w:r>
              <w:rPr>
                <w:rFonts w:ascii="Arial" w:cs="Arial" w:eastAsia="Arial" w:hAnsi="Arial"/>
                <w:sz w:val="14"/>
                <w:szCs w:val="14"/>
                <w:i w:val="1"/>
                <w:iCs w:val="1"/>
                <w:color w:val="auto"/>
              </w:rPr>
              <w:t>(State or other jurisdiction of incorporation or</w:t>
            </w:r>
          </w:p>
        </w:tc>
        <w:tc>
          <w:tcPr>
            <w:tcW w:w="3420" w:type="dxa"/>
            <w:vAlign w:val="bottom"/>
          </w:tcPr>
          <w:p>
            <w:pPr>
              <w:jc w:val="center"/>
              <w:ind w:left="1136"/>
              <w:spacing w:after="0" w:line="149" w:lineRule="exact"/>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188"/>
        </w:trPr>
        <w:tc>
          <w:tcPr>
            <w:tcW w:w="2620" w:type="dxa"/>
            <w:vAlign w:val="bottom"/>
          </w:tcPr>
          <w:p>
            <w:pPr>
              <w:jc w:val="center"/>
              <w:ind w:left="1595"/>
              <w:spacing w:after="0"/>
              <w:rPr>
                <w:sz w:val="20"/>
                <w:szCs w:val="20"/>
                <w:color w:val="auto"/>
              </w:rPr>
            </w:pPr>
            <w:r>
              <w:rPr>
                <w:rFonts w:ascii="Arial" w:cs="Arial" w:eastAsia="Arial" w:hAnsi="Arial"/>
                <w:sz w:val="14"/>
                <w:szCs w:val="14"/>
                <w:i w:val="1"/>
                <w:iCs w:val="1"/>
                <w:color w:val="auto"/>
              </w:rPr>
              <w:t>organization)</w:t>
            </w:r>
          </w:p>
        </w:tc>
        <w:tc>
          <w:tcPr>
            <w:tcW w:w="41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40" w:type="dxa"/>
            <w:vAlign w:val="bottom"/>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660" w:type="dxa"/>
            <w:vAlign w:val="bottom"/>
          </w:tcPr>
          <w:p>
            <w:pPr>
              <w:jc w:val="center"/>
              <w:ind w:left="8"/>
              <w:spacing w:after="0"/>
              <w:rPr>
                <w:sz w:val="20"/>
                <w:szCs w:val="20"/>
                <w:color w:val="auto"/>
              </w:rPr>
            </w:pPr>
            <w:r>
              <w:rPr>
                <w:rFonts w:ascii="Arial" w:cs="Arial" w:eastAsia="Arial" w:hAnsi="Arial"/>
                <w:sz w:val="14"/>
                <w:szCs w:val="14"/>
                <w:color w:val="auto"/>
                <w:w w:val="98"/>
              </w:rPr>
              <w:t>XYL</w:t>
            </w:r>
          </w:p>
        </w:tc>
        <w:tc>
          <w:tcPr>
            <w:tcW w:w="43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3" w:lineRule="exact"/>
        <w:rPr>
          <w:sz w:val="24"/>
          <w:szCs w:val="24"/>
          <w:color w:val="auto"/>
        </w:rPr>
      </w:pPr>
    </w:p>
    <w:p>
      <w:pPr>
        <w:ind w:right="2020"/>
        <w:spacing w:after="0" w:line="27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00"/>
        <w:spacing w:after="0" w:line="20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right="620"/>
        <w:spacing w:after="0" w:line="260" w:lineRule="auto"/>
        <w:rPr>
          <w:sz w:val="20"/>
          <w:szCs w:val="20"/>
          <w:color w:val="auto"/>
        </w:rPr>
      </w:pPr>
      <w:r>
        <w:rPr>
          <w:rFonts w:ascii="Arial" w:cs="Arial" w:eastAsia="Arial" w:hAnsi="Arial"/>
          <w:sz w:val="15"/>
          <w:szCs w:val="15"/>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4" w:lineRule="exact"/>
        <w:rPr>
          <w:sz w:val="24"/>
          <w:szCs w:val="24"/>
          <w:color w:val="auto"/>
        </w:rPr>
      </w:pPr>
    </w:p>
    <w:p>
      <w:pPr>
        <w:jc w:val="both"/>
        <w:ind w:right="300"/>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37" w:lineRule="exact"/>
        <w:rPr>
          <w:sz w:val="24"/>
          <w:szCs w:val="24"/>
          <w:color w:val="auto"/>
        </w:rPr>
      </w:pPr>
    </w:p>
    <w:p>
      <w:pPr>
        <w:spacing w:after="0" w:line="173" w:lineRule="exact"/>
        <w:tabs>
          <w:tab w:leader="none" w:pos="2120" w:val="left"/>
          <w:tab w:leader="none" w:pos="3820" w:val="left"/>
          <w:tab w:leader="none" w:pos="5980" w:val="left"/>
          <w:tab w:leader="none" w:pos="81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ab/>
        <w:t xml:space="preserve">Emerging growth company </w:t>
      </w:r>
      <w:r>
        <w:rPr>
          <w:rFonts w:ascii="MS PGothic" w:cs="MS PGothic" w:eastAsia="MS PGothic" w:hAnsi="MS PGothic"/>
          <w:sz w:val="15"/>
          <w:szCs w:val="15"/>
          <w:color w:val="auto"/>
        </w:rPr>
        <w:t>☐</w:t>
      </w:r>
    </w:p>
    <w:p>
      <w:pPr>
        <w:spacing w:after="0" w:line="147" w:lineRule="exact"/>
        <w:rPr>
          <w:sz w:val="24"/>
          <w:szCs w:val="24"/>
          <w:color w:val="auto"/>
        </w:rPr>
      </w:pPr>
    </w:p>
    <w:p>
      <w:pPr>
        <w:ind w:right="22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5" w:lineRule="exact"/>
        <w:rPr>
          <w:sz w:val="24"/>
          <w:szCs w:val="24"/>
          <w:color w:val="auto"/>
        </w:rPr>
      </w:pPr>
    </w:p>
    <w:p>
      <w:pPr>
        <w:ind w:right="340"/>
        <w:spacing w:after="0" w:line="19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right="200"/>
        <w:spacing w:after="0" w:line="206"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75" w:lineRule="exact"/>
        <w:rPr>
          <w:sz w:val="24"/>
          <w:szCs w:val="24"/>
          <w:color w:val="auto"/>
        </w:rPr>
      </w:pPr>
    </w:p>
    <w:p>
      <w:pPr>
        <w:ind w:right="40"/>
        <w:spacing w:after="0" w:line="19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ind w:right="220"/>
        <w:spacing w:after="0" w:line="301" w:lineRule="auto"/>
        <w:rPr>
          <w:sz w:val="20"/>
          <w:szCs w:val="20"/>
          <w:color w:val="auto"/>
        </w:rPr>
      </w:pPr>
      <w:r>
        <w:rPr>
          <w:rFonts w:ascii="Arial" w:cs="Arial" w:eastAsia="Arial" w:hAnsi="Arial"/>
          <w:sz w:val="15"/>
          <w:szCs w:val="15"/>
          <w:color w:val="auto"/>
        </w:rPr>
        <w:t>The aggregate market value of the common stock of the registrant held by non-affiliates of the registrant as of June 30, 2024 was approximately $32.8 billion. As of February 28, 2025, there were 243,046,226 outstanding shares of the registrant’s common stock, par value $0.01 per share.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 w:lineRule="exact"/>
        <w:rPr>
          <w:sz w:val="24"/>
          <w:szCs w:val="24"/>
          <w:color w:val="auto"/>
        </w:rPr>
      </w:pPr>
    </w:p>
    <w:p>
      <w:pPr>
        <w:ind w:right="200"/>
        <w:spacing w:after="0" w:line="282" w:lineRule="auto"/>
        <w:rPr>
          <w:sz w:val="20"/>
          <w:szCs w:val="20"/>
          <w:color w:val="auto"/>
        </w:rPr>
      </w:pPr>
      <w:r>
        <w:rPr>
          <w:rFonts w:ascii="Arial" w:cs="Arial" w:eastAsia="Arial" w:hAnsi="Arial"/>
          <w:sz w:val="15"/>
          <w:szCs w:val="15"/>
          <w:color w:val="auto"/>
        </w:rPr>
        <w:t>Portions of the registrant’s definitive proxy statement for its 2025 Annual Meeting of Shareowners, to be held in May 2025, are incorporated by reference into Part II and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20" w:type="dxa"/>
            <w:vAlign w:val="bottom"/>
            <w:gridSpan w:val="8"/>
          </w:tcPr>
          <w:p>
            <w:pPr>
              <w:jc w:val="center"/>
              <w:ind w:right="4280"/>
              <w:spacing w:after="0"/>
              <w:rPr>
                <w:sz w:val="20"/>
                <w:szCs w:val="20"/>
                <w:color w:val="auto"/>
              </w:rPr>
            </w:pPr>
            <w:r>
              <w:rPr>
                <w:rFonts w:ascii="Arial" w:cs="Arial" w:eastAsia="Arial" w:hAnsi="Arial"/>
                <w:sz w:val="18"/>
                <w:szCs w:val="18"/>
                <w:b w:val="1"/>
                <w:bCs w:val="1"/>
                <w:color w:val="auto"/>
                <w:w w:val="98"/>
              </w:rPr>
              <w:t>Xylem Inc.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2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ANNUAL REPORT ON FORM 10-K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2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rPr>
              <w:t>For the fiscal year ended December 31, 2024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restart"/>
          </w:tcPr>
          <w:p>
            <w:pPr>
              <w:jc w:val="center"/>
              <w:ind w:right="420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00" w:type="dxa"/>
            <w:vAlign w:val="bottom"/>
            <w:gridSpan w:val="9"/>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1A.</w:t>
            </w:r>
          </w:p>
        </w:tc>
        <w:tc>
          <w:tcPr>
            <w:tcW w:w="980" w:type="dxa"/>
            <w:vAlign w:val="bottom"/>
            <w:gridSpan w:val="4"/>
          </w:tcPr>
          <w:p>
            <w:pPr>
              <w:spacing w:after="0"/>
              <w:rPr>
                <w:sz w:val="20"/>
                <w:szCs w:val="20"/>
                <w:color w:val="auto"/>
              </w:rPr>
            </w:pPr>
            <w:r>
              <w:rPr>
                <w:rFonts w:ascii="Arial" w:cs="Arial" w:eastAsia="Arial" w:hAnsi="Arial"/>
                <w:sz w:val="18"/>
                <w:szCs w:val="18"/>
                <w:color w:val="0000FF"/>
                <w:w w:val="95"/>
              </w:rPr>
              <w:t>Risk Factors</w:t>
            </w:r>
          </w:p>
        </w:tc>
        <w:tc>
          <w:tcPr>
            <w:tcW w:w="9020" w:type="dxa"/>
            <w:vAlign w:val="bottom"/>
            <w:gridSpan w:val="17"/>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1B.</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1C.</w:t>
            </w:r>
          </w:p>
        </w:tc>
        <w:tc>
          <w:tcPr>
            <w:tcW w:w="1160" w:type="dxa"/>
            <w:vAlign w:val="bottom"/>
            <w:gridSpan w:val="5"/>
          </w:tcPr>
          <w:p>
            <w:pPr>
              <w:spacing w:after="0"/>
              <w:rPr>
                <w:sz w:val="20"/>
                <w:szCs w:val="20"/>
                <w:color w:val="auto"/>
              </w:rPr>
            </w:pPr>
            <w:r>
              <w:rPr>
                <w:rFonts w:ascii="Arial" w:cs="Arial" w:eastAsia="Arial" w:hAnsi="Arial"/>
                <w:sz w:val="18"/>
                <w:szCs w:val="18"/>
                <w:color w:val="0000FF"/>
                <w:w w:val="96"/>
              </w:rPr>
              <w:t>Cyber Security</w:t>
            </w:r>
          </w:p>
        </w:tc>
        <w:tc>
          <w:tcPr>
            <w:tcW w:w="1060" w:type="dxa"/>
            <w:vAlign w:val="bottom"/>
            <w:gridSpan w:val="5"/>
          </w:tcPr>
          <w:p>
            <w:pPr>
              <w:spacing w:after="0"/>
              <w:rPr>
                <w:sz w:val="18"/>
                <w:szCs w:val="18"/>
                <w:color w:val="auto"/>
              </w:rPr>
            </w:pPr>
          </w:p>
        </w:tc>
        <w:tc>
          <w:tcPr>
            <w:tcW w:w="7780" w:type="dxa"/>
            <w:vAlign w:val="bottom"/>
            <w:gridSpan w:val="11"/>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gridSpan w:val="2"/>
          </w:tcPr>
          <w:p>
            <w:pPr>
              <w:spacing w:after="0"/>
              <w:rPr>
                <w:sz w:val="20"/>
                <w:szCs w:val="20"/>
                <w:color w:val="auto"/>
              </w:rPr>
            </w:pPr>
            <w:r>
              <w:rPr>
                <w:rFonts w:ascii="Arial" w:cs="Arial" w:eastAsia="Arial" w:hAnsi="Arial"/>
                <w:sz w:val="18"/>
                <w:szCs w:val="18"/>
                <w:color w:val="0000FF"/>
                <w:w w:val="85"/>
              </w:rPr>
              <w:t>Properties</w:t>
            </w:r>
          </w:p>
        </w:tc>
        <w:tc>
          <w:tcPr>
            <w:tcW w:w="420" w:type="dxa"/>
            <w:vAlign w:val="bottom"/>
            <w:gridSpan w:val="3"/>
          </w:tcPr>
          <w:p>
            <w:pPr>
              <w:spacing w:after="0"/>
              <w:rPr>
                <w:sz w:val="18"/>
                <w:szCs w:val="18"/>
                <w:color w:val="auto"/>
              </w:rPr>
            </w:pPr>
          </w:p>
        </w:tc>
        <w:tc>
          <w:tcPr>
            <w:tcW w:w="8840" w:type="dxa"/>
            <w:vAlign w:val="bottom"/>
            <w:gridSpan w:val="16"/>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Information about our Executive Officers</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180" w:type="dxa"/>
            <w:vAlign w:val="bottom"/>
            <w:gridSpan w:val="11"/>
          </w:tcPr>
          <w:p>
            <w:pPr>
              <w:spacing w:after="0"/>
              <w:rPr>
                <w:sz w:val="20"/>
                <w:szCs w:val="20"/>
                <w:color w:val="auto"/>
              </w:rPr>
            </w:pPr>
            <w:r>
              <w:rPr>
                <w:rFonts w:ascii="Arial" w:cs="Arial" w:eastAsia="Arial" w:hAnsi="Arial"/>
                <w:sz w:val="18"/>
                <w:szCs w:val="18"/>
                <w:color w:val="0000FF"/>
              </w:rPr>
              <w:t>Board of Directors</w:t>
            </w:r>
          </w:p>
        </w:tc>
        <w:tc>
          <w:tcPr>
            <w:tcW w:w="6820" w:type="dxa"/>
            <w:vAlign w:val="bottom"/>
            <w:gridSpan w:val="10"/>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6"/>
              </w:rPr>
              <w:t>PART II</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9160" w:type="dxa"/>
            <w:vAlign w:val="bottom"/>
            <w:gridSpan w:val="20"/>
          </w:tcPr>
          <w:p>
            <w:pPr>
              <w:spacing w:after="0"/>
              <w:rPr>
                <w:sz w:val="20"/>
                <w:szCs w:val="20"/>
                <w:color w:val="auto"/>
              </w:rPr>
            </w:pPr>
            <w:r>
              <w:rPr>
                <w:rFonts w:ascii="Arial" w:cs="Arial" w:eastAsia="Arial" w:hAnsi="Arial"/>
                <w:sz w:val="18"/>
                <w:szCs w:val="18"/>
                <w:color w:val="0000FF"/>
                <w:w w:val="99"/>
              </w:rPr>
              <w:t>Market for the Registrant’s Common Equity, Related Stockholder Matters and Issuer Purchases of Equity Securities</w:t>
            </w:r>
          </w:p>
        </w:tc>
        <w:tc>
          <w:tcPr>
            <w:tcW w:w="84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916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706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94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7A.</w:t>
            </w: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4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gridSpan w:val="12"/>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980" w:type="dxa"/>
            <w:vAlign w:val="bottom"/>
            <w:gridSpan w:val="2"/>
          </w:tcPr>
          <w:p>
            <w:pPr>
              <w:spacing w:after="0"/>
              <w:rPr>
                <w:sz w:val="18"/>
                <w:szCs w:val="18"/>
                <w:color w:val="auto"/>
              </w:rPr>
            </w:pPr>
          </w:p>
        </w:tc>
        <w:tc>
          <w:tcPr>
            <w:tcW w:w="5320" w:type="dxa"/>
            <w:vAlign w:val="bottom"/>
            <w:gridSpan w:val="7"/>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7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84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9A.</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9B.</w:t>
            </w:r>
          </w:p>
        </w:tc>
        <w:tc>
          <w:tcPr>
            <w:tcW w:w="13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7"/>
              </w:rPr>
              <w:t>Other Information</w:t>
            </w:r>
          </w:p>
        </w:tc>
        <w:tc>
          <w:tcPr>
            <w:tcW w:w="520" w:type="dxa"/>
            <w:vAlign w:val="bottom"/>
            <w:tcBorders>
              <w:top w:val="single" w:sz="8" w:color="0000FF"/>
            </w:tcBorders>
            <w:gridSpan w:val="3"/>
          </w:tcPr>
          <w:p>
            <w:pPr>
              <w:spacing w:after="0"/>
              <w:rPr>
                <w:sz w:val="18"/>
                <w:szCs w:val="18"/>
                <w:color w:val="auto"/>
              </w:rPr>
            </w:pPr>
          </w:p>
        </w:tc>
        <w:tc>
          <w:tcPr>
            <w:tcW w:w="8100" w:type="dxa"/>
            <w:vAlign w:val="bottom"/>
            <w:gridSpan w:val="1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9C.</w:t>
            </w:r>
          </w:p>
        </w:tc>
        <w:tc>
          <w:tcPr>
            <w:tcW w:w="53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tcPr>
          <w:p>
            <w:pPr>
              <w:spacing w:after="0"/>
              <w:rPr>
                <w:sz w:val="18"/>
                <w:szCs w:val="18"/>
                <w:color w:val="auto"/>
              </w:rPr>
            </w:pPr>
          </w:p>
        </w:tc>
        <w:tc>
          <w:tcPr>
            <w:tcW w:w="192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300" w:type="dxa"/>
            <w:vAlign w:val="bottom"/>
            <w:gridSpan w:val="9"/>
            <w:vMerge w:val="restart"/>
          </w:tcPr>
          <w:p>
            <w:pPr>
              <w:jc w:val="center"/>
              <w:ind w:right="4220"/>
              <w:spacing w:after="0"/>
              <w:rPr>
                <w:sz w:val="20"/>
                <w:szCs w:val="20"/>
                <w:color w:val="auto"/>
              </w:rPr>
            </w:pPr>
            <w:r>
              <w:rPr>
                <w:rFonts w:ascii="Arial" w:cs="Arial" w:eastAsia="Arial" w:hAnsi="Arial"/>
                <w:sz w:val="18"/>
                <w:szCs w:val="18"/>
                <w:b w:val="1"/>
                <w:bCs w:val="1"/>
                <w:color w:val="auto"/>
                <w:w w:val="98"/>
              </w:rPr>
              <w:t>PART III</w:t>
            </w:r>
          </w:p>
        </w:tc>
        <w:tc>
          <w:tcPr>
            <w:tcW w:w="34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552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60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8"/>
              </w:rPr>
              <w:t>PART IV</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Exhibits, Financial Statement Schedules</w:t>
            </w:r>
          </w:p>
        </w:tc>
        <w:tc>
          <w:tcPr>
            <w:tcW w:w="640" w:type="dxa"/>
            <w:vAlign w:val="bottom"/>
            <w:gridSpan w:val="4"/>
          </w:tcPr>
          <w:p>
            <w:pPr>
              <w:jc w:val="right"/>
              <w:spacing w:after="0"/>
              <w:rPr>
                <w:sz w:val="20"/>
                <w:szCs w:val="20"/>
                <w:color w:val="auto"/>
              </w:rPr>
            </w:pPr>
            <w:r>
              <w:rPr>
                <w:rFonts w:ascii="Arial" w:cs="Arial" w:eastAsia="Arial" w:hAnsi="Arial"/>
                <w:sz w:val="18"/>
                <w:szCs w:val="18"/>
                <w:color w:val="0000FF"/>
              </w:rPr>
              <w:t>133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18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Form 10-K Summary</w:t>
            </w:r>
          </w:p>
        </w:tc>
        <w:tc>
          <w:tcPr>
            <w:tcW w:w="6820" w:type="dxa"/>
            <w:vAlign w:val="bottom"/>
            <w:gridSpan w:val="10"/>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Signatures</w:t>
            </w:r>
          </w:p>
        </w:tc>
        <w:tc>
          <w:tcPr>
            <w:tcW w:w="800" w:type="dxa"/>
            <w:vAlign w:val="bottom"/>
            <w:tcBorders>
              <w:top w:val="single" w:sz="8" w:color="0000FF"/>
            </w:tcBorders>
            <w:gridSpan w:val="5"/>
          </w:tcPr>
          <w:p>
            <w:pPr>
              <w:spacing w:after="0"/>
              <w:rPr>
                <w:sz w:val="18"/>
                <w:szCs w:val="18"/>
                <w:color w:val="auto"/>
              </w:rPr>
            </w:pPr>
          </w:p>
        </w:tc>
        <w:tc>
          <w:tcPr>
            <w:tcW w:w="8360" w:type="dxa"/>
            <w:vAlign w:val="bottom"/>
            <w:gridSpan w:val="13"/>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460" w:hanging="4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pursuant to the Instruction to Item 401(b)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3"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including the notes, included elsewhere in this Annual Report on Form 10-K (this "Report").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or future results of operations or financial performance, including statements relating to orders, revenues, operating margins and earnings per share growth.</w:t>
      </w:r>
    </w:p>
    <w:p>
      <w:pPr>
        <w:spacing w:after="0" w:line="8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on our markets, customers’ operating conditions and demand; geopolitical events, conditions and</w:t>
      </w:r>
    </w:p>
    <w:p>
      <w:pPr>
        <w:spacing w:after="0" w:line="2"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volatility, including protectionism and other anti-global sentiment, possible escalation of the conflicts involving Russia and Ukraine, and the Middle East, and regulatory, economic and other risks associated with our global sales, supply chain and operations; manufacturing and</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operating cost increases due to macroeconomic conditions, including inflation, energy supply, supply chain shortages, logistics challenges, tight labor markets, prevailing price changes, new or additional tariffs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uncertainty related to the realization of revenue synergies related to our acquisition of Evoqua Water Technologies Corp. ("Evoqua"); safe and compliant treatment and handling of water, wastewater and hazardous materials; failure to successfully execute large projects, including meeting performance guarantees and customers’ budgets, timelines and safety requirements; our ability to retain and attract leadership and other key talent, as well as competition for overall talent and labor; defects, security, warranty and liability claims, and recalls related to our products; uncertainty around our simplification, productivity, restructuring and realignment actions and related costs, savings and business impacts; our ability to execute strategic investments for growth, including acquisitions and divestitures; availability, regulation or</w:t>
      </w:r>
    </w:p>
    <w:p>
      <w:pPr>
        <w:spacing w:after="0" w:line="8"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interference with radio spectrum used by certain of our products; volatility in served markets or impacts on our business and operations due to weather conditions, including the effects of climate change; risks related to our sustainability commitments and related voluntary or</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required disclosures; fluctuations in foreign currency exchange rates; difficulty predicting our financial results; risk of future impairments to goodwill and other intangible assets; changes in our effective tax rates or tax expenses; regulatory and financial market risks related to our pension and other defined benefit plans; failure to comply with, or changes in, laws or regulations, including related to our business conduct, operations, products and services, including anti-corruption,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this Report and in subsequent filings we make with the Securities and Exchange Commission (“SEC”).</w:t>
      </w:r>
    </w:p>
    <w:p>
      <w:pPr>
        <w:spacing w:after="0" w:line="90"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Forward-looking and other statements in this Report regarding our environmental and other sustainability plans and goals are not an indication that these statements are necessarily material to investors, to our business, operating results, financial condition, outlook, or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strategy, to our impacts on sustainability matters or other parties,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third-party data, review, representations, or certifications; information from acquired entities, which may be subject to ongoing review, may not yet or ever be integrated into our reporting processes, and may not be reconcilable with our processes;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Xylem is a leading global water technology company with 2024 revenues of $ 8.6 billion and approximately 23,000 employees worldwide. We design, manufacture and service engineered products and solutions across a wide variety of critical applications primarily in the water sector. Our broad portfolio of products, services and solutions addresses customer needs of scarcity, resilience, quality, and affordability across the water cycle, from the delivery, treatment, measurement and use of drinking water, to the collection, testing, analysis and treatment of wastewater, to the return of water to the environment.</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differentiated market positions in core applications including transport and dewatering, process water and wastewater treatment, analytics, smart metering, digital software solutions and comprehensive services. Setting us apart is a unique set of global assets that include:</w:t>
      </w:r>
    </w:p>
    <w:p>
      <w:pPr>
        <w:spacing w:after="0" w:line="63"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Market-leading brands, some of which have been in use for more than 100 years</w:t>
      </w:r>
    </w:p>
    <w:p>
      <w:pPr>
        <w:spacing w:after="0" w:line="117" w:lineRule="exact"/>
        <w:rPr>
          <w:rFonts w:ascii="Arial" w:cs="Arial" w:eastAsia="Arial" w:hAnsi="Arial"/>
          <w:sz w:val="18"/>
          <w:szCs w:val="18"/>
          <w:color w:val="auto"/>
        </w:rPr>
      </w:pPr>
    </w:p>
    <w:p>
      <w:pPr>
        <w:ind w:left="740" w:right="26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distribution networks consisting of direct sales forces and independent channel partners serving a diverse customer base in approximately 150 countries</w:t>
      </w:r>
    </w:p>
    <w:p>
      <w:pPr>
        <w:spacing w:after="0" w:line="44" w:lineRule="exact"/>
        <w:rPr>
          <w:rFonts w:ascii="Arial" w:cs="Arial" w:eastAsia="Arial" w:hAnsi="Arial"/>
          <w:sz w:val="18"/>
          <w:szCs w:val="18"/>
          <w:color w:val="auto"/>
        </w:rPr>
      </w:pPr>
    </w:p>
    <w:p>
      <w:pPr>
        <w:ind w:left="740" w:right="40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global installed base of products and solutions across the water cycle that provides for steady parts, replacement and service revenue</w:t>
      </w:r>
    </w:p>
    <w:p>
      <w:pPr>
        <w:spacing w:after="0" w:line="44"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history of providing innovative products, solutions, services and business models to customers</w:t>
      </w:r>
    </w:p>
    <w:p>
      <w:pPr>
        <w:spacing w:after="0" w:line="117" w:lineRule="exact"/>
        <w:rPr>
          <w:rFonts w:ascii="Arial" w:cs="Arial" w:eastAsia="Arial" w:hAnsi="Arial"/>
          <w:sz w:val="18"/>
          <w:szCs w:val="18"/>
          <w:color w:val="auto"/>
        </w:rPr>
      </w:pPr>
    </w:p>
    <w:p>
      <w:pPr>
        <w:ind w:left="740" w:right="14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dedicated, experienced, qualified and technologically advanced group of employees focused on safely satisfying our customers' requirements to transport, treat or measure clean water or wastewater and measure energy usage</w:t>
      </w:r>
    </w:p>
    <w:p>
      <w:pPr>
        <w:spacing w:after="0" w:line="44" w:lineRule="exact"/>
        <w:rPr>
          <w:rFonts w:ascii="Arial" w:cs="Arial" w:eastAsia="Arial" w:hAnsi="Arial"/>
          <w:sz w:val="18"/>
          <w:szCs w:val="18"/>
          <w:color w:val="auto"/>
        </w:rPr>
      </w:pPr>
    </w:p>
    <w:p>
      <w:pPr>
        <w:ind w:left="740" w:right="38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financial position and cash generation profile that enables us to fund strategic organic and inorganic growth initiatives, and consistently return capital to shareholders</w:t>
      </w:r>
    </w:p>
    <w:p>
      <w:pPr>
        <w:spacing w:after="0" w:line="44" w:lineRule="exact"/>
        <w:rPr>
          <w:rFonts w:ascii="Arial" w:cs="Arial" w:eastAsia="Arial" w:hAnsi="Arial"/>
          <w:sz w:val="18"/>
          <w:szCs w:val="18"/>
          <w:color w:val="auto"/>
        </w:rPr>
      </w:pPr>
    </w:p>
    <w:p>
      <w:pPr>
        <w:ind w:left="740" w:right="22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demonstrated commitment to corporate governance, social and environmental sustainability and delivering a positive impact to our customers, communities and employees</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1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Our vision is to create a world in which water issues are no longer a constraint to health, prosperity and sustainable development. Our purpose is to empower our customers and communities to build a more water secure world.</w:t>
      </w:r>
    </w:p>
    <w:p>
      <w:pPr>
        <w:spacing w:after="0" w:line="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planet faces serious water challenges. Less than 1% of the total water available on earth is fresh water, and the supply is threatened by factors such as the draining of aquifers, increased pollution and the effects of climate change. Demand for fresh water is rising rapidly due to population growth, industrial expansion, and increased agricultural development, with consumption estimated to double every 20 years. It is expected that there will be a 40% gap between global water supply and demand by 2030. Even in developed countries with sufficient clean water supply, existing water supply infrastructure is aging and often inefficient. In the U.S., deteriorating pipe systems, theft or inaccurate meters result in approximately one out of every six gallons of treated and transported water being lost prior to reaching the end customer. This problem of "non-revenue" water is a major financial challenge of many utilities globally, especially in developing markets where non-revenue water can represent 10% to 60% or more of net water produced and the treatment and energy costs to transport water is substantial. These and other challenges create opportunities for growth in the global water industry. We estimate the total addressable market size of the global water industry, excluding operational expenditures related to labor, energy, and chemicals, to be approximately $750 billion.</w:t>
      </w:r>
    </w:p>
    <w:p>
      <w:pPr>
        <w:spacing w:after="0" w:line="74"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color w:val="auto"/>
        </w:rPr>
        <w:t>Global water needs cannot be met without streamlining the water industry’s cost structure with technologies that fundamentally change the provision and management of water. We compete in areas that are pivotal to improving "water affordability," "water quality," and "resilience", while reducing the impact of "water scarcity". "Water affordability" refers to the more efficient delivery, use and treatment of clean water and wastewater. "Water quality" refers to the suitability of water for a particular use based on its physical, chemical and biological characteristics. "Resilience" refers to the management of water-related risks, including climate change mitigation, and the resilience of water infrastructure.</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"Water scarcity" refers to the management of the limited supply of water due to climate change, overpopulation and pollution. Our customers often face all four of these challenges, ranging from inefficient and aging water distribution networks and energy-intensive or unreliable water and wastewater management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 w:name="page5"/>
    <w:bookmarkEnd w:id="4"/>
    <w:p>
      <w:pPr>
        <w:ind w:right="60"/>
        <w:spacing w:after="0" w:line="262" w:lineRule="auto"/>
        <w:rPr>
          <w:sz w:val="20"/>
          <w:szCs w:val="20"/>
          <w:color w:val="auto"/>
        </w:rPr>
      </w:pPr>
      <w:r>
        <w:rPr>
          <w:rFonts w:ascii="Arial" w:cs="Arial" w:eastAsia="Arial" w:hAnsi="Arial"/>
          <w:sz w:val="18"/>
          <w:szCs w:val="18"/>
          <w:color w:val="auto"/>
        </w:rPr>
        <w:t>systems (requiring improvements in water affordability); droughts and pollution which limit the amount of water readily available (causing water scarcity); or exposure to natural disasters such as floods (requiring improvements in resilience). Additionally, we also provide solutions to enhance communications and efficiency, improve safety and conserve resources to customers in the water sector. Delivering value in these areas creates significant opportunity for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Global Water Industry Value Chain</w:t>
      </w:r>
    </w:p>
    <w:p>
      <w:pPr>
        <w:spacing w:after="0" w:line="11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water industry value chain includes Equipment, Technology and Services companies, like Xylem, that address the unique challenges and demands of a diverse customer base. This customer base includes water and wastewater utilities that supply, treat and monitor clean water or transport, treat and analyze wastewater or storm water through an infrastructure network, and engineering, procurement and construction ("EPC") firms and third party contractors, that work with utilities to design and build water and wastewater infrastructure networks, as depicted below. Utilities and other customers require products, solutions, services, technology and application expertise from their Equipment, Technology and Services providers to address trends such as rising pollution, stricter regulations, increasing operational costs and the increased outsourcing of process knowledge. In addition to utilities, Equipment, Technology and Service companies also provide distinct technologies and application expertise and services to a wide array of entities, including farms, mines, power plants, industrial facilities (such as food and beverage and pharmaceutical manufacturers) and residential and commercial customers seeking to address similar trends.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Industry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85090</wp:posOffset>
            </wp:positionV>
            <wp:extent cx="5391785" cy="2726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9178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overarching strategy is to help customers solve the world's greatest water challenges with innovative products, services and solutions to deliver sustainable economic, social and environmental benefits. The following strategic pillars guide where and how we focus our efforts and resources to implement this strategy:</w:t>
      </w:r>
    </w:p>
    <w:p>
      <w:pPr>
        <w:spacing w:after="0" w:line="63" w:lineRule="exact"/>
        <w:rPr>
          <w:sz w:val="20"/>
          <w:szCs w:val="20"/>
          <w:color w:val="auto"/>
        </w:rPr>
      </w:pPr>
    </w:p>
    <w:p>
      <w:pPr>
        <w:ind w:left="660" w:right="2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Customer Centricity. </w:t>
      </w:r>
      <w:r>
        <w:rPr>
          <w:rFonts w:ascii="Arial" w:cs="Arial" w:eastAsia="Arial" w:hAnsi="Arial"/>
          <w:sz w:val="18"/>
          <w:szCs w:val="18"/>
          <w:color w:val="auto"/>
        </w:rPr>
        <w:t>We are putting the needs and experiences of our customers at the forefront of everything we do. By listening</w:t>
      </w:r>
      <w:r>
        <w:rPr>
          <w:rFonts w:ascii="Arial" w:cs="Arial" w:eastAsia="Arial" w:hAnsi="Arial"/>
          <w:sz w:val="18"/>
          <w:szCs w:val="18"/>
          <w:b w:val="1"/>
          <w:bCs w:val="1"/>
          <w:color w:val="auto"/>
        </w:rPr>
        <w:t xml:space="preserve"> </w:t>
      </w:r>
      <w:r>
        <w:rPr>
          <w:rFonts w:ascii="Arial" w:cs="Arial" w:eastAsia="Arial" w:hAnsi="Arial"/>
          <w:sz w:val="18"/>
          <w:szCs w:val="18"/>
          <w:color w:val="auto"/>
        </w:rPr>
        <w:t>to our customers and understanding their challenges, we aim to deliver innovative solutions that not only meet but exceed their expectations. This approach helps us build strong, lasting relationships and helps align our products and services with customer needs. We leverage the 80/20 principle to focus on the most impactful opportunities to drive value for our customers. Additionally, we seek to create synergies across our businesses to enhance customer value and streamline operations. We are committed to simplifying how we do business and equipping our sales teams with the tools, training, and insights needed to engage customers effectively. We emphasize transactional excellence to aim for every customer interaction to be seamless, efficient, and value-driven. We aspire for our customers to be enthusiastic advocates for our brand.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5" w:name="page6"/>
    <w:bookmarkEnd w:id="5"/>
    <w:p>
      <w:pPr>
        <w:ind w:left="660" w:right="6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Profitable Growth. </w:t>
      </w:r>
      <w:r>
        <w:rPr>
          <w:rFonts w:ascii="Arial" w:cs="Arial" w:eastAsia="Arial" w:hAnsi="Arial"/>
          <w:sz w:val="18"/>
          <w:szCs w:val="18"/>
          <w:color w:val="auto"/>
        </w:rPr>
        <w:t>We prioritize profitable growth to drive long-term success. By applying the 80/20 principle, we focus on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impactful opportunities to create significant value. We aim to expand our market share, optimize our product portfolio, and drive revenue growth through strategic investments and partnerships. By implementing strategic pricing, we maximize profitability and enhance our competitive position. Additionally, we are dedicated to building high-margin, recurring revenue in growing markets, intelligent solutions, and services. Our goal is to deliver consistent financial performance that benefits our shareholders and supports our long-term vision, building a stable and prosperous future for the company.</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We are committed to being a leading operator by continuously improving our processes, systems, and</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to enhance efficiency and effectiveness. By applying the 80/20 principle to streamline our business, we aim to enhance throughput, reduce inventory, and improve product quality. Implementing lean continuous improvement practices allows us to reduce waste and enhance the speed and ease of doing business, making our operations more efficient and effective. We are dedicated to modernizing our systems to support productivity for growth and maintain operations that are agile and responsive. Through our Xylem Management System and Goal Deployment Process, we align our efforts with strategic objectives, driving disciplined execution and operational excellence. This commitment to excellence helps us remain competitive and enables us to respond quickly to changing market and customer demands. Ultimately, we aim to run our company with discipline, maintaining operations that are streamlined and consistently aligned with our strategic goals.</w:t>
      </w:r>
    </w:p>
    <w:p>
      <w:pPr>
        <w:spacing w:after="0" w:line="72"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Sustainability Leadership. </w:t>
      </w:r>
      <w:r>
        <w:rPr>
          <w:rFonts w:ascii="Arial" w:cs="Arial" w:eastAsia="Arial" w:hAnsi="Arial"/>
          <w:sz w:val="18"/>
          <w:szCs w:val="18"/>
          <w:color w:val="auto"/>
        </w:rPr>
        <w:t>We strive to be a sustainability leader by integrating sustainability into our business strategy,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strong emphasis on advancing favorable long-term financial and sustainability outcomes for our customers through our solutions. We also aim to minimize our environmental impact, promote resource conservation, and support customers and the communities we serve together. Our priorities are focused in three areas: decarbonizing the water sector, accelerating corporate water stewardship, and advancing WASH (Water, Sanitation, and Hygiene) access and capacity building. Additionally, we are partnering with venture impact funds, philanthropic organizations, customers, and suppliers to develop long-term commercial opportunities in new markets. Our sustainability leadership, including the skill-based volunteering by employees, provides Xylem with distinct advantages in competitive talent markets.</w:t>
      </w:r>
    </w:p>
    <w:p>
      <w:pPr>
        <w:spacing w:after="0" w:line="76" w:lineRule="exact"/>
        <w:rPr>
          <w:rFonts w:ascii="Arial" w:cs="Arial" w:eastAsia="Arial" w:hAnsi="Arial"/>
          <w:sz w:val="18"/>
          <w:szCs w:val="18"/>
          <w:color w:val="auto"/>
        </w:rPr>
      </w:pPr>
    </w:p>
    <w:p>
      <w:pPr>
        <w:ind w:left="660" w:right="40" w:hanging="328"/>
        <w:spacing w:after="0" w:line="27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High-Impact Culture. </w:t>
      </w:r>
      <w:r>
        <w:rPr>
          <w:rFonts w:ascii="Arial" w:cs="Arial" w:eastAsia="Arial" w:hAnsi="Arial"/>
          <w:sz w:val="17"/>
          <w:szCs w:val="17"/>
          <w:color w:val="auto"/>
        </w:rPr>
        <w:t>We continuously refine Xylem’s operating model to better serve our customers and create value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Our organizational culture is fundamental to those objectives. We have activated our high-impact culture through three high-impact behaviors: inspired to innovate, accountable to deliver, and empowered to lead. These behaviors drive our employees to learn and innovate every day, to know their role in contributing to our purpose and strategy, and to deliver on our commitments to our customers and communities. Within the framework of these behaviors, we encourage a collaborative and inclusive work environment and are keenly focused on simplifying our organization and processes to drive daily and break-through efficiency and innovation.</w:t>
      </w:r>
    </w:p>
    <w:p>
      <w:pPr>
        <w:spacing w:after="0" w:line="6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strategic plan firmly embeds sustainability at the heart of our competitive advantage and unique business model, and aligns each of our five core strategic pillars to the overarching goal of integrating sustainability into everything we do.</w:t>
      </w:r>
    </w:p>
    <w:p>
      <w:pPr>
        <w:spacing w:after="0" w:line="4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While our strategy will evolve in response to the changing world, our four values are the enduring principles that go to the heart of who we are and guide how we conduct ourselves each day: Respect, Responsibility, Integrity and Creativity.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Distribution and Competitive Landscape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four reportable business segments that are aligned around the critical market applications they provide: Water Infrastructure, Applied Water, Measurement and Control Solutions and Water Solutions and Services. See Note 21, “Segment and Geographic Data,” in our consolidated financial statements for financial information about segments and geographic areas.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table and descriptions below provide an overview of our business segments:</w:t>
      </w:r>
    </w:p>
    <w:p>
      <w:pPr>
        <w:spacing w:after="0" w:line="15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2024 Revenue</w:t>
            </w:r>
          </w:p>
        </w:tc>
        <w:tc>
          <w:tcPr>
            <w:tcW w:w="1440" w:type="dxa"/>
            <w:vAlign w:val="bottom"/>
          </w:tcPr>
          <w:p>
            <w:pPr>
              <w:jc w:val="right"/>
              <w:ind w:right="5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4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Major Products</w:t>
            </w:r>
          </w:p>
        </w:tc>
        <w:tc>
          <w:tcPr>
            <w:tcW w:w="100" w:type="dxa"/>
            <w:vAlign w:val="bottom"/>
            <w:vMerge w:val="restart"/>
          </w:tcPr>
          <w:p>
            <w:pPr>
              <w:spacing w:after="0"/>
              <w:rPr>
                <w:sz w:val="14"/>
                <w:szCs w:val="14"/>
                <w:color w:val="auto"/>
              </w:rPr>
            </w:pPr>
          </w:p>
        </w:tc>
        <w:tc>
          <w:tcPr>
            <w:tcW w:w="22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Primary Brands</w:t>
            </w: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4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9"/>
              </w:rPr>
              <w:t>Water</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Transport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4"/>
                <w:szCs w:val="24"/>
                <w:color w:val="auto"/>
              </w:rPr>
            </w:pP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 Water and wastewater</w:t>
            </w:r>
          </w:p>
        </w:tc>
        <w:tc>
          <w:tcPr>
            <w:tcW w:w="2220" w:type="dxa"/>
            <w:vAlign w:val="bottom"/>
          </w:tcPr>
          <w:p>
            <w:pPr>
              <w:ind w:left="100"/>
              <w:spacing w:after="0"/>
              <w:rPr>
                <w:sz w:val="20"/>
                <w:szCs w:val="20"/>
                <w:color w:val="auto"/>
              </w:rPr>
            </w:pPr>
            <w:r>
              <w:rPr>
                <w:rFonts w:ascii="Arial" w:cs="Arial" w:eastAsia="Arial" w:hAnsi="Arial"/>
                <w:sz w:val="18"/>
                <w:szCs w:val="18"/>
                <w:color w:val="auto"/>
              </w:rPr>
              <w:t>• Flygt</w:t>
            </w:r>
          </w:p>
        </w:tc>
        <w:tc>
          <w:tcPr>
            <w:tcW w:w="0" w:type="dxa"/>
            <w:vAlign w:val="bottom"/>
          </w:tcPr>
          <w:p>
            <w:pPr>
              <w:spacing w:after="0"/>
              <w:rPr>
                <w:sz w:val="1"/>
                <w:szCs w:val="1"/>
                <w:color w:val="auto"/>
              </w:rPr>
            </w:pPr>
          </w:p>
        </w:tc>
      </w:tr>
      <w:tr>
        <w:trPr>
          <w:trHeight w:val="81"/>
        </w:trPr>
        <w:tc>
          <w:tcPr>
            <w:tcW w:w="1460" w:type="dxa"/>
            <w:vAlign w:val="bottom"/>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2"/>
            <w:vMerge w:val="restart"/>
          </w:tcPr>
          <w:p>
            <w:pPr>
              <w:ind w:left="260"/>
              <w:spacing w:after="0" w:line="183" w:lineRule="exact"/>
              <w:rPr>
                <w:sz w:val="20"/>
                <w:szCs w:val="20"/>
                <w:color w:val="auto"/>
              </w:rPr>
            </w:pPr>
            <w:r>
              <w:rPr>
                <w:rFonts w:ascii="Arial" w:cs="Arial" w:eastAsia="Arial" w:hAnsi="Arial"/>
                <w:sz w:val="18"/>
                <w:szCs w:val="18"/>
                <w:color w:val="auto"/>
              </w:rPr>
              <w:t>pumps</w:t>
            </w:r>
          </w:p>
        </w:tc>
        <w:tc>
          <w:tcPr>
            <w:tcW w:w="222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 Ionpure</w:t>
            </w:r>
          </w:p>
        </w:tc>
        <w:tc>
          <w:tcPr>
            <w:tcW w:w="0" w:type="dxa"/>
            <w:vAlign w:val="bottom"/>
          </w:tcPr>
          <w:p>
            <w:pPr>
              <w:spacing w:after="0"/>
              <w:rPr>
                <w:sz w:val="1"/>
                <w:szCs w:val="1"/>
                <w:color w:val="auto"/>
              </w:rPr>
            </w:pPr>
          </w:p>
        </w:tc>
      </w:tr>
      <w:tr>
        <w:trPr>
          <w:trHeight w:val="103"/>
        </w:trPr>
        <w:tc>
          <w:tcPr>
            <w:tcW w:w="146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Infrastructure</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Treatment</w:t>
            </w:r>
          </w:p>
        </w:tc>
        <w:tc>
          <w:tcPr>
            <w:tcW w:w="12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8"/>
                <w:szCs w:val="8"/>
                <w:color w:val="auto"/>
              </w:rPr>
            </w:pPr>
          </w:p>
        </w:tc>
        <w:tc>
          <w:tcPr>
            <w:tcW w:w="2520" w:type="dxa"/>
            <w:vAlign w:val="bottom"/>
            <w:gridSpan w:val="2"/>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46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vMerge w:val="restart"/>
          </w:tcPr>
          <w:p>
            <w:pPr>
              <w:ind w:left="100"/>
              <w:spacing w:after="0" w:line="181" w:lineRule="exact"/>
              <w:rPr>
                <w:sz w:val="20"/>
                <w:szCs w:val="20"/>
                <w:color w:val="auto"/>
              </w:rPr>
            </w:pPr>
            <w:r>
              <w:rPr>
                <w:rFonts w:ascii="Arial" w:cs="Arial" w:eastAsia="Arial" w:hAnsi="Arial"/>
                <w:sz w:val="18"/>
                <w:szCs w:val="18"/>
                <w:color w:val="auto"/>
              </w:rPr>
              <w:t>• Filtration, disinfection and</w:t>
            </w:r>
          </w:p>
        </w:tc>
        <w:tc>
          <w:tcPr>
            <w:tcW w:w="2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 Vortisand</w:t>
            </w:r>
          </w:p>
        </w:tc>
        <w:tc>
          <w:tcPr>
            <w:tcW w:w="0" w:type="dxa"/>
            <w:vAlign w:val="bottom"/>
          </w:tcPr>
          <w:p>
            <w:pPr>
              <w:spacing w:after="0"/>
              <w:rPr>
                <w:sz w:val="1"/>
                <w:szCs w:val="1"/>
                <w:color w:val="auto"/>
              </w:rPr>
            </w:pPr>
          </w:p>
        </w:tc>
      </w:tr>
      <w:tr>
        <w:trPr>
          <w:trHeight w:val="37"/>
        </w:trPr>
        <w:tc>
          <w:tcPr>
            <w:tcW w:w="1460" w:type="dxa"/>
            <w:vAlign w:val="bottom"/>
          </w:tcPr>
          <w:p>
            <w:pPr>
              <w:spacing w:after="0"/>
              <w:rPr>
                <w:sz w:val="3"/>
                <w:szCs w:val="3"/>
                <w:color w:val="auto"/>
              </w:rPr>
            </w:pPr>
          </w:p>
        </w:tc>
        <w:tc>
          <w:tcPr>
            <w:tcW w:w="1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2"/>
            <w:vMerge w:val="restart"/>
          </w:tcPr>
          <w:p>
            <w:pPr>
              <w:ind w:left="260"/>
              <w:spacing w:after="0" w:line="189" w:lineRule="exact"/>
              <w:rPr>
                <w:sz w:val="20"/>
                <w:szCs w:val="20"/>
                <w:color w:val="auto"/>
              </w:rPr>
            </w:pPr>
            <w:r>
              <w:rPr>
                <w:rFonts w:ascii="Arial" w:cs="Arial" w:eastAsia="Arial" w:hAnsi="Arial"/>
                <w:sz w:val="18"/>
                <w:szCs w:val="18"/>
                <w:color w:val="auto"/>
              </w:rPr>
              <w:t>biological treatment</w:t>
            </w:r>
          </w:p>
        </w:tc>
        <w:tc>
          <w:tcPr>
            <w:tcW w:w="2220" w:type="dxa"/>
            <w:vAlign w:val="bottom"/>
            <w:vMerge w:val="restart"/>
          </w:tcPr>
          <w:p>
            <w:pPr>
              <w:ind w:left="100"/>
              <w:spacing w:after="0" w:line="189" w:lineRule="exact"/>
              <w:rPr>
                <w:sz w:val="20"/>
                <w:szCs w:val="20"/>
                <w:color w:val="auto"/>
              </w:rPr>
            </w:pPr>
            <w:r>
              <w:rPr>
                <w:rFonts w:ascii="Arial" w:cs="Arial" w:eastAsia="Arial" w:hAnsi="Arial"/>
                <w:sz w:val="18"/>
                <w:szCs w:val="18"/>
                <w:color w:val="auto"/>
              </w:rPr>
              <w:t>• Wallace &amp; Tiernan</w:t>
            </w:r>
          </w:p>
        </w:tc>
        <w:tc>
          <w:tcPr>
            <w:tcW w:w="0" w:type="dxa"/>
            <w:vAlign w:val="bottom"/>
          </w:tcPr>
          <w:p>
            <w:pPr>
              <w:spacing w:after="0"/>
              <w:rPr>
                <w:sz w:val="1"/>
                <w:szCs w:val="1"/>
                <w:color w:val="auto"/>
              </w:rPr>
            </w:pPr>
          </w:p>
        </w:tc>
      </w:tr>
      <w:tr>
        <w:trPr>
          <w:trHeight w:val="128"/>
        </w:trPr>
        <w:tc>
          <w:tcPr>
            <w:tcW w:w="14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28" w:lineRule="exact"/>
              <w:rPr>
                <w:sz w:val="20"/>
                <w:szCs w:val="20"/>
                <w:color w:val="auto"/>
              </w:rPr>
            </w:pPr>
            <w:r>
              <w:rPr>
                <w:rFonts w:ascii="Arial" w:cs="Arial" w:eastAsia="Arial" w:hAnsi="Arial"/>
                <w:sz w:val="13"/>
                <w:szCs w:val="13"/>
                <w:color w:val="auto"/>
              </w:rPr>
              <w:t>2,555</w:t>
            </w:r>
          </w:p>
        </w:tc>
        <w:tc>
          <w:tcPr>
            <w:tcW w:w="120" w:type="dxa"/>
            <w:vAlign w:val="bottom"/>
          </w:tcPr>
          <w:p>
            <w:pPr>
              <w:spacing w:after="0"/>
              <w:rPr>
                <w:sz w:val="11"/>
                <w:szCs w:val="11"/>
                <w:color w:val="auto"/>
              </w:rPr>
            </w:pPr>
          </w:p>
        </w:tc>
        <w:tc>
          <w:tcPr>
            <w:tcW w:w="1440" w:type="dxa"/>
            <w:vAlign w:val="bottom"/>
          </w:tcPr>
          <w:p>
            <w:pPr>
              <w:jc w:val="right"/>
              <w:spacing w:after="0" w:line="128" w:lineRule="exact"/>
              <w:rPr>
                <w:sz w:val="20"/>
                <w:szCs w:val="20"/>
                <w:color w:val="auto"/>
              </w:rPr>
            </w:pPr>
            <w:r>
              <w:rPr>
                <w:rFonts w:ascii="Arial" w:cs="Arial" w:eastAsia="Arial" w:hAnsi="Arial"/>
                <w:sz w:val="13"/>
                <w:szCs w:val="13"/>
                <w:color w:val="auto"/>
              </w:rPr>
              <w:t>100 %</w:t>
            </w:r>
          </w:p>
        </w:tc>
        <w:tc>
          <w:tcPr>
            <w:tcW w:w="100" w:type="dxa"/>
            <w:vAlign w:val="bottom"/>
            <w:vMerge w:val="continue"/>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2520" w:type="dxa"/>
            <w:vAlign w:val="bottom"/>
            <w:gridSpan w:val="2"/>
            <w:vMerge w:val="restart"/>
          </w:tcPr>
          <w:p>
            <w:pPr>
              <w:ind w:left="260"/>
              <w:spacing w:after="0"/>
              <w:rPr>
                <w:sz w:val="20"/>
                <w:szCs w:val="20"/>
                <w:color w:val="auto"/>
              </w:rPr>
            </w:pPr>
            <w:r>
              <w:rPr>
                <w:rFonts w:ascii="Arial" w:cs="Arial" w:eastAsia="Arial" w:hAnsi="Arial"/>
                <w:sz w:val="18"/>
                <w:szCs w:val="18"/>
                <w:color w:val="auto"/>
              </w:rPr>
              <w:t>equipment</w:t>
            </w:r>
          </w:p>
        </w:tc>
        <w:tc>
          <w:tcPr>
            <w:tcW w:w="2220" w:type="dxa"/>
            <w:vAlign w:val="bottom"/>
            <w:vMerge w:val="restart"/>
          </w:tcPr>
          <w:p>
            <w:pPr>
              <w:ind w:left="100"/>
              <w:spacing w:after="0"/>
              <w:rPr>
                <w:sz w:val="20"/>
                <w:szCs w:val="20"/>
                <w:color w:val="auto"/>
              </w:rPr>
            </w:pPr>
            <w:r>
              <w:rPr>
                <w:rFonts w:ascii="Arial" w:cs="Arial" w:eastAsia="Arial" w:hAnsi="Arial"/>
                <w:sz w:val="18"/>
                <w:szCs w:val="18"/>
                <w:color w:val="auto"/>
              </w:rPr>
              <w:t>• Wedeco</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2"/>
            <w:vMerge w:val="continue"/>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
        </w:trPr>
        <w:tc>
          <w:tcPr>
            <w:tcW w:w="14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08"/>
        </w:trPr>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Applied</w:t>
            </w:r>
          </w:p>
        </w:tc>
        <w:tc>
          <w:tcPr>
            <w:tcW w:w="2060" w:type="dxa"/>
            <w:vAlign w:val="bottom"/>
          </w:tcPr>
          <w:p>
            <w:pPr>
              <w:ind w:left="100"/>
              <w:spacing w:after="0"/>
              <w:rPr>
                <w:sz w:val="20"/>
                <w:szCs w:val="20"/>
                <w:color w:val="auto"/>
              </w:rPr>
            </w:pPr>
            <w:r>
              <w:rPr>
                <w:rFonts w:ascii="Arial" w:cs="Arial" w:eastAsia="Arial" w:hAnsi="Arial"/>
                <w:sz w:val="17"/>
                <w:szCs w:val="17"/>
                <w:color w:val="auto"/>
              </w:rPr>
              <w:t>Building Solutions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40"/>
              <w:spacing w:after="0"/>
              <w:rPr>
                <w:sz w:val="20"/>
                <w:szCs w:val="20"/>
                <w:color w:val="auto"/>
              </w:rPr>
            </w:pPr>
            <w:r>
              <w:rPr>
                <w:rFonts w:ascii="Arial" w:cs="Arial" w:eastAsia="Arial" w:hAnsi="Arial"/>
                <w:sz w:val="18"/>
                <w:szCs w:val="18"/>
                <w:color w:val="auto"/>
              </w:rPr>
              <w:t>Pumps</w:t>
            </w:r>
          </w:p>
        </w:tc>
        <w:tc>
          <w:tcPr>
            <w:tcW w:w="1780" w:type="dxa"/>
            <w:vAlign w:val="bottom"/>
          </w:tcPr>
          <w:p>
            <w:pPr>
              <w:ind w:left="140"/>
              <w:spacing w:after="0"/>
              <w:rPr>
                <w:sz w:val="20"/>
                <w:szCs w:val="20"/>
                <w:color w:val="auto"/>
              </w:rPr>
            </w:pPr>
            <w:r>
              <w:rPr>
                <w:rFonts w:ascii="Arial" w:cs="Arial" w:eastAsia="Arial" w:hAnsi="Arial"/>
                <w:sz w:val="18"/>
                <w:szCs w:val="18"/>
                <w:color w:val="auto"/>
              </w:rPr>
              <w:t>• Rule</w:t>
            </w:r>
          </w:p>
        </w:tc>
        <w:tc>
          <w:tcPr>
            <w:tcW w:w="0" w:type="dxa"/>
            <w:vAlign w:val="bottom"/>
          </w:tcPr>
          <w:p>
            <w:pPr>
              <w:spacing w:after="0"/>
              <w:rPr>
                <w:sz w:val="1"/>
                <w:szCs w:val="1"/>
                <w:color w:val="auto"/>
              </w:rPr>
            </w:pPr>
          </w:p>
        </w:tc>
      </w:tr>
      <w:tr>
        <w:trPr>
          <w:trHeight w:val="157"/>
        </w:trPr>
        <w:tc>
          <w:tcPr>
            <w:tcW w:w="1480" w:type="dxa"/>
            <w:vAlign w:val="bottom"/>
          </w:tcPr>
          <w:p>
            <w:pPr>
              <w:jc w:val="center"/>
              <w:ind w:right="10"/>
              <w:spacing w:after="0" w:line="157" w:lineRule="exact"/>
              <w:rPr>
                <w:sz w:val="20"/>
                <w:szCs w:val="20"/>
                <w:color w:val="auto"/>
              </w:rPr>
            </w:pPr>
            <w:r>
              <w:rPr>
                <w:rFonts w:ascii="Arial" w:cs="Arial" w:eastAsia="Arial" w:hAnsi="Arial"/>
                <w:sz w:val="18"/>
                <w:szCs w:val="18"/>
                <w:b w:val="1"/>
                <w:bCs w:val="1"/>
                <w:color w:val="auto"/>
                <w:w w:val="99"/>
              </w:rPr>
              <w:t>Water</w:t>
            </w:r>
          </w:p>
        </w:tc>
        <w:tc>
          <w:tcPr>
            <w:tcW w:w="2060" w:type="dxa"/>
            <w:vAlign w:val="bottom"/>
            <w:vMerge w:val="restart"/>
          </w:tcPr>
          <w:p>
            <w:pPr>
              <w:ind w:left="100"/>
              <w:spacing w:after="0"/>
              <w:rPr>
                <w:sz w:val="20"/>
                <w:szCs w:val="20"/>
                <w:color w:val="auto"/>
              </w:rPr>
            </w:pPr>
            <w:r>
              <w:rPr>
                <w:rFonts w:ascii="Arial" w:cs="Arial" w:eastAsia="Arial" w:hAnsi="Arial"/>
                <w:sz w:val="17"/>
                <w:szCs w:val="17"/>
                <w:color w:val="auto"/>
              </w:rPr>
              <w:t>Industrial Water</w:t>
            </w:r>
          </w:p>
        </w:tc>
        <w:tc>
          <w:tcPr>
            <w:tcW w:w="4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44 %</w:t>
            </w:r>
          </w:p>
        </w:tc>
        <w:tc>
          <w:tcPr>
            <w:tcW w:w="320" w:type="dxa"/>
            <w:vAlign w:val="bottom"/>
          </w:tcPr>
          <w:p>
            <w:pPr>
              <w:ind w:left="200"/>
              <w:spacing w:after="0" w:line="157" w:lineRule="exact"/>
              <w:rPr>
                <w:sz w:val="20"/>
                <w:szCs w:val="20"/>
                <w:color w:val="auto"/>
              </w:rPr>
            </w:pPr>
            <w:r>
              <w:rPr>
                <w:rFonts w:ascii="Arial" w:cs="Arial" w:eastAsia="Arial" w:hAnsi="Arial"/>
                <w:sz w:val="18"/>
                <w:szCs w:val="18"/>
                <w:color w:val="auto"/>
              </w:rPr>
              <w:t>•</w:t>
            </w:r>
          </w:p>
        </w:tc>
        <w:tc>
          <w:tcPr>
            <w:tcW w:w="2260" w:type="dxa"/>
            <w:vAlign w:val="bottom"/>
          </w:tcPr>
          <w:p>
            <w:pPr>
              <w:ind w:left="40"/>
              <w:spacing w:after="0" w:line="157" w:lineRule="exact"/>
              <w:rPr>
                <w:sz w:val="20"/>
                <w:szCs w:val="20"/>
                <w:color w:val="auto"/>
              </w:rPr>
            </w:pPr>
            <w:r>
              <w:rPr>
                <w:rFonts w:ascii="Arial" w:cs="Arial" w:eastAsia="Arial" w:hAnsi="Arial"/>
                <w:sz w:val="18"/>
                <w:szCs w:val="18"/>
                <w:color w:val="auto"/>
              </w:rPr>
              <w:t>Valves</w:t>
            </w:r>
          </w:p>
        </w:tc>
        <w:tc>
          <w:tcPr>
            <w:tcW w:w="1780" w:type="dxa"/>
            <w:vAlign w:val="bottom"/>
          </w:tcPr>
          <w:p>
            <w:pPr>
              <w:ind w:left="140"/>
              <w:spacing w:after="0" w:line="157" w:lineRule="exact"/>
              <w:rPr>
                <w:sz w:val="20"/>
                <w:szCs w:val="20"/>
                <w:color w:val="auto"/>
              </w:rPr>
            </w:pPr>
            <w:r>
              <w:rPr>
                <w:rFonts w:ascii="Arial" w:cs="Arial" w:eastAsia="Arial" w:hAnsi="Arial"/>
                <w:sz w:val="18"/>
                <w:szCs w:val="18"/>
                <w:color w:val="auto"/>
              </w:rPr>
              <w:t>• Bell &amp; Gossett</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580" w:type="dxa"/>
            <w:vAlign w:val="bottom"/>
            <w:gridSpan w:val="2"/>
          </w:tcPr>
          <w:p>
            <w:pPr>
              <w:ind w:left="200"/>
              <w:spacing w:after="0" w:line="161" w:lineRule="exact"/>
              <w:rPr>
                <w:sz w:val="20"/>
                <w:szCs w:val="20"/>
                <w:color w:val="auto"/>
              </w:rPr>
            </w:pPr>
            <w:r>
              <w:rPr>
                <w:rFonts w:ascii="Arial" w:cs="Arial" w:eastAsia="Arial" w:hAnsi="Arial"/>
                <w:sz w:val="18"/>
                <w:szCs w:val="18"/>
                <w:color w:val="auto"/>
              </w:rPr>
              <w:t>• Heat exchangers</w:t>
            </w:r>
          </w:p>
        </w:tc>
        <w:tc>
          <w:tcPr>
            <w:tcW w:w="1780" w:type="dxa"/>
            <w:vAlign w:val="bottom"/>
          </w:tcPr>
          <w:p>
            <w:pPr>
              <w:ind w:left="140"/>
              <w:spacing w:after="0" w:line="161" w:lineRule="exact"/>
              <w:rPr>
                <w:sz w:val="20"/>
                <w:szCs w:val="20"/>
                <w:color w:val="auto"/>
              </w:rPr>
            </w:pPr>
            <w:r>
              <w:rPr>
                <w:rFonts w:ascii="Arial" w:cs="Arial" w:eastAsia="Arial" w:hAnsi="Arial"/>
                <w:sz w:val="18"/>
                <w:szCs w:val="18"/>
                <w:color w:val="auto"/>
              </w:rPr>
              <w:t>• Flojet</w:t>
            </w: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jc w:val="right"/>
              <w:ind w:right="190"/>
              <w:spacing w:after="0" w:line="169"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9" w:lineRule="exact"/>
              <w:rPr>
                <w:sz w:val="20"/>
                <w:szCs w:val="20"/>
                <w:color w:val="auto"/>
              </w:rPr>
            </w:pPr>
            <w:r>
              <w:rPr>
                <w:rFonts w:ascii="Arial" w:cs="Arial" w:eastAsia="Arial" w:hAnsi="Arial"/>
                <w:sz w:val="18"/>
                <w:szCs w:val="18"/>
                <w:color w:val="auto"/>
              </w:rPr>
              <w:t>1,793</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8"/>
                <w:szCs w:val="18"/>
                <w:color w:val="auto"/>
              </w:rPr>
              <w:t>100 %</w:t>
            </w:r>
          </w:p>
        </w:tc>
        <w:tc>
          <w:tcPr>
            <w:tcW w:w="2580" w:type="dxa"/>
            <w:vAlign w:val="bottom"/>
            <w:gridSpan w:val="2"/>
          </w:tcPr>
          <w:p>
            <w:pPr>
              <w:ind w:left="200"/>
              <w:spacing w:after="0" w:line="169" w:lineRule="exact"/>
              <w:rPr>
                <w:sz w:val="20"/>
                <w:szCs w:val="20"/>
                <w:color w:val="auto"/>
              </w:rPr>
            </w:pPr>
            <w:r>
              <w:rPr>
                <w:rFonts w:ascii="Arial" w:cs="Arial" w:eastAsia="Arial" w:hAnsi="Arial"/>
                <w:sz w:val="18"/>
                <w:szCs w:val="18"/>
                <w:color w:val="auto"/>
              </w:rPr>
              <w:t>• Controls</w:t>
            </w:r>
          </w:p>
        </w:tc>
        <w:tc>
          <w:tcPr>
            <w:tcW w:w="1780" w:type="dxa"/>
            <w:vAlign w:val="bottom"/>
          </w:tcPr>
          <w:p>
            <w:pPr>
              <w:ind w:left="140"/>
              <w:spacing w:after="0" w:line="169" w:lineRule="exact"/>
              <w:rPr>
                <w:sz w:val="20"/>
                <w:szCs w:val="20"/>
                <w:color w:val="auto"/>
              </w:rPr>
            </w:pPr>
            <w:r>
              <w:rPr>
                <w:rFonts w:ascii="Arial" w:cs="Arial" w:eastAsia="Arial" w:hAnsi="Arial"/>
                <w:sz w:val="18"/>
                <w:szCs w:val="18"/>
                <w:color w:val="auto"/>
              </w:rPr>
              <w:t>• Goulds Water</w:t>
            </w: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580" w:type="dxa"/>
            <w:vAlign w:val="bottom"/>
            <w:gridSpan w:val="2"/>
            <w:vMerge w:val="restart"/>
          </w:tcPr>
          <w:p>
            <w:pPr>
              <w:ind w:left="200"/>
              <w:spacing w:after="0" w:line="170" w:lineRule="exact"/>
              <w:rPr>
                <w:sz w:val="20"/>
                <w:szCs w:val="20"/>
                <w:color w:val="auto"/>
              </w:rPr>
            </w:pPr>
            <w:r>
              <w:rPr>
                <w:rFonts w:ascii="Arial" w:cs="Arial" w:eastAsia="Arial" w:hAnsi="Arial"/>
                <w:sz w:val="18"/>
                <w:szCs w:val="18"/>
                <w:color w:val="auto"/>
              </w:rPr>
              <w:t>• Dispensing equipment</w:t>
            </w:r>
          </w:p>
        </w:tc>
        <w:tc>
          <w:tcPr>
            <w:tcW w:w="1780" w:type="dxa"/>
            <w:vAlign w:val="bottom"/>
            <w:vMerge w:val="restart"/>
          </w:tcPr>
          <w:p>
            <w:pPr>
              <w:ind w:left="300"/>
              <w:spacing w:after="0" w:line="170"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580" w:type="dxa"/>
            <w:vAlign w:val="bottom"/>
            <w:gridSpan w:val="2"/>
            <w:vMerge w:val="continue"/>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4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80" w:type="dxa"/>
            <w:vAlign w:val="bottom"/>
            <w:gridSpan w:val="2"/>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ind w:left="40"/>
              <w:spacing w:after="0" w:line="181" w:lineRule="exact"/>
              <w:rPr>
                <w:sz w:val="20"/>
                <w:szCs w:val="20"/>
                <w:color w:val="auto"/>
              </w:rPr>
            </w:pPr>
            <w:r>
              <w:rPr>
                <w:rFonts w:ascii="Arial" w:cs="Arial" w:eastAsia="Arial" w:hAnsi="Arial"/>
                <w:sz w:val="18"/>
                <w:szCs w:val="18"/>
                <w:color w:val="auto"/>
              </w:rPr>
              <w:t>systems</w:t>
            </w:r>
          </w:p>
        </w:tc>
        <w:tc>
          <w:tcPr>
            <w:tcW w:w="1780" w:type="dxa"/>
            <w:vAlign w:val="bottom"/>
          </w:tcPr>
          <w:p>
            <w:pPr>
              <w:ind w:left="140"/>
              <w:spacing w:after="0" w:line="181" w:lineRule="exact"/>
              <w:rPr>
                <w:sz w:val="20"/>
                <w:szCs w:val="20"/>
                <w:color w:val="auto"/>
              </w:rPr>
            </w:pPr>
            <w:r>
              <w:rPr>
                <w:rFonts w:ascii="Arial" w:cs="Arial" w:eastAsia="Arial" w:hAnsi="Arial"/>
                <w:sz w:val="18"/>
                <w:szCs w:val="18"/>
                <w:color w:val="auto"/>
              </w:rPr>
              <w:t>• Jabsco</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80" w:type="dxa"/>
            <w:vAlign w:val="bottom"/>
          </w:tcPr>
          <w:p>
            <w:pPr>
              <w:ind w:left="140"/>
              <w:spacing w:after="0" w:line="176" w:lineRule="exact"/>
              <w:rPr>
                <w:sz w:val="20"/>
                <w:szCs w:val="20"/>
                <w:color w:val="auto"/>
              </w:rPr>
            </w:pPr>
            <w:r>
              <w:rPr>
                <w:rFonts w:ascii="Arial" w:cs="Arial" w:eastAsia="Arial" w:hAnsi="Arial"/>
                <w:sz w:val="18"/>
                <w:szCs w:val="18"/>
                <w:color w:val="auto"/>
              </w:rPr>
              <w:t>• Lowara</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80" w:type="dxa"/>
            <w:vAlign w:val="bottom"/>
          </w:tcPr>
          <w:p>
            <w:pPr>
              <w:ind w:left="140"/>
              <w:spacing w:after="0"/>
              <w:rPr>
                <w:sz w:val="20"/>
                <w:szCs w:val="20"/>
                <w:color w:val="auto"/>
              </w:rPr>
            </w:pPr>
            <w:r>
              <w:rPr>
                <w:rFonts w:ascii="Arial" w:cs="Arial" w:eastAsia="Arial" w:hAnsi="Arial"/>
                <w:sz w:val="18"/>
                <w:szCs w:val="18"/>
                <w:color w:val="auto"/>
              </w:rPr>
              <w:t>• Standard Xchange</w:t>
            </w:r>
          </w:p>
        </w:tc>
        <w:tc>
          <w:tcPr>
            <w:tcW w:w="0" w:type="dxa"/>
            <w:vAlign w:val="bottom"/>
          </w:tcPr>
          <w:p>
            <w:pPr>
              <w:spacing w:after="0"/>
              <w:rPr>
                <w:sz w:val="1"/>
                <w:szCs w:val="1"/>
                <w:color w:val="auto"/>
              </w:rPr>
            </w:pPr>
          </w:p>
        </w:tc>
      </w:tr>
      <w:tr>
        <w:trPr>
          <w:trHeight w:val="571"/>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Measurement</w:t>
            </w:r>
          </w:p>
        </w:tc>
        <w:tc>
          <w:tcPr>
            <w:tcW w:w="2060" w:type="dxa"/>
            <w:vAlign w:val="bottom"/>
          </w:tcPr>
          <w:p>
            <w:pPr>
              <w:ind w:left="200"/>
              <w:spacing w:after="0"/>
              <w:rPr>
                <w:sz w:val="20"/>
                <w:szCs w:val="20"/>
                <w:color w:val="auto"/>
              </w:rPr>
            </w:pPr>
            <w:r>
              <w:rPr>
                <w:rFonts w:ascii="Arial" w:cs="Arial" w:eastAsia="Arial" w:hAnsi="Arial"/>
                <w:sz w:val="18"/>
                <w:szCs w:val="18"/>
                <w:color w:val="auto"/>
              </w:rPr>
              <w:t>Smart Metering and</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 Smart meters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rPr>
              <w:t>and Control</w:t>
            </w:r>
          </w:p>
        </w:tc>
        <w:tc>
          <w:tcPr>
            <w:tcW w:w="2060" w:type="dxa"/>
            <w:vAlign w:val="bottom"/>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81 %</w:t>
            </w: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 Network communication</w:t>
            </w:r>
          </w:p>
        </w:tc>
        <w:tc>
          <w:tcPr>
            <w:tcW w:w="1780" w:type="dxa"/>
            <w:vAlign w:val="bottom"/>
          </w:tcPr>
          <w:p>
            <w:pPr>
              <w:ind w:left="140"/>
              <w:spacing w:after="0"/>
              <w:rPr>
                <w:sz w:val="20"/>
                <w:szCs w:val="20"/>
                <w:color w:val="auto"/>
              </w:rPr>
            </w:pPr>
            <w:r>
              <w:rPr>
                <w:rFonts w:ascii="Arial" w:cs="Arial" w:eastAsia="Arial" w:hAnsi="Arial"/>
                <w:sz w:val="18"/>
                <w:szCs w:val="18"/>
                <w:color w:val="auto"/>
              </w:rPr>
              <w:t>• Sensus</w:t>
            </w:r>
          </w:p>
        </w:tc>
        <w:tc>
          <w:tcPr>
            <w:tcW w:w="0" w:type="dxa"/>
            <w:vAlign w:val="bottom"/>
          </w:tcPr>
          <w:p>
            <w:pPr>
              <w:spacing w:after="0"/>
              <w:rPr>
                <w:sz w:val="1"/>
                <w:szCs w:val="1"/>
                <w:color w:val="auto"/>
              </w:rPr>
            </w:pPr>
          </w:p>
        </w:tc>
      </w:tr>
      <w:tr>
        <w:trPr>
          <w:trHeight w:val="229"/>
        </w:trPr>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Solutions</w:t>
            </w:r>
          </w:p>
        </w:tc>
        <w:tc>
          <w:tcPr>
            <w:tcW w:w="2060" w:type="dxa"/>
            <w:vAlign w:val="bottom"/>
          </w:tcPr>
          <w:p>
            <w:pPr>
              <w:ind w:left="200"/>
              <w:spacing w:after="0"/>
              <w:rPr>
                <w:sz w:val="20"/>
                <w:szCs w:val="20"/>
                <w:color w:val="auto"/>
              </w:rPr>
            </w:pPr>
            <w:r>
              <w:rPr>
                <w:rFonts w:ascii="Arial" w:cs="Arial" w:eastAsia="Arial" w:hAnsi="Arial"/>
                <w:sz w:val="18"/>
                <w:szCs w:val="18"/>
                <w:color w:val="auto"/>
              </w:rPr>
              <w:t>Analytics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19 %</w:t>
            </w:r>
          </w:p>
        </w:tc>
        <w:tc>
          <w:tcPr>
            <w:tcW w:w="320" w:type="dxa"/>
            <w:vAlign w:val="bottom"/>
          </w:tcPr>
          <w:p>
            <w:pPr>
              <w:spacing w:after="0"/>
              <w:rPr>
                <w:sz w:val="19"/>
                <w:szCs w:val="19"/>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devices</w:t>
            </w:r>
          </w:p>
        </w:tc>
        <w:tc>
          <w:tcPr>
            <w:tcW w:w="1780" w:type="dxa"/>
            <w:vAlign w:val="bottom"/>
          </w:tcPr>
          <w:p>
            <w:pPr>
              <w:ind w:left="140"/>
              <w:spacing w:after="0"/>
              <w:rPr>
                <w:sz w:val="20"/>
                <w:szCs w:val="20"/>
                <w:color w:val="auto"/>
              </w:rPr>
            </w:pPr>
            <w:r>
              <w:rPr>
                <w:rFonts w:ascii="Arial" w:cs="Arial" w:eastAsia="Arial" w:hAnsi="Arial"/>
                <w:sz w:val="18"/>
                <w:szCs w:val="18"/>
                <w:color w:val="auto"/>
              </w:rPr>
              <w:t>• Smith Blair</w:t>
            </w: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20" w:type="dxa"/>
            <w:vAlign w:val="bottom"/>
          </w:tcPr>
          <w:p>
            <w:pPr>
              <w:ind w:left="200"/>
              <w:spacing w:after="0"/>
              <w:rPr>
                <w:sz w:val="20"/>
                <w:szCs w:val="20"/>
                <w:color w:val="auto"/>
              </w:rPr>
            </w:pPr>
            <w:r>
              <w:rPr>
                <w:rFonts w:ascii="Arial" w:cs="Arial" w:eastAsia="Arial" w:hAnsi="Arial"/>
                <w:sz w:val="4"/>
                <w:szCs w:val="4"/>
                <w:color w:val="auto"/>
              </w:rPr>
              <w:t>•</w:t>
            </w:r>
          </w:p>
        </w:tc>
        <w:tc>
          <w:tcPr>
            <w:tcW w:w="2260" w:type="dxa"/>
            <w:vAlign w:val="bottom"/>
          </w:tcPr>
          <w:p>
            <w:pPr>
              <w:ind w:left="40"/>
              <w:spacing w:after="0"/>
              <w:rPr>
                <w:sz w:val="20"/>
                <w:szCs w:val="20"/>
                <w:color w:val="auto"/>
              </w:rPr>
            </w:pPr>
            <w:r>
              <w:rPr>
                <w:rFonts w:ascii="Arial" w:cs="Arial" w:eastAsia="Arial" w:hAnsi="Arial"/>
                <w:sz w:val="4"/>
                <w:szCs w:val="4"/>
                <w:color w:val="auto"/>
              </w:rPr>
              <w:t>Data analytics</w:t>
            </w:r>
          </w:p>
        </w:tc>
        <w:tc>
          <w:tcPr>
            <w:tcW w:w="1780" w:type="dxa"/>
            <w:vAlign w:val="bottom"/>
            <w:vMerge w:val="restart"/>
          </w:tcPr>
          <w:p>
            <w:pPr>
              <w:ind w:left="140"/>
              <w:spacing w:after="0" w:line="135" w:lineRule="exact"/>
              <w:rPr>
                <w:sz w:val="20"/>
                <w:szCs w:val="20"/>
                <w:color w:val="auto"/>
              </w:rPr>
            </w:pPr>
            <w:r>
              <w:rPr>
                <w:rFonts w:ascii="Arial" w:cs="Arial" w:eastAsia="Arial" w:hAnsi="Arial"/>
                <w:sz w:val="15"/>
                <w:szCs w:val="15"/>
                <w:color w:val="auto"/>
              </w:rPr>
              <w:t>• WTW</w:t>
            </w:r>
          </w:p>
        </w:tc>
        <w:tc>
          <w:tcPr>
            <w:tcW w:w="0" w:type="dxa"/>
            <w:vAlign w:val="bottom"/>
          </w:tcPr>
          <w:p>
            <w:pPr>
              <w:spacing w:after="0"/>
              <w:rPr>
                <w:sz w:val="1"/>
                <w:szCs w:val="1"/>
                <w:color w:val="auto"/>
              </w:rPr>
            </w:pPr>
          </w:p>
        </w:tc>
      </w:tr>
      <w:tr>
        <w:trPr>
          <w:trHeight w:val="61"/>
        </w:trPr>
        <w:tc>
          <w:tcPr>
            <w:tcW w:w="14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400" w:type="dxa"/>
            <w:vAlign w:val="bottom"/>
            <w:vMerge w:val="restart"/>
          </w:tcPr>
          <w:p>
            <w:pPr>
              <w:jc w:val="right"/>
              <w:ind w:right="190"/>
              <w:spacing w:after="0" w:line="177" w:lineRule="exact"/>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line="177" w:lineRule="exact"/>
              <w:rPr>
                <w:sz w:val="20"/>
                <w:szCs w:val="20"/>
                <w:color w:val="auto"/>
              </w:rPr>
            </w:pPr>
            <w:r>
              <w:rPr>
                <w:rFonts w:ascii="Arial" w:cs="Arial" w:eastAsia="Arial" w:hAnsi="Arial"/>
                <w:sz w:val="18"/>
                <w:szCs w:val="18"/>
                <w:color w:val="auto"/>
              </w:rPr>
              <w:t>1,871</w:t>
            </w:r>
          </w:p>
        </w:tc>
        <w:tc>
          <w:tcPr>
            <w:tcW w:w="120" w:type="dxa"/>
            <w:vAlign w:val="bottom"/>
          </w:tcPr>
          <w:p>
            <w:pPr>
              <w:spacing w:after="0"/>
              <w:rPr>
                <w:sz w:val="5"/>
                <w:szCs w:val="5"/>
                <w:color w:val="auto"/>
              </w:rPr>
            </w:pPr>
          </w:p>
        </w:tc>
        <w:tc>
          <w:tcPr>
            <w:tcW w:w="1440" w:type="dxa"/>
            <w:vAlign w:val="bottom"/>
            <w:vMerge w:val="restart"/>
          </w:tcPr>
          <w:p>
            <w:pPr>
              <w:jc w:val="right"/>
              <w:spacing w:after="0" w:line="177" w:lineRule="exact"/>
              <w:rPr>
                <w:sz w:val="20"/>
                <w:szCs w:val="20"/>
                <w:color w:val="auto"/>
              </w:rPr>
            </w:pPr>
            <w:r>
              <w:rPr>
                <w:rFonts w:ascii="Arial" w:cs="Arial" w:eastAsia="Arial" w:hAnsi="Arial"/>
                <w:sz w:val="18"/>
                <w:szCs w:val="18"/>
                <w:color w:val="auto"/>
              </w:rPr>
              <w:t>100 %</w:t>
            </w:r>
          </w:p>
        </w:tc>
        <w:tc>
          <w:tcPr>
            <w:tcW w:w="2580" w:type="dxa"/>
            <w:vAlign w:val="bottom"/>
            <w:gridSpan w:val="2"/>
            <w:vMerge w:val="restart"/>
          </w:tcPr>
          <w:p>
            <w:pPr>
              <w:ind w:left="200"/>
              <w:spacing w:after="0" w:line="177" w:lineRule="exact"/>
              <w:rPr>
                <w:sz w:val="20"/>
                <w:szCs w:val="20"/>
                <w:color w:val="auto"/>
              </w:rPr>
            </w:pPr>
            <w:r>
              <w:rPr>
                <w:rFonts w:ascii="Arial" w:cs="Arial" w:eastAsia="Arial" w:hAnsi="Arial"/>
                <w:sz w:val="18"/>
                <w:szCs w:val="18"/>
                <w:color w:val="auto"/>
              </w:rPr>
              <w:t>• Test instruments</w:t>
            </w: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2580" w:type="dxa"/>
            <w:vAlign w:val="bottom"/>
            <w:gridSpan w:val="2"/>
            <w:vMerge w:val="continue"/>
          </w:tcPr>
          <w:p>
            <w:pPr>
              <w:spacing w:after="0"/>
              <w:rPr>
                <w:sz w:val="10"/>
                <w:szCs w:val="10"/>
                <w:color w:val="auto"/>
              </w:rPr>
            </w:pPr>
          </w:p>
        </w:tc>
        <w:tc>
          <w:tcPr>
            <w:tcW w:w="1780" w:type="dxa"/>
            <w:vAlign w:val="bottom"/>
            <w:vMerge w:val="restart"/>
          </w:tcPr>
          <w:p>
            <w:pPr>
              <w:ind w:left="140"/>
              <w:spacing w:after="0" w:line="156" w:lineRule="exact"/>
              <w:rPr>
                <w:sz w:val="20"/>
                <w:szCs w:val="20"/>
                <w:color w:val="auto"/>
              </w:rPr>
            </w:pPr>
            <w:r>
              <w:rPr>
                <w:rFonts w:ascii="Arial" w:cs="Arial" w:eastAsia="Arial" w:hAnsi="Arial"/>
                <w:sz w:val="18"/>
                <w:szCs w:val="18"/>
                <w:color w:val="auto"/>
              </w:rPr>
              <w:t>• YSI</w:t>
            </w:r>
          </w:p>
        </w:tc>
        <w:tc>
          <w:tcPr>
            <w:tcW w:w="0" w:type="dxa"/>
            <w:vAlign w:val="bottom"/>
          </w:tcPr>
          <w:p>
            <w:pPr>
              <w:spacing w:after="0"/>
              <w:rPr>
                <w:sz w:val="1"/>
                <w:szCs w:val="1"/>
                <w:color w:val="auto"/>
              </w:rPr>
            </w:pPr>
          </w:p>
        </w:tc>
      </w:tr>
      <w:tr>
        <w:trPr>
          <w:trHeight w:val="46"/>
        </w:trPr>
        <w:tc>
          <w:tcPr>
            <w:tcW w:w="14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580" w:type="dxa"/>
            <w:vAlign w:val="bottom"/>
            <w:gridSpan w:val="2"/>
            <w:vMerge w:val="restart"/>
          </w:tcPr>
          <w:p>
            <w:pPr>
              <w:ind w:left="200"/>
              <w:spacing w:after="0"/>
              <w:rPr>
                <w:sz w:val="20"/>
                <w:szCs w:val="20"/>
                <w:color w:val="auto"/>
              </w:rPr>
            </w:pPr>
            <w:r>
              <w:rPr>
                <w:rFonts w:ascii="Arial" w:cs="Arial" w:eastAsia="Arial" w:hAnsi="Arial"/>
                <w:sz w:val="18"/>
                <w:szCs w:val="18"/>
                <w:color w:val="auto"/>
              </w:rPr>
              <w:t>• Controls</w:t>
            </w: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580" w:type="dxa"/>
            <w:vAlign w:val="bottom"/>
            <w:gridSpan w:val="2"/>
            <w:vMerge w:val="continue"/>
          </w:tcPr>
          <w:p>
            <w:pPr>
              <w:spacing w:after="0" w:line="20" w:lineRule="exact"/>
              <w:rPr>
                <w:sz w:val="1"/>
                <w:szCs w:val="1"/>
                <w:color w:val="auto"/>
              </w:rPr>
            </w:pPr>
          </w:p>
        </w:tc>
        <w:tc>
          <w:tcPr>
            <w:tcW w:w="1780" w:type="dxa"/>
            <w:vAlign w:val="bottom"/>
            <w:vMerge w:val="restart"/>
          </w:tcPr>
          <w:p>
            <w:pPr>
              <w:ind w:left="140"/>
              <w:spacing w:after="0" w:line="169" w:lineRule="exact"/>
              <w:rPr>
                <w:sz w:val="20"/>
                <w:szCs w:val="20"/>
                <w:color w:val="auto"/>
              </w:rPr>
            </w:pPr>
            <w:r>
              <w:rPr>
                <w:rFonts w:ascii="Arial" w:cs="Arial" w:eastAsia="Arial" w:hAnsi="Arial"/>
                <w:sz w:val="18"/>
                <w:szCs w:val="18"/>
                <w:color w:val="auto"/>
              </w:rPr>
              <w:t>• Xylem Vue</w:t>
            </w: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58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 Sensor devices</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 Software &amp; managed</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260" w:type="dxa"/>
            <w:vAlign w:val="bottom"/>
          </w:tcPr>
          <w:p>
            <w:pPr>
              <w:ind w:left="40"/>
              <w:spacing w:after="0" w:line="181" w:lineRule="exact"/>
              <w:rPr>
                <w:sz w:val="20"/>
                <w:szCs w:val="20"/>
                <w:color w:val="auto"/>
              </w:rPr>
            </w:pPr>
            <w:r>
              <w:rPr>
                <w:rFonts w:ascii="Arial" w:cs="Arial" w:eastAsia="Arial" w:hAnsi="Arial"/>
                <w:sz w:val="18"/>
                <w:szCs w:val="18"/>
                <w:color w:val="auto"/>
              </w:rPr>
              <w:t>services</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260" w:type="dxa"/>
            <w:vAlign w:val="bottom"/>
          </w:tcPr>
          <w:p>
            <w:pPr>
              <w:ind w:left="40"/>
              <w:spacing w:after="0" w:line="176" w:lineRule="exact"/>
              <w:rPr>
                <w:sz w:val="20"/>
                <w:szCs w:val="20"/>
                <w:color w:val="auto"/>
              </w:rPr>
            </w:pPr>
            <w:r>
              <w:rPr>
                <w:rFonts w:ascii="Arial" w:cs="Arial" w:eastAsia="Arial" w:hAnsi="Arial"/>
                <w:sz w:val="18"/>
                <w:szCs w:val="18"/>
                <w:color w:val="auto"/>
              </w:rPr>
              <w:t>Critical infrastructure</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rPr>
              <w:t>Water Solutions</w:t>
            </w:r>
          </w:p>
        </w:tc>
        <w:tc>
          <w:tcPr>
            <w:tcW w:w="2060" w:type="dxa"/>
            <w:vAlign w:val="bottom"/>
          </w:tcPr>
          <w:p>
            <w:pPr>
              <w:ind w:left="100"/>
              <w:spacing w:after="0"/>
              <w:rPr>
                <w:sz w:val="20"/>
                <w:szCs w:val="20"/>
                <w:color w:val="auto"/>
              </w:rPr>
            </w:pPr>
            <w:r>
              <w:rPr>
                <w:rFonts w:ascii="Arial" w:cs="Arial" w:eastAsia="Arial" w:hAnsi="Arial"/>
                <w:sz w:val="17"/>
                <w:szCs w:val="17"/>
                <w:color w:val="auto"/>
              </w:rPr>
              <w:t>Capital and other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40"/>
              <w:spacing w:after="0"/>
              <w:rPr>
                <w:sz w:val="20"/>
                <w:szCs w:val="20"/>
                <w:color w:val="auto"/>
              </w:rPr>
            </w:pPr>
            <w:r>
              <w:rPr>
                <w:rFonts w:ascii="Arial" w:cs="Arial" w:eastAsia="Arial" w:hAnsi="Arial"/>
                <w:sz w:val="18"/>
                <w:szCs w:val="18"/>
                <w:color w:val="auto"/>
              </w:rPr>
              <w:t>Preventative maintenance</w:t>
            </w:r>
          </w:p>
        </w:tc>
        <w:tc>
          <w:tcPr>
            <w:tcW w:w="1780" w:type="dxa"/>
            <w:vAlign w:val="bottom"/>
          </w:tcPr>
          <w:p>
            <w:pPr>
              <w:ind w:left="140"/>
              <w:spacing w:after="0"/>
              <w:rPr>
                <w:sz w:val="20"/>
                <w:szCs w:val="20"/>
                <w:color w:val="auto"/>
              </w:rPr>
            </w:pPr>
            <w:r>
              <w:rPr>
                <w:rFonts w:ascii="Arial" w:cs="Arial" w:eastAsia="Arial" w:hAnsi="Arial"/>
                <w:sz w:val="18"/>
                <w:szCs w:val="18"/>
                <w:color w:val="auto"/>
              </w:rPr>
              <w:t>• AquaPro</w:t>
            </w:r>
          </w:p>
        </w:tc>
        <w:tc>
          <w:tcPr>
            <w:tcW w:w="0" w:type="dxa"/>
            <w:vAlign w:val="bottom"/>
          </w:tcPr>
          <w:p>
            <w:pPr>
              <w:spacing w:after="0"/>
              <w:rPr>
                <w:sz w:val="1"/>
                <w:szCs w:val="1"/>
                <w:color w:val="auto"/>
              </w:rPr>
            </w:pPr>
          </w:p>
        </w:tc>
      </w:tr>
      <w:tr>
        <w:trPr>
          <w:trHeight w:val="157"/>
        </w:trPr>
        <w:tc>
          <w:tcPr>
            <w:tcW w:w="1480" w:type="dxa"/>
            <w:vAlign w:val="bottom"/>
          </w:tcPr>
          <w:p>
            <w:pPr>
              <w:jc w:val="center"/>
              <w:ind w:right="10"/>
              <w:spacing w:after="0" w:line="157" w:lineRule="exact"/>
              <w:rPr>
                <w:sz w:val="20"/>
                <w:szCs w:val="20"/>
                <w:color w:val="auto"/>
              </w:rPr>
            </w:pPr>
            <w:r>
              <w:rPr>
                <w:rFonts w:ascii="Arial" w:cs="Arial" w:eastAsia="Arial" w:hAnsi="Arial"/>
                <w:sz w:val="18"/>
                <w:szCs w:val="18"/>
                <w:b w:val="1"/>
                <w:bCs w:val="1"/>
                <w:color w:val="auto"/>
                <w:w w:val="99"/>
              </w:rPr>
              <w:t>and Services</w:t>
            </w:r>
          </w:p>
        </w:tc>
        <w:tc>
          <w:tcPr>
            <w:tcW w:w="2060" w:type="dxa"/>
            <w:vAlign w:val="bottom"/>
            <w:vMerge w:val="restart"/>
          </w:tcPr>
          <w:p>
            <w:pPr>
              <w:ind w:left="100"/>
              <w:spacing w:after="0"/>
              <w:rPr>
                <w:sz w:val="20"/>
                <w:szCs w:val="20"/>
                <w:color w:val="auto"/>
              </w:rPr>
            </w:pPr>
            <w:r>
              <w:rPr>
                <w:rFonts w:ascii="Arial" w:cs="Arial" w:eastAsia="Arial" w:hAnsi="Arial"/>
                <w:sz w:val="17"/>
                <w:szCs w:val="17"/>
                <w:color w:val="auto"/>
              </w:rPr>
              <w:t>Services</w:t>
            </w:r>
          </w:p>
        </w:tc>
        <w:tc>
          <w:tcPr>
            <w:tcW w:w="4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42 %</w:t>
            </w:r>
          </w:p>
        </w:tc>
        <w:tc>
          <w:tcPr>
            <w:tcW w:w="320" w:type="dxa"/>
            <w:vAlign w:val="bottom"/>
          </w:tcPr>
          <w:p>
            <w:pPr>
              <w:spacing w:after="0"/>
              <w:rPr>
                <w:sz w:val="13"/>
                <w:szCs w:val="13"/>
                <w:color w:val="auto"/>
              </w:rPr>
            </w:pPr>
          </w:p>
        </w:tc>
        <w:tc>
          <w:tcPr>
            <w:tcW w:w="2260" w:type="dxa"/>
            <w:vAlign w:val="bottom"/>
          </w:tcPr>
          <w:p>
            <w:pPr>
              <w:ind w:left="40"/>
              <w:spacing w:after="0" w:line="157" w:lineRule="exact"/>
              <w:rPr>
                <w:sz w:val="20"/>
                <w:szCs w:val="20"/>
                <w:color w:val="auto"/>
              </w:rPr>
            </w:pPr>
            <w:r>
              <w:rPr>
                <w:rFonts w:ascii="Arial" w:cs="Arial" w:eastAsia="Arial" w:hAnsi="Arial"/>
                <w:sz w:val="18"/>
                <w:szCs w:val="18"/>
                <w:color w:val="auto"/>
              </w:rPr>
              <w:t>services</w:t>
            </w:r>
          </w:p>
        </w:tc>
        <w:tc>
          <w:tcPr>
            <w:tcW w:w="1780" w:type="dxa"/>
            <w:vAlign w:val="bottom"/>
          </w:tcPr>
          <w:p>
            <w:pPr>
              <w:ind w:left="140"/>
              <w:spacing w:after="0" w:line="157" w:lineRule="exact"/>
              <w:rPr>
                <w:sz w:val="20"/>
                <w:szCs w:val="20"/>
                <w:color w:val="auto"/>
              </w:rPr>
            </w:pPr>
            <w:r>
              <w:rPr>
                <w:rFonts w:ascii="Arial" w:cs="Arial" w:eastAsia="Arial" w:hAnsi="Arial"/>
                <w:sz w:val="18"/>
                <w:szCs w:val="18"/>
                <w:color w:val="auto"/>
              </w:rPr>
              <w:t>• WaterOne</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2580" w:type="dxa"/>
            <w:vAlign w:val="bottom"/>
            <w:gridSpan w:val="2"/>
          </w:tcPr>
          <w:p>
            <w:pPr>
              <w:ind w:left="200"/>
              <w:spacing w:after="0" w:line="161" w:lineRule="exact"/>
              <w:rPr>
                <w:sz w:val="20"/>
                <w:szCs w:val="20"/>
                <w:color w:val="auto"/>
              </w:rPr>
            </w:pPr>
            <w:r>
              <w:rPr>
                <w:rFonts w:ascii="Arial" w:cs="Arial" w:eastAsia="Arial" w:hAnsi="Arial"/>
                <w:sz w:val="18"/>
                <w:szCs w:val="18"/>
                <w:color w:val="auto"/>
              </w:rPr>
              <w:t>• Rapid response mobile</w:t>
            </w:r>
          </w:p>
        </w:tc>
        <w:tc>
          <w:tcPr>
            <w:tcW w:w="1780" w:type="dxa"/>
            <w:vAlign w:val="bottom"/>
          </w:tcPr>
          <w:p>
            <w:pPr>
              <w:ind w:left="140"/>
              <w:spacing w:after="0" w:line="161" w:lineRule="exact"/>
              <w:rPr>
                <w:sz w:val="20"/>
                <w:szCs w:val="20"/>
                <w:color w:val="auto"/>
              </w:rPr>
            </w:pPr>
            <w:r>
              <w:rPr>
                <w:rFonts w:ascii="Arial" w:cs="Arial" w:eastAsia="Arial" w:hAnsi="Arial"/>
                <w:sz w:val="18"/>
                <w:szCs w:val="18"/>
                <w:color w:val="auto"/>
              </w:rPr>
              <w:t>• Ion Pure</w:t>
            </w: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jc w:val="right"/>
              <w:ind w:right="190"/>
              <w:spacing w:after="0" w:line="169"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9" w:lineRule="exact"/>
              <w:rPr>
                <w:sz w:val="20"/>
                <w:szCs w:val="20"/>
                <w:color w:val="auto"/>
              </w:rPr>
            </w:pPr>
            <w:r>
              <w:rPr>
                <w:rFonts w:ascii="Arial" w:cs="Arial" w:eastAsia="Arial" w:hAnsi="Arial"/>
                <w:sz w:val="18"/>
                <w:szCs w:val="18"/>
                <w:color w:val="auto"/>
              </w:rPr>
              <w:t>2,343</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8"/>
                <w:szCs w:val="18"/>
                <w:color w:val="auto"/>
              </w:rPr>
              <w:t>100 %</w:t>
            </w:r>
          </w:p>
        </w:tc>
        <w:tc>
          <w:tcPr>
            <w:tcW w:w="320" w:type="dxa"/>
            <w:vAlign w:val="bottom"/>
          </w:tcPr>
          <w:p>
            <w:pPr>
              <w:spacing w:after="0"/>
              <w:rPr>
                <w:sz w:val="14"/>
                <w:szCs w:val="14"/>
                <w:color w:val="auto"/>
              </w:rPr>
            </w:pPr>
          </w:p>
        </w:tc>
        <w:tc>
          <w:tcPr>
            <w:tcW w:w="2260" w:type="dxa"/>
            <w:vAlign w:val="bottom"/>
          </w:tcPr>
          <w:p>
            <w:pPr>
              <w:ind w:left="40"/>
              <w:spacing w:after="0" w:line="169" w:lineRule="exact"/>
              <w:rPr>
                <w:sz w:val="20"/>
                <w:szCs w:val="20"/>
                <w:color w:val="auto"/>
              </w:rPr>
            </w:pPr>
            <w:r>
              <w:rPr>
                <w:rFonts w:ascii="Arial" w:cs="Arial" w:eastAsia="Arial" w:hAnsi="Arial"/>
                <w:sz w:val="18"/>
                <w:szCs w:val="18"/>
                <w:color w:val="auto"/>
              </w:rPr>
              <w:t>services</w:t>
            </w:r>
          </w:p>
        </w:tc>
        <w:tc>
          <w:tcPr>
            <w:tcW w:w="1780" w:type="dxa"/>
            <w:vAlign w:val="bottom"/>
          </w:tcPr>
          <w:p>
            <w:pPr>
              <w:ind w:left="140"/>
              <w:spacing w:after="0" w:line="169" w:lineRule="exact"/>
              <w:rPr>
                <w:sz w:val="20"/>
                <w:szCs w:val="20"/>
                <w:color w:val="auto"/>
              </w:rPr>
            </w:pPr>
            <w:r>
              <w:rPr>
                <w:rFonts w:ascii="Arial" w:cs="Arial" w:eastAsia="Arial" w:hAnsi="Arial"/>
                <w:sz w:val="18"/>
                <w:szCs w:val="18"/>
                <w:color w:val="auto"/>
              </w:rPr>
              <w:t>• Flygt</w:t>
            </w: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20" w:type="dxa"/>
            <w:vAlign w:val="bottom"/>
            <w:vMerge w:val="restart"/>
          </w:tcPr>
          <w:p>
            <w:pPr>
              <w:ind w:left="200"/>
              <w:spacing w:after="0" w:line="170" w:lineRule="exact"/>
              <w:rPr>
                <w:sz w:val="20"/>
                <w:szCs w:val="20"/>
                <w:color w:val="auto"/>
              </w:rPr>
            </w:pPr>
            <w:r>
              <w:rPr>
                <w:rFonts w:ascii="Arial" w:cs="Arial" w:eastAsia="Arial" w:hAnsi="Arial"/>
                <w:sz w:val="18"/>
                <w:szCs w:val="18"/>
                <w:color w:val="auto"/>
              </w:rPr>
              <w:t>•</w:t>
            </w:r>
          </w:p>
        </w:tc>
        <w:tc>
          <w:tcPr>
            <w:tcW w:w="2260" w:type="dxa"/>
            <w:vAlign w:val="bottom"/>
            <w:vMerge w:val="restart"/>
          </w:tcPr>
          <w:p>
            <w:pPr>
              <w:ind w:left="40"/>
              <w:spacing w:after="0" w:line="170" w:lineRule="exact"/>
              <w:rPr>
                <w:sz w:val="20"/>
                <w:szCs w:val="20"/>
                <w:color w:val="auto"/>
              </w:rPr>
            </w:pPr>
            <w:r>
              <w:rPr>
                <w:rFonts w:ascii="Arial" w:cs="Arial" w:eastAsia="Arial" w:hAnsi="Arial"/>
                <w:sz w:val="18"/>
                <w:szCs w:val="18"/>
                <w:color w:val="auto"/>
              </w:rPr>
              <w:t>Digitally</w:t>
            </w:r>
          </w:p>
        </w:tc>
        <w:tc>
          <w:tcPr>
            <w:tcW w:w="1780" w:type="dxa"/>
            <w:vAlign w:val="bottom"/>
            <w:vMerge w:val="restart"/>
          </w:tcPr>
          <w:p>
            <w:pPr>
              <w:ind w:left="140"/>
              <w:spacing w:after="0" w:line="170" w:lineRule="exact"/>
              <w:rPr>
                <w:sz w:val="20"/>
                <w:szCs w:val="20"/>
                <w:color w:val="auto"/>
              </w:rPr>
            </w:pPr>
            <w:r>
              <w:rPr>
                <w:rFonts w:ascii="Arial" w:cs="Arial" w:eastAsia="Arial" w:hAnsi="Arial"/>
                <w:sz w:val="18"/>
                <w:szCs w:val="18"/>
                <w:color w:val="auto"/>
              </w:rPr>
              <w:t>• Pure Technologies</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4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226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ind w:left="40"/>
              <w:spacing w:after="0" w:line="181" w:lineRule="exact"/>
              <w:rPr>
                <w:sz w:val="20"/>
                <w:szCs w:val="20"/>
                <w:color w:val="auto"/>
              </w:rPr>
            </w:pPr>
            <w:r>
              <w:rPr>
                <w:rFonts w:ascii="Arial" w:cs="Arial" w:eastAsia="Arial" w:hAnsi="Arial"/>
                <w:sz w:val="18"/>
                <w:szCs w:val="18"/>
                <w:color w:val="auto"/>
              </w:rPr>
              <w:t>enabled/outsourced</w:t>
            </w:r>
          </w:p>
        </w:tc>
        <w:tc>
          <w:tcPr>
            <w:tcW w:w="1780" w:type="dxa"/>
            <w:vAlign w:val="bottom"/>
          </w:tcPr>
          <w:p>
            <w:pPr>
              <w:ind w:left="140"/>
              <w:spacing w:after="0" w:line="181" w:lineRule="exact"/>
              <w:rPr>
                <w:sz w:val="20"/>
                <w:szCs w:val="20"/>
                <w:color w:val="auto"/>
              </w:rPr>
            </w:pPr>
            <w:r>
              <w:rPr>
                <w:rFonts w:ascii="Arial" w:cs="Arial" w:eastAsia="Arial" w:hAnsi="Arial"/>
                <w:sz w:val="18"/>
                <w:szCs w:val="18"/>
                <w:color w:val="auto"/>
              </w:rPr>
              <w:t>• Godwin</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ind w:left="40"/>
              <w:spacing w:after="0" w:line="176" w:lineRule="exact"/>
              <w:rPr>
                <w:sz w:val="20"/>
                <w:szCs w:val="20"/>
                <w:color w:val="auto"/>
              </w:rPr>
            </w:pPr>
            <w:r>
              <w:rPr>
                <w:rFonts w:ascii="Arial" w:cs="Arial" w:eastAsia="Arial" w:hAnsi="Arial"/>
                <w:sz w:val="18"/>
                <w:szCs w:val="18"/>
                <w:color w:val="auto"/>
              </w:rPr>
              <w:t>solutions</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 Process and wastewater</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ind w:left="40"/>
              <w:spacing w:after="0" w:line="181" w:lineRule="exact"/>
              <w:rPr>
                <w:sz w:val="20"/>
                <w:szCs w:val="20"/>
                <w:color w:val="auto"/>
              </w:rPr>
            </w:pPr>
            <w:r>
              <w:rPr>
                <w:rFonts w:ascii="Arial" w:cs="Arial" w:eastAsia="Arial" w:hAnsi="Arial"/>
                <w:sz w:val="18"/>
                <w:szCs w:val="18"/>
                <w:color w:val="auto"/>
              </w:rPr>
              <w:t>treatment systems</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8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 Environmental</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ind w:left="40"/>
              <w:spacing w:after="0" w:line="183" w:lineRule="exact"/>
              <w:rPr>
                <w:sz w:val="20"/>
                <w:szCs w:val="20"/>
                <w:color w:val="auto"/>
              </w:rPr>
            </w:pPr>
            <w:r>
              <w:rPr>
                <w:rFonts w:ascii="Arial" w:cs="Arial" w:eastAsia="Arial" w:hAnsi="Arial"/>
                <w:sz w:val="18"/>
                <w:szCs w:val="18"/>
                <w:color w:val="auto"/>
              </w:rPr>
              <w:t>remediation</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80" w:type="dxa"/>
            <w:vAlign w:val="bottom"/>
            <w:gridSpan w:val="2"/>
          </w:tcPr>
          <w:p>
            <w:pPr>
              <w:ind w:left="200"/>
              <w:spacing w:after="0" w:line="181" w:lineRule="exact"/>
              <w:rPr>
                <w:sz w:val="20"/>
                <w:szCs w:val="20"/>
                <w:color w:val="auto"/>
              </w:rPr>
            </w:pPr>
            <w:r>
              <w:rPr>
                <w:rFonts w:ascii="Arial" w:cs="Arial" w:eastAsia="Arial" w:hAnsi="Arial"/>
                <w:sz w:val="18"/>
                <w:szCs w:val="18"/>
                <w:color w:val="auto"/>
              </w:rPr>
              <w:t>• Odor and corrosion</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260" w:type="dxa"/>
            <w:vAlign w:val="bottom"/>
          </w:tcPr>
          <w:p>
            <w:pPr>
              <w:ind w:left="40"/>
              <w:spacing w:after="0" w:line="176" w:lineRule="exact"/>
              <w:rPr>
                <w:sz w:val="20"/>
                <w:szCs w:val="20"/>
                <w:color w:val="auto"/>
              </w:rPr>
            </w:pPr>
            <w:r>
              <w:rPr>
                <w:rFonts w:ascii="Arial" w:cs="Arial" w:eastAsia="Arial" w:hAnsi="Arial"/>
                <w:sz w:val="18"/>
                <w:szCs w:val="18"/>
                <w:color w:val="auto"/>
              </w:rPr>
              <w:t>control</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260" w:type="dxa"/>
            <w:vAlign w:val="bottom"/>
          </w:tcPr>
          <w:p>
            <w:pPr>
              <w:ind w:left="40"/>
              <w:spacing w:after="0" w:line="183" w:lineRule="exact"/>
              <w:rPr>
                <w:sz w:val="20"/>
                <w:szCs w:val="20"/>
                <w:color w:val="auto"/>
              </w:rPr>
            </w:pPr>
            <w:r>
              <w:rPr>
                <w:rFonts w:ascii="Arial" w:cs="Arial" w:eastAsia="Arial" w:hAnsi="Arial"/>
                <w:sz w:val="18"/>
                <w:szCs w:val="18"/>
                <w:color w:val="auto"/>
              </w:rPr>
              <w:t>Filtration</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80" w:type="dxa"/>
            <w:vAlign w:val="bottom"/>
            <w:gridSpan w:val="2"/>
          </w:tcPr>
          <w:p>
            <w:pPr>
              <w:ind w:left="200"/>
              <w:spacing w:after="0" w:line="181" w:lineRule="exact"/>
              <w:rPr>
                <w:sz w:val="20"/>
                <w:szCs w:val="20"/>
                <w:color w:val="auto"/>
              </w:rPr>
            </w:pPr>
            <w:r>
              <w:rPr>
                <w:rFonts w:ascii="Arial" w:cs="Arial" w:eastAsia="Arial" w:hAnsi="Arial"/>
                <w:sz w:val="18"/>
                <w:szCs w:val="18"/>
                <w:color w:val="auto"/>
              </w:rPr>
              <w:t>• Reverse osmosis</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ind w:left="200"/>
              <w:spacing w:after="0" w:line="176" w:lineRule="exact"/>
              <w:rPr>
                <w:sz w:val="20"/>
                <w:szCs w:val="20"/>
                <w:color w:val="auto"/>
              </w:rPr>
            </w:pPr>
            <w:r>
              <w:rPr>
                <w:rFonts w:ascii="Arial" w:cs="Arial" w:eastAsia="Arial" w:hAnsi="Arial"/>
                <w:sz w:val="18"/>
                <w:szCs w:val="18"/>
                <w:color w:val="auto"/>
              </w:rPr>
              <w:t>•</w:t>
            </w:r>
          </w:p>
        </w:tc>
        <w:tc>
          <w:tcPr>
            <w:tcW w:w="2260" w:type="dxa"/>
            <w:vAlign w:val="bottom"/>
          </w:tcPr>
          <w:p>
            <w:pPr>
              <w:ind w:left="40"/>
              <w:spacing w:after="0" w:line="176" w:lineRule="exact"/>
              <w:rPr>
                <w:sz w:val="20"/>
                <w:szCs w:val="20"/>
                <w:color w:val="auto"/>
              </w:rPr>
            </w:pPr>
            <w:r>
              <w:rPr>
                <w:rFonts w:ascii="Arial" w:cs="Arial" w:eastAsia="Arial" w:hAnsi="Arial"/>
                <w:sz w:val="18"/>
                <w:szCs w:val="18"/>
                <w:color w:val="auto"/>
              </w:rPr>
              <w:t>Continuous deionization</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 Mobile dewatering</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740"/>
        <w:spacing w:after="0" w:line="203" w:lineRule="auto"/>
        <w:rPr>
          <w:sz w:val="20"/>
          <w:szCs w:val="20"/>
          <w:color w:val="auto"/>
        </w:rPr>
      </w:pPr>
      <w:r>
        <w:rPr>
          <w:rFonts w:ascii="Arial" w:cs="Arial" w:eastAsia="Arial" w:hAnsi="Arial"/>
          <w:sz w:val="18"/>
          <w:szCs w:val="18"/>
          <w:color w:val="auto"/>
        </w:rPr>
        <w:t>equipment and rental</w:t>
      </w:r>
    </w:p>
    <w:p>
      <w:pPr>
        <w:ind w:left="6740"/>
        <w:spacing w:after="0"/>
        <w:rPr>
          <w:sz w:val="20"/>
          <w:szCs w:val="20"/>
          <w:color w:val="auto"/>
        </w:rPr>
      </w:pPr>
      <w:r>
        <w:rPr>
          <w:rFonts w:ascii="Arial" w:cs="Arial" w:eastAsia="Arial" w:hAnsi="Arial"/>
          <w:sz w:val="18"/>
          <w:szCs w:val="18"/>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 w:name="page8"/>
    <w:bookmarkEnd w:id="7"/>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Infrastructure</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Through two closely linked applications, transport and treatment, our Water Infrastructure segment primarily supports the process that collects water from a source, treats it and distributes it to users, and then treats and returns the wastewater responsibly to the environment.</w:t>
      </w:r>
    </w:p>
    <w:p>
      <w:pPr>
        <w:spacing w:after="0" w:line="4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customer base consists of two primary end markets: utility and industrial. The utility market includes public, private and public-private entities that support water, wastewater and storm water networks. The industrial market includes customers that require similar water and wastewater infrastructure applications to support various industrial operations.</w:t>
      </w:r>
    </w:p>
    <w:p>
      <w:pPr>
        <w:spacing w:after="0" w:line="6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Water Infrastructure sells through a combination of direct channels, indirect channels and service capabilities. Both utility and industrial facility customers increasingly require our teams’ global but locally proficient expertise to use our equipment in their specific applications. Several trends are increasing demand for this application expertise: (i) the need for efficient transport and treatment solutions due to the increase in water scarcity, (ii) the increase in both the type and amount of contaminants found in the water supply, (iii) the need to increase system resilience and efficiencies due to aged infrastructure and affordability, (iv) increasing environmental regulations, and (v) the need to reduce carbon emissions generated from transporting and treating water.</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Given the highly fragmented nature of the water industry, the Water Infrastructure segment competes with a large number of businesses and no one business competes across all the markets Water Infrastructure serves. We differentiate ourselves in the market by focusing on product and service performance, quality and reliability, innovation, speed to market with new or disruptive technologies and business models, application expertise, brand reputation, energy efficiency, product security, product life-cycle cost, timeliness of delivery, effectiveness of our distribution channels, customers' experience and our global installed base. Our key competitors in the Water Infrastructure segment include De Nora, Grundfos, KSB Inc., ProMinent, Sulzer Ltd., Trojan (Veralto Corporation), and Veolia.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Applied Water</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Applied Water encompasses the uses of water to serve a diverse set of customers in the building solutions and industrial water end markets. Residential consumers represent the end users in the residential market, while owners and managers of properties such as apartment buildings, retail stores, institutional buildings, restaurants, schools/universities, hospitals and hotels are examples of end users in the commercial market. The industrial market includes original equipment manufacturers, exploration and production firms, agricultural customers, and developers and managers of industrial facilities, such as chemical manufacturers, marine, food and beverage companies, data centers and car washes.</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the Applied Water segment, end markets vary widely and, as a result, specialized distribution partners are often preferred. As such, the Applied Water segment provides the majority of its sales through strong indirect channels with the remaining sales going through our global direct sales channels. We have long-standing relationships with many of the leading independent distributors in the markets we serve and we provide incentives to distributors, such as specialized loyalty and training programs.</w:t>
      </w:r>
    </w:p>
    <w:p>
      <w:pPr>
        <w:spacing w:after="0" w:line="68"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Population growth and urbanization, climate and regulation on energy efficiency, and digitalization enabling self-service and preventive maintenance are macro growth drivers of these markets, driving the need for housing, food, community services and retail goods within growing city centers.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Competition in the Applied Water segment focuses on brand reputation, application expertise, product delivery, performance and energy efficiency, quality and reliability, and price. We compete by offering innovative and high-quality products, coupled with world-class application expertise. We believe our distribution through well-established channels and our reputation for quality significantly enhance our market position. Our ability to deliver innovative product offerings has enabled us to compete effectively, to cultivate and maintain customer relationships and to serve and expand into many niche and new markets. Our key competitors in the Applied Water segment include Franklin Electric Co., Inc, Grundfos, Pentair plc, and Wilo 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Measurement and Control Solutions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Measurement and Control Solutions develops advanced technology solutions that enable intelligent use, optimization and conservation of critical water and energy resources. The segment delivers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and remote monitoring and data management.</w:t>
      </w:r>
    </w:p>
    <w:p>
      <w:pPr>
        <w:spacing w:after="0" w:line="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the heart of our leading technologies are automation, data management and decision support. Our communications networks enable customers to automate and optimize meter reading, bill customers, monitor flow rates and detect and enable rapid response to changing and unsafe conditions. In short, our communications offerings provide insight into operations and enable our customers to manage the entire scope of their operations remotely through their networks and to optimize their operational costs. At the center of our offering is the FlexNet communication network, which provides a common communications platform and infrastructure for essential metering services. This two-way communication technology remotely connects a wide variety of smart points in a given network with protocols, frequently on Federal Communications Commission ("FCC") licensed spectrum in the U.S., to enable reliable, resilient and secure transmissions. These technologies allow our customers to remotely and continuously monitor their water and energy distribution infrastructure, prioritize and manage maintenance, and use data to optimize many aspects of their networks. Our digital software solutions complement these offerings with intelligent applications that help utility decision-makers manage and maintain their networks more effectively in real time.</w:t>
      </w:r>
    </w:p>
    <w:p>
      <w:pPr>
        <w:spacing w:after="0" w:line="7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majority of our sales in the U.S. are conducted through strong, long-standing relationships with leading distributors and dedicated channel partners for the water and energy markets. Internationally, direct sales are often made in markets without established distribution channels; however, some distribution channels are used in more developed markets. A direct sales approach, with key account management, is employed for large utilities and government programs.</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Macro growth drivers include increasing regulation, aging infrastructure and worldwide movement towards smart grid implementation and advanced metering infrastructure (“AMI"). Water scarcity and conservation, as well as the need to prevent revenue loss (via inaccurate meter readings, leaks or theft) are among the drivers of smart meter and leak detection technologies.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Sensus-branded meters are well positioned in the smart metering sector, the fastest growing sector of the global meter industry. We set ourselves apart in the industry by focusing on our communication network, innovation, new product development and service offerings that deliver tangible savings from efficiency of operating costs in meter reading and billing, and reduction of non-revenue water through improved meter accuracy, reduced theft and identification of leaks. Our YSI and WTW-branded instruments have a strong position in the analytical instrumentation market and provide critical readings of various water quality, level and flow parameters for customers. We provide a differentiated offering in the reliability and accuracy of our products often in rugged, remote and hazardous locations. Our key competitors in the Measurement and Control Solutions segment include Badger Meter, Echologics (Mueller Water Products), Hach (Veralto Corporation), Itron, Kamstrup, Landis+Gyr, Neptune (Roper), and Teledyne.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Solutions and Services</w:t>
      </w:r>
    </w:p>
    <w:p>
      <w:pPr>
        <w:spacing w:after="0" w:line="75"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Our Water Solutions and Services segment 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and pipeline assessment services, as well as leak detection, condition assessment and asset management and pressure monitoring solutions. The Water Solutions and Services segment also includes sales and rental of specialty dewatering pumps, scalable products, and related equipment, technology and services, which provide the safe removal or draining of groundwater and surface water from construction sites or other industrial sites, and bypass pumping for the repair of aging utility infrastructure, as well as emergency water transport and removal during severe weather events.</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Water Solutions and Services segment reaches customers across various municipalities as well as industrial vertical markets such as life sciences, microelectronics, food and beverage, chemical processing, and power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00" w:right="519" w:bottom="1440" w:gutter="0" w:footer="0" w:header="0"/>
        </w:sectPr>
      </w:pPr>
    </w:p>
    <w:bookmarkStart w:id="9" w:name="page10"/>
    <w:bookmarkEnd w:id="9"/>
    <w:p>
      <w:pPr>
        <w:ind w:right="400"/>
        <w:spacing w:after="0" w:line="268" w:lineRule="auto"/>
        <w:rPr>
          <w:sz w:val="20"/>
          <w:szCs w:val="20"/>
          <w:color w:val="auto"/>
        </w:rPr>
      </w:pPr>
      <w:r>
        <w:rPr>
          <w:rFonts w:ascii="Arial" w:cs="Arial" w:eastAsia="Arial" w:hAnsi="Arial"/>
          <w:sz w:val="18"/>
          <w:szCs w:val="18"/>
          <w:color w:val="auto"/>
        </w:rPr>
        <w:t>generation. In order to reach these customers, we leverage our application expertise in process water and wastewater treatment, our internal and external partners, and extensive service branch networks across the globe, including a rental fleet of transfer and treatment assets.</w:t>
      </w:r>
    </w:p>
    <w:p>
      <w:pPr>
        <w:spacing w:after="0" w:line="63"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Macro growth drivers include water scarcity, emerging contaminants, increasing regulation surrounding climate and energy efficiency, pressure to optimize energy efficiency and other operational cost, and demand arising from emergency response needs. Our key competitors in the Water Solutions and Services segment include Ecolab, MPW Industrial Services, Ovivo, Sunbelt Rentals and United Rentals.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Profile</w:t>
      </w:r>
    </w:p>
    <w:p>
      <w:pPr>
        <w:spacing w:after="0" w:line="117"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The table below illustrates the annual revenue and percentage of revenue by geographic area for each of the three years ended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rPr>
              <w:t>Revenue</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color w:val="auto"/>
                <w:w w:val="96"/>
              </w:rPr>
              <w:t>2022</w:t>
            </w:r>
          </w:p>
        </w:tc>
      </w:tr>
      <w:tr>
        <w:trPr>
          <w:trHeight w:val="197"/>
        </w:trPr>
        <w:tc>
          <w:tcPr>
            <w:tcW w:w="34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3"/>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 of Total</w:t>
            </w:r>
          </w:p>
        </w:tc>
        <w:tc>
          <w:tcPr>
            <w:tcW w:w="13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Amount</w:t>
            </w:r>
          </w:p>
        </w:tc>
        <w:tc>
          <w:tcPr>
            <w:tcW w:w="1240" w:type="dxa"/>
            <w:vAlign w:val="bottom"/>
            <w:gridSpan w:val="3"/>
            <w:shd w:val="clear" w:color="auto" w:fill="CCEEFF"/>
          </w:tcPr>
          <w:p>
            <w:pPr>
              <w:jc w:val="right"/>
              <w:ind w:right="510"/>
              <w:spacing w:after="0"/>
              <w:rPr>
                <w:sz w:val="20"/>
                <w:szCs w:val="20"/>
                <w:color w:val="auto"/>
              </w:rPr>
            </w:pPr>
            <w:r>
              <w:rPr>
                <w:rFonts w:ascii="Arial" w:cs="Arial" w:eastAsia="Arial" w:hAnsi="Arial"/>
                <w:sz w:val="14"/>
                <w:szCs w:val="14"/>
                <w:color w:val="auto"/>
                <w:w w:val="98"/>
              </w:rPr>
              <w:t>% of Total</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 Amount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rPr>
              <w:t>% of Total</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4,862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right="680" w:hanging="328"/>
        <w:spacing w:after="0" w:line="28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included in "Other")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Seasonality</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a global manufacturing and assembly footprint, with production facilities in Europe, North America, Latin America, Asia and the Middle East. All of our businesses require various parts and raw materials, the availability and prices of which may fluctuate. Parts and raw materials commonly used in our products include motors, fabricated parts, castings, magnets, bearings, seals, batteries, printed circuit boards ("PCBs") and electronic components, including semiconductors, as well as commodities, including steel, brass, nickel, copper, aluminum, rare earth minerals, and plastics. While we may recover some cost increases through operational improvements, we are still exposed to pricing risk, including due to duty and tariff assessments by the U.S. or other governments on foreign imports. We attempt to control costs through fixed-priced contracts with suppliers and various other programs, such as our global procurement initiative.</w:t>
      </w:r>
    </w:p>
    <w:p>
      <w:pPr>
        <w:spacing w:after="0" w:line="75"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Our business relies on third-party suppliers, contract manufacturing and commodity markets to secure raw materials, parts and components used in our products. We typically acquire materials and components through a combination of blanket and scheduled purchase orders to support our materials requirements. For many of our products we have existing alternate sources of supply, or such sources may be readily available.</w:t>
      </w:r>
    </w:p>
    <w:p>
      <w:pPr>
        <w:spacing w:after="0" w:line="6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experienced price volatility and supply constraints when materials have not been available from multiple sources. From time to time, we acquire certain inventory in anticipation of supply constraints or enter into longer-term pricing commitments with suppliers to improve the priority, price and availability of supply.</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business segments experience a modest level of seasonality in their operations. This seasonality is dependent on factors such as customers' capital spending, as well as the effects of climate change and weather conditions, including heavy flooding, prolonged droughts and fluctuations in temperatures or weather patterns, all of which can positively or negatively impact portions of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business is not dependent on any single customer or a few customers, the loss of which would have a material adverse effect on our Company. No individual customer accounted for more than 5% of our consolidated revenues in 2024, 2023 or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w:t>
      </w:r>
    </w:p>
    <w:p>
      <w:pPr>
        <w:sectPr>
          <w:pgSz w:w="11900" w:h="16838" w:orient="portrait"/>
          <w:cols w:equalWidth="0" w:num="1">
            <w:col w:w="11180"/>
          </w:cols>
          <w:pgMar w:left="320" w:top="99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type w:val="continuous"/>
        </w:sectPr>
      </w:pPr>
    </w:p>
    <w:bookmarkStart w:id="10" w:name="page11"/>
    <w:bookmarkEnd w:id="10"/>
    <w:p>
      <w:pPr>
        <w:ind w:right="480"/>
        <w:spacing w:after="0" w:line="268" w:lineRule="auto"/>
        <w:rPr>
          <w:sz w:val="20"/>
          <w:szCs w:val="20"/>
          <w:color w:val="auto"/>
        </w:rPr>
      </w:pPr>
      <w:r>
        <w:rPr>
          <w:rFonts w:ascii="Arial" w:cs="Arial" w:eastAsia="Arial" w:hAnsi="Arial"/>
          <w:sz w:val="18"/>
          <w:szCs w:val="18"/>
          <w:color w:val="auto"/>
        </w:rPr>
        <w:t>currency fluctuations, and other factors. Typically, capital projects require longer lead production cycles and deployment schedules, and delays occur from time to time. Total backlog was $5,070 million at December 31, 2024 and $5,088 million at December 31, 2023. We anticipate that approximately 50% of the backlog at December 31, 2024 will be recognized as revenue during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Research and development (“R&amp;D”) is a key foundation of our growth strategy and we focus on the design and development of products, services, solutions and application know-how that address anticipated customer needs and emerging trends. Our engineers are involved in new product, service and solution development as well as improvement of existing products, services and solutions to increase customer value. Our businesses invest substantial resources into R&amp;D. We anticipate we will continue to develop and invest in our R&amp;D capabilities to promote a steady flow of innovative, high-quality and reliable products and integrated solutions to further strengthen our position in the markets we serve. In addition to investments made in software development, which were capitalized, we incurred $230 million, $232 million, and $206 million as a result of R&amp;D investment spending in 2024, 2023 and 2022, respectively.</w:t>
      </w:r>
    </w:p>
    <w:p>
      <w:pPr>
        <w:spacing w:after="0" w:line="7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R&amp;D and development capabilities around the world. R&amp;D activities are initially conducted in our technology centers, located in conjunction with some of our major manufacturing facilities to enable an efficient and robust development process. We have several global technical centers and local development teams around the world where we are supporting global needs and accelerating the customization of our products, services and solutions to address local needs. In some cases, our R&amp;D activities are conducted at our piloting and testing facilities and at strategic customer sites. These piloting and testing facilities enable us to serve our strategic markets globally. As part of expanding our bandwidth and to increase our access to technology, we have built innovation eco-system partnerships with academic institutions as well as other technology firms, start-up accelerators and venture capital organizations.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offer software as a product or service directly to external customers, which is included within "Other intangible assets, net" on our Consolidated Balance Sheets. As of December 31, 2024 and 2023 we had net capitalized software used in sales and services to external customers of $185 million and $209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seek patent protection for inventions that we believe will improve our competitive position and are not suitable to be kept as a trade secret. While we own, control or license a significant number of patents, trade secrets, proprietary information, trademarks, trade names, copyrights and other intellectual property rights which, in the aggregate, are important to our business, management believes that our business, as a whole, as well as each of our business segments, is not materially dependent on any one intellectual property right or related group of such rights.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Patents, patent applications and license agreements expire or terminate over time by operation of law, in accordance with their terms or otherwise. As the portfolio of our patents, patent applications and license agreements has evolved over time, we do not expect the expiration of any specific patent to have a material adverse effect on our financial position or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global operations are subject to various laws and regulations governing the environment and climate change, such as those promulgated by the U.S. Environmental Protection Agency and similar state and foreign environmental agencies, including related to the discharge of pollutants and the management and disposal of hazardous substances. While environmental and climate change laws and regulations are subject to change, such changes can be difficult to predict reliably and the timing of potential changes is uncertain. We do not believe, based on current circumstances, that compliance costs pursuant to such regulations will have a material adverse effect on our financial position or results of operations. However, the effect of future legislative or regulatory changes could be material to our financial condition or results of operations.</w:t>
      </w:r>
    </w:p>
    <w:p>
      <w:pPr>
        <w:spacing w:after="0" w:line="7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continue to be dedicated to environmental and sustainability programs to minimize the use of natural resources, reduce the utilization and generation of hazardous materials from our processes, and remediate identified environmental concerns. We are currently engaged in site investigations and remediation activities to address environmental cleanup from past operations at a number of current and former manufacturing facilities. We do not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 w:name="page12"/>
    <w:bookmarkEnd w:id="11"/>
    <w:p>
      <w:pPr>
        <w:ind w:right="140"/>
        <w:spacing w:after="0" w:line="287" w:lineRule="auto"/>
        <w:rPr>
          <w:sz w:val="20"/>
          <w:szCs w:val="20"/>
          <w:color w:val="auto"/>
        </w:rPr>
      </w:pPr>
      <w:r>
        <w:rPr>
          <w:rFonts w:ascii="Arial" w:cs="Arial" w:eastAsia="Arial" w:hAnsi="Arial"/>
          <w:sz w:val="18"/>
          <w:szCs w:val="18"/>
          <w:color w:val="auto"/>
        </w:rPr>
        <w:t>anticipate these liabilities will have a material adverse effect on our consolidated financial position or results of operations. At December 31, 2024, we had estimated and accrued $4 million related to environmental matters.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company with global operations, we are subject to complex U.S. federal, state and local and foreign laws, regulations and permits in the countries where we conduct business, including related to trade, such as tariffs, imports and exports; anti-bribery and corruption; antitrust and competition; data security and privacy, such as the EU General Data Protection Regulation (“GDPR”) and the China Personal Information Protection Law ('PIPL"); use of regulated radio spectrum, including that of the U.S. FCC; lobbying activity; health and safety; the environment; air emissions; potable and non-potable water; wastewater discharge; and the generation, handling, storage, use, transport, treatment and disposal of non-hazardous and hazardous materials and wastes, among other matters. We have policies and procedures in place to promote compliance with these laws, regulations and permits. Additional information about the impact of government regulations on Xylem’s business is included in Item 1A. “Risk Factors” under the headings Risks Related to Geopolitical, Macroeconomic and Industry Factors, Risks Related to Our Business and Operations, Risks Related to Financial and Tax, and Risks Related to Legal and Regulatory.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Xylem, sustainability is at the center of who we are and what we do – from our own operations to the solutions we provide to customers that impact communities around the world. As a leading global water technology company, we address some of the world’s most urgent sustainability challenges - responsible stewardship of our shared water resources and resiliency of communities to climate change. Technology is playing an increasingly important role in helping the world solve water issues. We have a long history of innovation, and we are focusing on the powerful capabilities of smart technology, integrated management and data analytics.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our financial performance and commitment to sustainability go hand in hand. Xylem approaches sustainability as a way to generate economic value while also creating value for our customers and society, thus meeting the needs of both. Accordingly, in 2019, we evolved our approach to leverage sustainability in our decision making toward long-term value creation for our shareholders, customers, employees and communities in which we operate and we announced a comprehensive slate of 2025 sustainability goals. Additionally, in 2024, we announced several new ambitious 2030 commitments. We also remain committed to reach Net Zero greenhouse gas ("GHG") emissions across our value chain before 2050. This commitment reinforces our alignment with sector-wide efforts to reduce carbon footprints and advance sustainability. Following the 2023 acquisition of Evoqua, we updated our emissions baseline and 2030 science-based targets, which have been approved by the Science Based Target initiative (SBTi).</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we look beyond 2025, we have established three high-impact pillars of our sustainability efforts aligned with our strategy and long-term value creation, that deliver sustainable outcomes across our value chain, as well as where we believe we can uniquely provide outsized impact for our customers and communities. These pillars include Decarbonizing the Water Sector, by providing solutions that support energy efficiency and reduced emissions for our customers; Accelerating Water Stewardship, by enabling leading practices in effective water management; and Advancing Water and Sanitation Hygiene (WASH) for All, by providing innovative solutions to increase services to underserved communities around the world. For each pillar, we have set forth 2030 goals aligned to both practices to deliver impact for our customers and communities.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setting our sustainability strategy and goals, we are aligned with the United Nations Sustainable Development Goals ("UNSDGs"), not only to substantiate our contribution to achieving global objectives, but also to be transparent in our communication to stakeholders by providing details on our responsibility to build a sustainable future. Our sustainability strategy and an update on our progress towards achieving our goals are outlined in our annual Sustainability Report, which is aligned with the Global Reporting Initiative and the Sustainability Accounting Standards Board frameworks.</w:t>
      </w:r>
    </w:p>
    <w:p>
      <w:pPr>
        <w:spacing w:after="0" w:line="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 further enhance our understanding and management of risks and opportunities related to sustainability, we are committed to continuous progress aligned with the core principles of the United Nations Global Compact, CEO Water Mandate, Race to Zero, Women’s Empowerment Principles, and the Human Rights Campaign Foundation’s Global Business Coalition, among others.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2" w:name="page13"/>
    <w:bookmarkEnd w:id="12"/>
    <w:p>
      <w:pPr>
        <w:ind w:right="20"/>
        <w:spacing w:after="0" w:line="254" w:lineRule="auto"/>
        <w:rPr>
          <w:sz w:val="20"/>
          <w:szCs w:val="20"/>
          <w:color w:val="auto"/>
        </w:rPr>
      </w:pPr>
      <w:r>
        <w:rPr>
          <w:rFonts w:ascii="Arial" w:cs="Arial" w:eastAsia="Arial" w:hAnsi="Arial"/>
          <w:sz w:val="18"/>
          <w:szCs w:val="18"/>
          <w:color w:val="auto"/>
        </w:rPr>
        <w:t>In 2023, we entered into a five-year revolving credit facility (the "2023 Credit Facility") with Citibank, N.A., as Administrative Agent, and a syndicate of lenders. The 2023 Credit Facility includes a pricing grid that determines the applicable margin based on Xylem's credit rating, with a further adjustment based on Xylem's achievement of certain sustainability related key performance indicators (the "KPIs"). Facility fees under the 2023 Credit Facility are also adjusted based on Xylem's credit rating and the KPIs. In 2022, we announced investments in CNote’s Impact Cash™ platform, a mechanism through which we invest and deposit cash at scale in community finance institutions that strengthen and transform underserved communities. In 2021, in partnership with Goldman Sachs, we continued our work towards further integrating our business and finance strategies with sustainability by creating a cash account tied to performance of select 2025 Sustainability goals. In 2020, Xylem completed a $1 billion Green Bond offering in senior unsecured notes, consisting of $500 million of 1.950% senior notes due in January 2028 and $500 million of 2.250% senior notes due in January 2031. The proceeds of this offering were allocated to green projects that help improve water accessibility, water affordability, and water systems resilience. Additionally, during the first quarter of 2021, we issued a special grant to certain employees of less than 0.1 million ESG performance share units.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colleagues around the globe are united by our purpose – to empower our customers and communities to build a more water-secure world – and, as such, are key to the Company’s success and execution of our strategy. We seek to foster a high-impact culture – that is, one in which our colleagues are inspired to innovate, empowered to lead, and accountable to deliver – creating an environment that is purpose-driven, people-centered, respectful and inclusive. We believe that our overall success and long-term growth depend, in part, on our continued ability to attract and retain highly skilled colleagues, with a diverse variety of backgrounds, experiences, and perspectives, the reflect our customers and communities, including senior leaders and individuals with skills in our strategic competencies, such as engineering, innovation, digital technologies, sales excellence, sustainability and product and project management, as well as production, field service and technical services talent. The market for individuals with these competencies remains competitive, but we believe our culture and purpose are differentiators in attracting and retaining talent.</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2024, Xylem employed approximately 23,000 employees worldwide. We have approximately 9,200 employees in the U.S., 7,900 in western Europe, and 5,200 in the emerging markets, with the remaining 900 in other geographies in which we operate. Approximately 12% of our U.S. colleagues are represented by labor unions. Outside the United States, certain of our colleagues are represented by work councils. We believe that our relations with our employees are good, including with those represented by labor unions and/or works councils.</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conduct regular employee surveys and listening sessions to understand our employees’ perspectives, identify areas for additional focus and establish action plans. This includes specific feedback from our colleagues through short pulse surveys that provide insights into employee engagement, customer focus, company culture and organizational effectiveness. In addition, we periodically conduct ad hoc surveys to gain insights into other relevant topics, including well-being, safety and professional development.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Purpose and Values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purpose is to empower our customers and communities to build a more water-secure world and, together with our values, provides the foundation for how we want to grow as a company and behave as an industry leader and as ethical corporate citizens. We devote our technology, time and talent to advance the smarter use of water in service of our purpose and our colleagues are guided by our core values, respect, responsibility, integrity and creativity.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Belonging</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committed to a workplace that creates a sense of belonging for everyone: where all our colleagues feel involved, respected, valued, heard, connected, able to bring their authentic selves to the workplace, and empowered to do their best work. We believe that Xylem is strongest when we embrace the power of belonging and inclusion to drive innovation, to make us more competitive, to positively impact employee and customer satisfaction and the Company’s performance, and to better serve the communities in which we operate, creating value for our shareholders and other stakeholders.</w:t>
      </w:r>
    </w:p>
    <w:p>
      <w:pPr>
        <w:spacing w:after="0" w:line="7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Our commitment to fostering this environment starts with our Board of Directors (“Board”) and senior leadership team, who represent a broad spectrum of backgrounds, identities and perspectives. We believe that the diversity of backgrounds, experiences and perspectives of our Board and senior leadership team enhances our ability to evolve and execute our business strategy and to attract and retain the best talent.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ind w:right="40"/>
        <w:spacing w:after="0" w:line="262" w:lineRule="auto"/>
        <w:rPr>
          <w:sz w:val="20"/>
          <w:szCs w:val="20"/>
          <w:color w:val="auto"/>
        </w:rPr>
      </w:pPr>
      <w:r>
        <w:rPr>
          <w:rFonts w:ascii="Arial" w:cs="Arial" w:eastAsia="Arial" w:hAnsi="Arial"/>
          <w:sz w:val="18"/>
          <w:szCs w:val="18"/>
          <w:color w:val="auto"/>
        </w:rPr>
        <w:t>Key strategies anchoring our efforts to become a more innovative and inclusive organization – and incorporate broader experiences, backgrounds, skill sets, and perspectives into our work – include expanding sourcing channels and prioritizing candidate slates that include a diversity of backgrounds, experiences, and perspectives, when filling professional roles to increase the pool of qualified candidates considered. All of our hiring, retention and promotion decisions are merit-based.</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offer Employee Network Groups, which are voluntary, employee-led groups formed by colleagues with a common affinity, such as gender, race, sexual orientation and gender identity, military status or other attributes. Each Employee Network Group is sponsored and supported by one or more senior leaders and all groups are open to all employees regardless of any diversity attributes with which they may identify. Collectively, approximately 4,500 colleagues participate as members of our network groups.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Protecting the safety, health and well-being of our colleagues is one of our highest priorities and also regularly assessed in our business reviews. We have a strong Environmental, Health and Safety program that focuses on governance, risk reduction, training and education, and leadership accountability to provide our colleagues with safe and healthy workplaces.</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Based on employee survey feedback, we regularly augment our holistic well-being strategies, including the expansion of our Employee Assistance Program support across the globe, mental health awareness training and additional mental health resources as well as student loan repayment support.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Xylem strives to provide our colleagues with competitive compensation and benefits offerings and takes a total rewards approach that integrates programs for compensation, benefits, recognition and well-being. Individual program components may differ by country, role or level. Our compensation programs are driven by our commitment to fair and equitable compensation as well as alignment to a pay-for-performance culture. We conduct an annual pay equity assessment based on gender and U.S. minority classifications and make pay adjustments as appropriate based on the results.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seek to align our compensation to support execution of our strategy and drive our high-impact culture. Accordingly, in 2021, the Company expanded its sustainability-linked compensation for our senior leaders, as well as a broader group of executives, through a special, one-time grant of performance share units with goals that are based on five of our strategically transformative 2025 Sustainability goals. We continue to expand our long-term incentive program to reach deeper in the organization to recognize key talent and top performers, and to attract and retain digital talent.</w:t>
      </w:r>
    </w:p>
    <w:p>
      <w:pPr>
        <w:spacing w:after="0" w:line="71"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We continue to balance in-person, remote and hybrid work based on business needs to attract top talent. While the approaches differ by country and role, for office-based colleagues, we generally have a hybrid working approach. To support our colleagues with this working approach, we provide high-touch global onboarding and continue to enhance collaboration technologies.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Development</w:t>
      </w:r>
    </w:p>
    <w:p>
      <w:pPr>
        <w:spacing w:after="0" w:line="11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We are committed to enhancing colleagues’ capabilities needed for the Company to win in the marketplace. We also are focused on internal talent movement across functions, geographies and businesses. Through our high-impact culture and continuous improvement program, we nurture and grow a continuous improvement and learning mindset throughout all areas of the Company.</w:t>
      </w:r>
    </w:p>
    <w:p>
      <w:pPr>
        <w:spacing w:after="0" w:line="6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have a broad range of talent development programs and experiences to facilitate the continued professional growth and leadership development of our colleagues and to strengthen our succession plans. These programs span across all levels, businesses and functions, including entry-level talent recruitment programs, development programs for emerging leaders, people leader training and executive leadership development. We also provide on-demand/self-paced learning through our recently enhanced learning management system.</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prioritize employee engagement through regular, year-round discussions focused on performance feedback and development, opportunities to work on special projects, and volunteer activities involving Watermark, our corporate responsibility program, as well as Xylem Ignite, our youth engagement program. In 2024, approximately 79% of our colleagues participated in employee-led volunteerism, including through Watermark, enhancing the Company’s commitment to employee development, retention, recruiting and collaboration in the communities where we live and work. Our Employee Network Groups support the development of our colleagues by offering formal and informal leadership opportunities.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Labor Relations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Xylem recognizes the work of labor organizations, works councils and trade unions to better the lives of working people. Accordingly, Xylem respects the legal rights of its employees to join or to refrain from joining such organizations. An employee’s decision to join or not join a labor organization will in no way result in any discrimination against that employee. Xylem informs managers at all levels of the importance of respecting the rights of colleagues to organize or be represented. We work to establish favorable employment conditions that promote positive relationships between our colleagues and their managers, facilitate communication among our colleagues and support their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Our annual reports on Form 10-K, quarterly reports on Form 10-Q, current reports on Form 8-K, proxy statements and amendments to those reports are available free of charge on our website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as soon as reasonably practicable after such reports are electronically filed with or furnished to the SEC. The information on our website is not, and shall not be deemed to be, a part hereof or incorporated into this or any of our other filings with the SEC.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the public may read or copy any materials filed with the SEC, free of charge, at </w:t>
      </w:r>
      <w:r>
        <w:rPr>
          <w:rFonts w:ascii="Arial" w:cs="Arial" w:eastAsia="Arial" w:hAnsi="Arial"/>
          <w:sz w:val="18"/>
          <w:szCs w:val="18"/>
          <w:i w:val="1"/>
          <w:iCs w:val="1"/>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15" w:name="page16"/>
    <w:bookmarkEnd w:id="15"/>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In evaluating our business and investment in our securities, investors should carefully consider the following discussion of material factors and events, along with all of the other information in this Report and in our other filings with the SEC. The events and consequences discussed below could, in circumstances that we may not be able to accurately predict, recognize or control, have a material adverse effect on our business, financial condition, cash flows, results of operations and/or market price of our common stock. Some of the factors, events, and contingencies discussed below may have occurred in the past, and the disclosures below are not representations as to whether or not the factors, events or contingencies have occurred in the past, but are provided because future occurrences of such factors, events, or contingencies could have a material adverse effect.</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These risk factors do not identify all of the risks we face. Our business is also subject to general risks that affect many other companies. In addition, we operate in a continually changing business, economic and geopolitical environment and as a result, new risk factors, or changes to our risk profile, may emerge from time to time. Risks not currently known to us, or that we currently believe are immaterial, may impact our business, operations, financial condition or share price. The global macroeconomic and geopolitical climate amplify many of the risks below. Risks in this section are grouped in the following categories: (1) Risks Related to Geopolitical, Macroeconomic and Industry Factors; (2) Risks Related to Our Business and Operations; (3) Risks Related to Financial and Tax; and (4) Risks Related to Legal and Regulatory. Many risks affect more than one category, and as a result the risks are not in order of significance or probability of occurrence.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Geopolitical, Macroeconomic and Industry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and economic conditions may adversely affect our markets and our customers’ operating conditions and demand.</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With sales in approximately 150 countries, we compete across a wide range of geographies and end markets. Economic and industry factors that have had, or could in the future have, a material impact on our businesses and demand for our products and services include: (i) the overall strength of, and our customers’ confidence in, local and global macroeconomic conditions; (ii) inflation and related monetary policy actions by governments in response, (iii) overall strength of industrial, governmental, public and private sector spending; (iv) overall strength of the industrial, residential and commercial real estate markets; (v) federal, state, local and municipal governments’ environmental, energy efficiency, fiscal, trade and procurement laws, regulations and policies, including as respects domestic content; (vi) the availability of commercial financing for our customers and end-users; and (vii) the degree of funding for our public sector customers, including for water infrastructure investments. The aforementioned factors and other macroeconomic impacts, including actual or potential economic slowdowns, recession or other prolonged downturns in the global economy or our markets, supply chain dynamics and shortages, tight labor markets, inflation, and significant government debt and deficit levels, have had and may in the future have, a material adverse effect on demand for our products and solutions and therefore our business, financial condition, cash flows, results of operations and stock price.</w:t>
      </w:r>
    </w:p>
    <w:p>
      <w:pPr>
        <w:spacing w:after="0" w:line="76"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Geopolitical, regulatory, economic, foreign exchange and other risks associated with our global sales, supply chain and operations may adversely affect our business.</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2024, 57% of our total revenue was from sales to U.S. customers and 43% was from sales to customers outside the U.S. We expect our revenue profile to be similar moving forward. Many of our manufacturing operations, employees, suppliers and distribution channels are located outside of the U.S. Our operations, supply chain and sales both within the U.S. and internationally are subject, in varying degrees, to risks and uncertainties inherent in doing business globally, including:</w:t>
      </w:r>
    </w:p>
    <w:p>
      <w:pPr>
        <w:spacing w:after="0" w:line="68" w:lineRule="exact"/>
        <w:rPr>
          <w:sz w:val="20"/>
          <w:szCs w:val="20"/>
          <w:color w:val="auto"/>
        </w:rPr>
      </w:pPr>
    </w:p>
    <w:p>
      <w:pPr>
        <w:jc w:val="both"/>
        <w:ind w:left="460" w:right="460" w:hanging="331"/>
        <w:spacing w:after="0" w:line="257" w:lineRule="auto"/>
        <w:tabs>
          <w:tab w:leader="none" w:pos="4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nationalism, populism, protectionism, anti-global sentiment and changes in trade protection measures, including the imposition of increased or new embargoes, tariffs and other trade barriers, import and export regulations or restrictions, licensing requirements, domestic content requirements, and governments’ countermeasures in response;</w:t>
      </w:r>
    </w:p>
    <w:p>
      <w:pPr>
        <w:spacing w:after="0" w:line="1" w:lineRule="exact"/>
        <w:rPr>
          <w:rFonts w:ascii="Arial" w:cs="Arial" w:eastAsia="Arial" w:hAnsi="Arial"/>
          <w:sz w:val="18"/>
          <w:szCs w:val="18"/>
          <w:color w:val="auto"/>
        </w:rPr>
      </w:pPr>
    </w:p>
    <w:p>
      <w:pPr>
        <w:jc w:val="both"/>
        <w:ind w:left="460" w:right="340" w:hanging="331"/>
        <w:spacing w:after="0" w:line="250" w:lineRule="auto"/>
        <w:tabs>
          <w:tab w:leader="none" w:pos="4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volatility and impacts from the evolving global geopolitical environment involving the U.S. federal government and other countries’ governments, including the relationships among the U.S., European Union, Middle East, Russia, China, Taiwan, or other foreign countries, and the international community at large;</w:t>
      </w:r>
    </w:p>
    <w:p>
      <w:pPr>
        <w:spacing w:after="0" w:line="1" w:lineRule="exact"/>
        <w:rPr>
          <w:rFonts w:ascii="Arial" w:cs="Arial" w:eastAsia="Arial" w:hAnsi="Arial"/>
          <w:sz w:val="18"/>
          <w:szCs w:val="18"/>
          <w:color w:val="auto"/>
        </w:rPr>
      </w:pPr>
    </w:p>
    <w:p>
      <w:pPr>
        <w:ind w:left="460" w:right="280" w:hanging="331"/>
        <w:spacing w:after="0" w:line="265" w:lineRule="auto"/>
        <w:tabs>
          <w:tab w:leader="none" w:pos="4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threat, outbreak, uncertainty or escalation of terrorism, political instability, insurrection, war, other armed conflict, including between Russia and Ukraine, and in the Middle East, with the potential for regional escalation, and other global safety and security concerns;</w:t>
      </w:r>
    </w:p>
    <w:p>
      <w:pPr>
        <w:ind w:left="440" w:hanging="311"/>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threat or outbreak of epidemics, global health crises or pandemics, and related uncertainties;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impacts from significant shifts in U.S. immigration policy, such as a tightened labor market and inflation;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6" w:name="page17"/>
    <w:bookmarkEnd w:id="16"/>
    <w:p>
      <w:pPr>
        <w:ind w:left="460" w:right="620" w:hanging="331"/>
        <w:spacing w:after="0" w:line="257"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 potential negative consequences from the interpretation, application and enforcement by governmental authorities of tax laws and policies, as well as changes in other laws, regulations and policies or how they are interpreted or administered;</w:t>
      </w:r>
    </w:p>
    <w:p>
      <w:pPr>
        <w:spacing w:after="0" w:line="1" w:lineRule="exact"/>
        <w:rPr>
          <w:rFonts w:ascii="Arial" w:cs="Arial" w:eastAsia="Arial" w:hAnsi="Arial"/>
          <w:sz w:val="18"/>
          <w:szCs w:val="18"/>
          <w:color w:val="auto"/>
        </w:rPr>
      </w:pPr>
    </w:p>
    <w:p>
      <w:pPr>
        <w:ind w:left="460" w:right="580" w:hanging="331"/>
        <w:spacing w:after="0" w:line="250"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global or regional supply chains, our operations, or those of third parties upon which we rely, including due to labor disruptions, supply shortages, increased or new tariffs and freight and logistics challenges;</w:t>
      </w:r>
    </w:p>
    <w:p>
      <w:pPr>
        <w:ind w:left="460" w:right="20" w:hanging="331"/>
        <w:spacing w:after="0" w:line="250"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regulatory changes or unfavorable circumstances arising from U.S. or host country laws, regulations or policies, including those related to water quality, the environment and energy efficiency, infrastructure and data transmission, security, privacy, and artificial intelligence;</w:t>
      </w:r>
    </w:p>
    <w:p>
      <w:pPr>
        <w:spacing w:after="0" w:line="1" w:lineRule="exact"/>
        <w:rPr>
          <w:rFonts w:ascii="Arial" w:cs="Arial" w:eastAsia="Arial" w:hAnsi="Arial"/>
          <w:sz w:val="18"/>
          <w:szCs w:val="18"/>
          <w:color w:val="auto"/>
        </w:rPr>
      </w:pPr>
    </w:p>
    <w:p>
      <w:pPr>
        <w:ind w:left="440" w:hanging="311"/>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theft, compromise, misappropriation or challenges in protecting our technology, intellectual property or data; and</w:t>
      </w:r>
    </w:p>
    <w:p>
      <w:pPr>
        <w:spacing w:after="0" w:line="9" w:lineRule="exact"/>
        <w:rPr>
          <w:rFonts w:ascii="Arial" w:cs="Arial" w:eastAsia="Arial" w:hAnsi="Arial"/>
          <w:sz w:val="18"/>
          <w:szCs w:val="18"/>
          <w:color w:val="auto"/>
        </w:rPr>
      </w:pPr>
    </w:p>
    <w:p>
      <w:pPr>
        <w:ind w:left="460" w:hanging="331"/>
        <w:spacing w:after="0" w:line="266"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shocks to the global financial system, including due to the outbreak or threat of war, armed conflict, other geopolitical conflicts, terrorism or global health crises, the effects of climate change, or other idiosyncratic events.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Beyond the risks indicated above, our operations in emerging markets are subject to additional risks and uncertainties, including: (i) governments may impose or increase withholding or other taxes on remittances and other payments to us; (ii) governments may seek to nationalize our assets; (iii) governments may impose or increase investment barriers or other restrictions affecting our business; (iv) difficulty in enforcing commercial agreements or collecting receivables; (v) pricing pressure on our products and services; (vi) elevated business conduct risks; and (vii) challenges in our ability to attract and retain qualified talent and labor. We cannot predict the impact that such factors might have on our business, financial condition, cash flows, results of operations and share price.</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significant operations and direct and indirect suppliers located in China, which have been in the past, or could in the future be, adversely affected by: i) China’s evolving laws, regulations and policies, including as respects public health crises, import and export tariffs and restrictions, and information security and privacy, and ii) changes in the political and geopolitical environment, including China's relations with the U.S., European Union and Taiwan. The U.S.’s imposition of tariffs on goods imported from China or deemed to be of Chinese origin, as well as the potential for new or increased tariffs, other governmental actions, trade embargoes or sanctions by the U.S., or similar measures or countermeasures imposed by China in response, has in the past and could in the future have an adverse direct or indirect impact our global supply chain, manufacturing costs, business and operating results. Geopolitical changes in China-Taiwan relations could disrupt the operations of several companies in Taiwan that are critical to the global supply chain for semiconductors (“chips”) and other electronic components. Such changes could have significant negative effects on the global semiconductor industry and could adversely affect our ability to manufacture our digitally-enabled products, such as pumps, controllers and smart meters.</w:t>
      </w:r>
    </w:p>
    <w:p>
      <w:pPr>
        <w:spacing w:after="0" w:line="79"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Inflation, tariffs, customs duties and other increases or fluctuations in manufacturing and operating costs have, and could continue to, adversely affect our cash flows and results of operations.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manufacturing and operating costs are subject to fluctuations, particularly due to volatility or changes in prices for commodities, parts, raw materials, energy and related utilities, freight and logistics, and the cost of labor. Cost fluctuations have been and may continue to be driven by a variety of factors, such as inflation, tight labor markets, prevailing price levels, exchange rates, changes in trade agreements, tariffs and other trade protection measures, and other economic and geopolitical factors. Throughout 2024, our operating costs were adversely impacted by price inflation, which could continue in 2025 to varying degrees depending, in part, on broader macroeconomic, political or geopolitical conditions. For example, our global supply chain includes shipping routes through the Red Sea, where vessels have been and may continue to be impacted by armed conflicts involving rebel groups; and continued conflicts or escalation of ongoing conflicts in Ukraine or the Middle East could adversely impact our logistics costs and result in an increase in our costs for energy and supplies, and potentially delay shipments to customers. We have a large and complex network of suppliers (and their suppliers) and contract manufacturers globally, including in China and Mexico. The U.S. has enacted or threatened various trade actions, including new or additional tariffs on certain goods we import from China, Mexico, Canada and other countries, which has or may result in retaliatory tariffs and other trade actions. As a result, these U.S. trade measures or countermeasures by China, Mexico or other countries could increase the cost of our products, which we may not be able to offset through price increases or productivity, and could also impede our ability to remain competitive. Further, in a declining price environment, our operating margins may contract because we account for inventory using the first-in, first-out method. Actions we take to mitigate volatility in manufacturing and operating costs may not be successful and, as a result, our business, financial condition, cash flows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19"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may be unable to compete successfully in our markets or develop and commercialize innovative and disruptive solutions and technologies.</w:t>
      </w:r>
    </w:p>
    <w:p>
      <w:pPr>
        <w:spacing w:after="0" w:line="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offer our technologies, products and services in highly competitive markets. We believe the principal points of competition are performance, quality and reliability, price, life cycle cost, security, speed of development and commercialization of new technologies, processes and business models, brand reputation, application expertise, energy efficiency, timeliness of delivery, proximity of our service centers to customers, effectiveness of our distribution channels, and customers’ experience in doing business with us directly or through our channel partners. Maintaining and improving our competitive position will require successful management of these factors in a volatile business environment with increasingly rapid rates of change and disruption.</w:t>
      </w:r>
    </w:p>
    <w:p>
      <w:pPr>
        <w:spacing w:after="0" w:line="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competitive position and future growth depend upon a number of factors, including our ability to successfully: (i) enhance and differentiate our product and service offerings, business models and customer experience by increasing efficiency or security, or adding innovative features or disruptive or emerging technologies, such as artificial intelligence, that address emerging regulations and trends, meet customers’ needs, and prevent commoditization, (ii) defend our market share against an ever-expanding number of competitors, including new or non-traditional competitors from outside our industry, such as large technology firms,(iii) continue to invest in and maintain our distribution network of channel partners, (iv) attract, develop, retain and train individuals with the requisite innovation, digital and technical capabilities, expertise and understanding of customers’ needs to develop, commercialize and sell new technologies, products, services and solutions, (v) continue to leverage and expand our external ecosystem of innovation partners with joint venture partners, universities, venture capital, the start-up community and other technology innovators, (vi) continue to invest in our manufacturing, research and development, engineering, sales and marketing, modernization of our systems, and digitization of customer solutions, service and support tools, (vii) win and execute large contracts on schedule and on budget, and (viii) optimize our supply chain and manufacturing to enable predictable and efficient delivery to customers, and compete for business subject to governmental procurement laws, regulations and policies, including sustainability and domestic content requirements in the U.S. and globally, as they may evolve over time. Additional challenges we face include that customers may be slow to adopt our new and innovative solutions and technologies. Pricing pressures, including as a result of new or additional tariffs on our products or goods used in the manufacture of our products, and/or the impact of disruptive or emerging technologies, such as artificial intelligence, and our efforts to optimize our productivity may require that we adjust the prices of certain products, services, solutions or projects or rationalize certain of our offerings to stay competitive or win large contracts.</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a result of the foregoing, we may not be successful in maintaining our competitive position and market share, which could adversely affect our business, financial condition, cash flows or results of operations.</w:t>
      </w:r>
    </w:p>
    <w:p>
      <w:pPr>
        <w:spacing w:after="0" w:line="47"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auto"/>
        </w:rPr>
        <w:t>Cybersecurity incidents and related data breaches or other disruptions involving our enterprise information technology and operations, our connected products and services, or information technology on which we or our customers rely, could materially and adversely affect our business.</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on information technology, including operational technology, and communications networks to run our manufacturing processes and equipment, to enable business processes and employee productivity, and to process, transmit, store and manage our electronic information, including confidential business information and data relating to employees, customers or other business partners. We also rely on key third parties, such as direct and indirect suppliers, contract manufacturers, cloud-based service providers, and outsourced business process providers, including in the areas of Information Technology, Finance, Human Resources, Procurement and Travel. Together, we depend on information technology infrastructure and communication networks for access to reliable and secure networks in order to run our and their businesses. Regardless of the protection measures we, or the third parties we rely on, have implemented, information technology and communications networks may be susceptible to damage or disruption due to causes such as: equipment, system or application failure, including as a result of maintenance, obsolescence, unsupportability or age; human error or malfeasance; vandalism; natural disaster; fire; power, communication or other utility outage or failure; and cybersecurity incidents, including ransomware, denial-of-service, vendor e-mail compromise, deepfake attacks, malware, phishing, and computer viruses resulting from a wide ranging threat landscape, including attacks by nation states and others. In addition to damage or disruption, these cybersecurity incidents may lead to security and data breaches.</w:t>
      </w:r>
    </w:p>
    <w:p>
      <w:pPr>
        <w:spacing w:after="0" w:line="8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provide certain digitally enabled or internet-connected products, such as pumps, controllers, meters and other equipment, digital (or intelligent) solutions, and other remote monitoring and condition assessment capabilities, and an interoperability platform via Idrica, our strategic joint venture partner. These products and services are used by us and our customers for operational purposes or to collect data. Our connected products and services may be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susceptible to damage or disruption from a myriad of causes as described above. Cybersecurity incidents may impact hardware, software and information installed, stored or transmitted by our products and services after they have been purchased and incorporated into customers’ and other third parties’ products, facilities, systems or infrastructure, including critical infrastructure applications. While we attempt to provide our customers with reasonable measures to safeguard our products and services from cybersecurity threats, the potential for a cybersecurity incident remains. In addition, certain of our customers continue to use digitally enabled products that we designed, manufactured and sold at a time when current security features were not available.</w:t>
      </w:r>
    </w:p>
    <w:p>
      <w:pPr>
        <w:spacing w:after="0" w:line="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cybersecurity incident or other damage or disruption to information technology and communications networks, or involving our connected products and services, may have adverse effects on us, our customers or third parties on which we rely, including: interference with operations and services, potentially with public health and safety risks involving certain of our customers; disruption of production, supply chain, shipments, billing, collections and customer service; disruption to data analytics; disruption to remote monitoring and control of operational systems; unauthorized access, disclosure, misappropriation, misuse, destruction, compromise or theft of our financial, operational or other proprietary information, including intellectual property and trade secrets, or data pertaining to our employees, customers or suppliers; damage to employee, customer and business partner relationships; recall of our products; legal claims, proceedings or regulatory enforcement actions, and fines or penalties; increased costs to prevent, respond to or mitigate cybersecurity incidents; and damage to our brands and reputation. Moreover, a delay in or failure to detect a cybersecurity incident or the full extent of an incident could exacerbate the effects of the incident.</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mitigate reliability and cybersecurity risks related to our enterprise and connected products and services, we maintain relevant policies, standards, procedures and technologies that are applicable to all Xylem employees and contractors, including: patching; passwords; network and data access, including requirements and rights; business continuity and disaster recovery plans; monitoring for external and insider risks; obsolescence or end-of-life of operating technologies or applications’ operating systems; IT general computing controls; and secure software development. We are also operationalizing our strategy to establish segmentation between our information technology and operational technology. As implementation and compliance is the responsibility of employees across the enterprise, we cannot guarantee adherence in all instances with our policies, standards and procedures, or that our technologies will be sufficient to fully mitigate the aforementioned or evolving risks.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and some third parties upon which we rely, have in the past experienced cybersecurity incidents or other attempts to gain unauthorized access to our information technology and connected products and services. As technology, including the use of artificial intelligence, and the threat landscape evolve, we may continue to experience such events, likely with more frequency and involving a broader range of devices and more sophisticated modes of attack. To date, none have resulted in any material adverse impact to or theft, misuse or loss of information of our business, operations, products and services, or customers.</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Although we maintain a cybersecurity program that we believe is reasonably designed to protect our information technology, products and services, because the timing, nature and modes of cybersecurity attacks and incidents change frequently, evolve and are unpredictable, and because unauthorized accesses may be difficult to detect for long periods of time, we may be unable to anticipate or prevent these intrusions or implement adequate protective or remedial measures.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we maintain insurance coverage designed to address certain aspects of business interruption and cybersecurity risks, it may not be sufficient to cover all losses or all types of claims. Although we continue to assess the aforementioned risks, implement policies, processes, standards, measures, technologies and redundancies to mitigate these risks and perform business continuity and disaster recovery planning, we cannot be sure that cybersecurity incidents or other disruptions with material adverse effects will not occur, or that our business continuity and disaster recovery efforts will be effective and adequate. As such, any of the foregoing could have a material adverse effect on our reputation, competitive position, results of operations, cash flows or financial condition.</w:t>
      </w:r>
    </w:p>
    <w:p>
      <w:pPr>
        <w:spacing w:after="0" w:line="76"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Lack of or delay in availability of products, parts, raw materials and energy from our supply chain or the inability of suppliers to meet delivery and other requirements, could adversely affect our business.</w:t>
      </w:r>
    </w:p>
    <w:p>
      <w:pPr>
        <w:spacing w:after="0" w:line="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relies on a large and complex network of suppliers (and their suppliers), contract manufacturers and subcontractors that perform manufacturing and customer-related services for us, commodity markets, and freight and logistics providers to secure and ship finished goods and raw materials, parts, and electronic and other components used in our products. Some of our key components are available only from a sole- or single-source supplier or a limited group of suppliers. We expect that our reliance on, and the complexity of, the aforementioned supply chain will continue to be significant and, in some cases, increase.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9" w:name="page20"/>
    <w:bookmarkEnd w:id="19"/>
    <w:p>
      <w:pPr>
        <w:spacing w:after="0" w:line="252" w:lineRule="auto"/>
        <w:rPr>
          <w:sz w:val="20"/>
          <w:szCs w:val="20"/>
          <w:color w:val="auto"/>
        </w:rPr>
      </w:pPr>
      <w:r>
        <w:rPr>
          <w:rFonts w:ascii="Arial" w:cs="Arial" w:eastAsia="Arial" w:hAnsi="Arial"/>
          <w:sz w:val="18"/>
          <w:szCs w:val="18"/>
          <w:color w:val="auto"/>
        </w:rPr>
        <w:t>Parts, components and raw materials commonly used in our products include motors, fabricated parts, castings, magnets, bearings, seals, batteries, PCBs and electronic components, including semiconductors, as well as commodities, including steel, brass, nickel, copper, aluminum, rare earth minerals and plastics. We are exposed to the availability of these items, which has in the past and may in the future be subject to delay, shortage, curtailment or change due to macroeconomic, geopolitical and other factors, including: supply and demand dynamics; labor shortages or disputes; changes in suppliers’ strategy or production planning including decisions to exit production of key components upon which we rely; interruptions in suppliers' production, including as a result of humanmade or natural disasters; a supplier’s impaired financial condition; suppliers’ capacity allocations to other purchasers; changes in trade agreements and trade protection measures including tariffs or export restrictions; ability to meet regulatory requirements; weather emergencies and the effects of climate change; public health crises; and threatened or actual terrorism, armed conflict or war, including the ongoing conflicts between Russia and Ukraine, in the Middle East, and rebel attacks on commercial vessels in the Red Sea. Any threatened or actual escalation of the aforementioned conditions and related impacts may disrupt supply, increase the cost of energy or logistics, or delay or interrupt our supplies from suppliers. We have also experienced, and continue to experience, fluctuating freight and logistics costs, and delivery delays related to port congestion, labor actions and other challenges. If disruptions in our supplies occur (including in the rare earths or global semiconductor industries or other key inputs), or if our efforts to mitigate these shortages and disruptions are insufficient or unsuccessful, we may be delayed or unable to execute on our backlog, fill new customer orders or timely deliver products to our customers, which could have a material adverse effect on our business, financial condition or results of operations. Although we have insurance related to business continuity and supply chain, we cannot be certain that this coverage will continue to be available at a reasonable cost or will be adequate to cover any or all aspects of our supply chain disruptions.</w:t>
      </w:r>
    </w:p>
    <w:p>
      <w:pPr>
        <w:spacing w:after="0" w:line="86"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A material disruption to any of our facilities or operations, or that of third parties upon which we rely, may adversely affect our business and financial performance.</w:t>
      </w:r>
    </w:p>
    <w:p>
      <w:pPr>
        <w:spacing w:after="0" w:line="3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operations and businesses rely on our facilities and a complex and highly reactive global supply chain, including suppliers (and their suppliers), some of which are a single- or sole-source, distributors, contract manufacturers, subcontractors, joint venture partners, utilities providers, and freight and logistics providers. In addition, we outsource certain critical business processes and activities, including in the areas of Finance, Human Resources, Procurement, Travel and Information Technology. Certain of our businesses require that we or our subcontractors have access to customer sites to provide our products and services. Our facilities, operations, customers, contract manufacturers, subcontractors or other third parties on which we rely, have experienced, or may in the future experience, disruptions or delays resulting from an actual or threatened event or circumstance, including due to: equipment, technological or system failure; natural disaster; weather event or effects of climate change; water, communications, power or energy curtailment or outage; fire; explosion; critical supply chain failure; terrorism; cybersecurity incident; political disruption; outbreak of a pandemic or other public health crisis; insurrection; armed conflict or war, including the ongoing conflicts involving Russia and Ukraine, the Middle East, and rebel attacks on vessels in the Red Sea; labor dispute, stoppage or slowdown; lack of financial viability or other reason. In addition, our facilities or those of third parties upon which we rely operate certain equipment and manufacturing technology that may be unique and difficult to replace or involve long lead times for replacement. A significant disruption to any of our facilities or operations, or that of customers or third parties on which we rely, could cause material adverse impacts on our operations and business, including an inability to meet customer demand or contractual commitments, increased costs, and reduced market share or sales, and could also impact our business processes and activities, including our ability to timely report financial results. Any interruption may be lengthy, have lasting effects, require a significant amount of management and other employees' time and focus, and require substantial expenditures to mitigate the situation, which could negatively affect our operations, business processes and activities, profitability, financial condition and reputation. Any recovery under our insurance policies may not fully offset the lost sales, increased costs, or longer-term loss of suppliers or customers that we may experience as a result of a disruption. Although we continue to assess these risks, implement mitigation plans and perform business continuity and disaster recovery planning, we cannot guarantee that interruptions with material adverse effects on our operational and financial performance will not occur.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some or all the expected benefits and synergies from our acquisition of Evoqua.</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24, 2023, we completed the acquisition of Evoqua. The success of this acquisition will depend, in part, on our ability to realize the anticipated benefits from combining our and Evoqua’s businesses. We have and continue to devote substantial management attention and resources to the integration of the combined company’s business practices and operations so that we can fully realize the anticipated benefits of the acquisition, including cost and revenue synergies. Nonetheless, difficulties may arise that could impede our ability to achieve the anticipated synergies, including the loss of key talent that may be difficult to replace or our ability to maintain and expand relationships with customers, partners or suppliers. As a result, the anticipated benefits of the acquisition may take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0" w:name="page21"/>
    <w:bookmarkEnd w:id="20"/>
    <w:p>
      <w:pPr>
        <w:ind w:right="20"/>
        <w:spacing w:after="0" w:line="287" w:lineRule="auto"/>
        <w:rPr>
          <w:sz w:val="20"/>
          <w:szCs w:val="20"/>
          <w:color w:val="auto"/>
        </w:rPr>
      </w:pPr>
      <w:r>
        <w:rPr>
          <w:rFonts w:ascii="Arial" w:cs="Arial" w:eastAsia="Arial" w:hAnsi="Arial"/>
          <w:sz w:val="18"/>
          <w:szCs w:val="18"/>
          <w:color w:val="auto"/>
        </w:rPr>
        <w:t>longer to realize, may not be fully realized, or may cost more than expected, which could materially and adversely affect our business, results of operations or financial condition, as well as adversely impact our share price.</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Water and wastewater treatment operations, including those related to emerging contaminants, as well as the generation, handling, storage, use, transport, treatment, release or disposal of hazardous materials may result in contamination, environmental, personal or other liabilities, or pose other significant risks that could cause us to incur significant costs and reputational harm.</w:t>
      </w:r>
    </w:p>
    <w:p>
      <w:pPr>
        <w:spacing w:after="0" w:line="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water and wastewater treatment offerings involve unique risks and require compliance with a variety of laws or regulations, including the Clean Water Act and the Safe Drinking Water Act. If our treatment systems fail or do not operate properly, or if there is a spill, untreated or partially treated wastewater could discharge onto property or into nearby bodies of water and groundwater, causing various liabilities, damages and injuries, including environmental. In addition, a number of emerging contaminants might be found in water that we treat, including PFAS, PFOA, selenium, micro-plastics, chemicals or pathogens, that may cause illness or death if not eliminated during the treatment process, and result in liabilities and damages against us. Changes in environmental requirements, laws and regulations, or increased public awareness around the presence and health impacts of human-made chemicals and naturally occurring contaminants in drinking water, could increase or decrease demand for our products and services, increase our costs, result in the obsolescence of our products, or lead to an interruption of suspension of our operations.</w:t>
      </w:r>
    </w:p>
    <w:p>
      <w:pPr>
        <w:spacing w:after="0" w:line="7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Furthermore, our Water Solutions and Services segment engages in business activities including manufacturing, waste recycling and treatment processes that involve the use, treatment, storage, transfer, handling and/or disposal of non-hazardous and hazardous materials, chemicals and wastes, subject to applicable federal, state and local laws and regulations. The cost of compliance with these laws and regulations may increase resulting in increased operating costs or required additional investment in facilities. These business activities also create a risk of accidental contamination or injury to the environment and our employees, customers, other third parties and the general public (as end-users of our industrial and municipal customers’ products and services). In addition, under certain applicable environmental laws and regulations, including the Resource Conservation and Recovery Act ("RCRA") and the Comprehensive Environmental Response, Compensation, and Liability Act ("CERCLA"), we could be strictly, jointly and severally liable for releases of regulated substances at our current or former properties or the properties of others, or by other businesses that previously owned or used our current or former properties. We could also be liable or incur reputational damage if we transport such materials, generate hazardous materials or wastes, or merely arrange for their transportation, disposal, or treatment if they are subsequently released or cause harm.</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 foregoing business activities result in legal or environmental claims, damage or liabilities, including those described above, we could incur significant costs, liabilities or reputational damage in connection with legal defense, investigation, remediation of environmental contamination, damage to property or natural resources or personal injuries. Such costs and liabilities could exceed any applicable insurance coverage we may have and therefore could have a material adverse effect on our business, financial condition, results of operations or prospects, as well as our reputation.</w:t>
      </w:r>
    </w:p>
    <w:p>
      <w:pPr>
        <w:spacing w:after="0" w:line="73" w:lineRule="exact"/>
        <w:rPr>
          <w:sz w:val="20"/>
          <w:szCs w:val="20"/>
          <w:color w:val="auto"/>
        </w:rPr>
      </w:pPr>
    </w:p>
    <w:p>
      <w:pPr>
        <w:ind w:right="1000"/>
        <w:spacing w:after="0" w:line="294" w:lineRule="auto"/>
        <w:rPr>
          <w:sz w:val="20"/>
          <w:szCs w:val="20"/>
          <w:color w:val="auto"/>
        </w:rPr>
      </w:pPr>
      <w:r>
        <w:rPr>
          <w:rFonts w:ascii="Arial" w:cs="Arial" w:eastAsia="Arial" w:hAnsi="Arial"/>
          <w:sz w:val="18"/>
          <w:szCs w:val="18"/>
          <w:b w:val="1"/>
          <w:bCs w:val="1"/>
          <w:i w:val="1"/>
          <w:iCs w:val="1"/>
          <w:color w:val="auto"/>
        </w:rPr>
        <w:t>We may be unable to successfully execute large projects or meet customers’ timelines, budget, performance and safety requirements.</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portion of our revenue is derived from large projects that are complex and may occur over multiple years. These projects are subject to a number of risks, including delays; cost overruns; changes in scope; unanticipated site conditions; design and engineering issues; incorrect cost assumptions; increases in the cost of materials and labor; health and safety hazards; subcontractor performance issues; weather issues; and changes in laws, regulations or permitting requirements. If we are unable to manage these risks, we may incur higher costs, liquidated damages, and other liabilities to our customers, which may decrease our profitability and harm our reputation.</w:t>
      </w:r>
    </w:p>
    <w:p>
      <w:pPr>
        <w:spacing w:after="0" w:line="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our project-based customers typically require performance guarantees for the effluent produced by our water treatment equipment and services. Failure of our products and services to meet performance guarantees may require additional engineering, replacement of parts and equipment, frequent replacement of consumables or monetary reimbursement to a customer, or could otherwise increase our costs or result in liability to our customers. There are significant uncertainties and judgments involved in estimating performance guarantee obligations, including changing product designs, differences in customer installation processes and failure to identify or disclaim certain variables in a customer’s influent. If we incur substantial performance guarantee claims in any period, our reputation, earnings and future business prospects could be materially adversely affected.</w:t>
      </w:r>
    </w:p>
    <w:p>
      <w:pPr>
        <w:spacing w:after="0" w:line="7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Many of our customers also have safety performance requirements that we must meet to be allowed access to their sites to perform our services, install our products and execute projects. Risks arising from unsafe products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ind w:right="140"/>
        <w:spacing w:after="0" w:line="259" w:lineRule="auto"/>
        <w:rPr>
          <w:sz w:val="20"/>
          <w:szCs w:val="20"/>
          <w:color w:val="auto"/>
        </w:rPr>
      </w:pPr>
      <w:r>
        <w:rPr>
          <w:rFonts w:ascii="Arial" w:cs="Arial" w:eastAsia="Arial" w:hAnsi="Arial"/>
          <w:sz w:val="18"/>
          <w:szCs w:val="18"/>
          <w:color w:val="auto"/>
        </w:rPr>
        <w:t>performance by our employees include, among other things, delays in or suspension of site access to service or timely deliver our products. Workplace or product-related accidents or near-accidents, or the failure to follow our own or our customers’ safety policies could also damage our reputation or our customers’ perception of our safety record, which could have a material adverse impact on demand for our products and services, result in additional costs to our business, the loss of customers or litigation against us, or increase government or regulatory oversight.</w:t>
      </w:r>
    </w:p>
    <w:p>
      <w:pPr>
        <w:spacing w:after="0" w:line="73"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We may be unable to retain our existing leadership, engineering, technology, sales, services and other key talent or attract new qualified talent with diverse backgrounds, experiences and perspectives.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success depends to a significant extent on our ability to attract, retain and develop highly qualified employees in leadership positions, and in strategic or core competencies, including engineering, innovation, systems modernization, digital technologies, commercial excellence, service, and project management, as well as general production-related talent. The market for highly skilled talent, leaders and labor with diverse backgrounds, experiences and perspectives remains highly competitive in our industry. As a result, our success in attracting and retaining employees, particularly in the areas of services, digital technologies, innovation and data science, has depended, and will continue to depend, on our ability to offer attractive career growth opportunities, work arrangements, compensation and benefits, and also policies and ways of working that support employee well-being. In addition, we continue to evolve our culture, where colleagues are inspired to innovate, empowered to lead and accountable to deliver, and includes advancing inclusion and belonging. Our high-impact culture has been and will remain critical to attracting and retaining talent needed to execute our strategy, drive innovation, remain competitive and create long-term value. We also need to continue to develop qualified talent to support business growth and robust succession plans, both of which are critical to our long-term success. A failure to attract or retain highly engaged and skilled talent and labor could adversely affect our ability to meet and exceed the needs of our customers, operate and grow our business and execute our strategy.</w:t>
      </w:r>
    </w:p>
    <w:p>
      <w:pPr>
        <w:spacing w:after="0" w:line="84"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Defects, unanticipated or improper use or inadequate disclosures concerning our products could adversely affect our business, reputation and financial condition.</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Defects, inadequacies or quality issues in the manufacture, design, software, security or service of our products (including finished goods, parts or components that we source from third parties), unanticipated or improper use, or inadequate disclosure of risks relating to the use of our products, could result in product safety, product security, regulatory or environmental risks, personal injury, death, and property or environmental damage. These events could also lead to product recalls, safety or security alerts, or removal of a product from the market, issuance of credits, or warranty, liability or contractual claims and damages against us. Although we have liability insurance, we cannot be certain that this insurance coverage will continue to be available to us at a reasonable cost or will be adequate to cover any or all aspects of liability claims. Manufacturing, design, software, security or service defects or inadequacies may therefore result in significant costs, decreased profitability, negative publicity and reputational damage, that could reduce demand for our products and have material adverse impacts on our business, financial condition and results of operations.</w:t>
      </w:r>
    </w:p>
    <w:p>
      <w:pPr>
        <w:spacing w:after="0" w:line="75" w:lineRule="exact"/>
        <w:rPr>
          <w:sz w:val="20"/>
          <w:szCs w:val="20"/>
          <w:color w:val="auto"/>
        </w:rPr>
      </w:pPr>
    </w:p>
    <w:p>
      <w:pPr>
        <w:ind w:right="1020"/>
        <w:spacing w:after="0" w:line="294" w:lineRule="auto"/>
        <w:rPr>
          <w:sz w:val="20"/>
          <w:szCs w:val="20"/>
          <w:color w:val="auto"/>
        </w:rPr>
      </w:pPr>
      <w:r>
        <w:rPr>
          <w:rFonts w:ascii="Arial" w:cs="Arial" w:eastAsia="Arial" w:hAnsi="Arial"/>
          <w:sz w:val="18"/>
          <w:szCs w:val="18"/>
          <w:b w:val="1"/>
          <w:bCs w:val="1"/>
          <w:i w:val="1"/>
          <w:iCs w:val="1"/>
          <w:color w:val="auto"/>
        </w:rPr>
        <w:t>We may not achieve some of the expected benefits of our simplification and productivity initiatives or restructuring and realignment plans, or such initiatives and plans may adversely affect our business.</w:t>
      </w:r>
    </w:p>
    <w:p>
      <w:pPr>
        <w:spacing w:after="0" w:line="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time to time, we have and may continue to initiate simplification, productivity, restructuring and realignment actions for various reasons, including to optimize our cost structure, increase profitability, drive growth, improve our operational efficiency and effectiveness, and enable us to better serve our customers, or in response to impacts from business and economic conditions. Starting in 2024, we launched initiatives focused on improving margins and customer centricity through a range of business simplification, strategic pricing and operational productivity measures across our offerings, operations and customer base. Such measures may include: differentiating our offerings and pricing among customers and channels; adjusting the prices of certain offerings; rationalizing certain of our offerings; modernizing our systems by standardizing key enterprise applications; rationalizing our footprint; write-offs on affected assets; and simplifying our supply chain. As a result of these measures, there could be an adverse impact on our market share, competitiveness, profitability and growth, as well as the potential for unanticipated disruption in customer service.</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also engaged in an ongoing, multi-year effort to transform our company’s operating model, including our businesses and supporting functions, and have initiated related restructuring and realignment actions. Challenges with enabling technologies, modernizing our systems, and implementing planned restructuring and realignment activities have in the past, and may in the future, delay the realization of some of the expected operational, financial and customer centricity benefits from such actions. We may not be able to obtain some of the cost savings and benefits that were initially anticipated in connection with our transformation, restructuring and realignment plans. Additionally, as a result of these plans, we may experience a loss of talent or continuity of accumulated knowledge,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ind w:right="900"/>
        <w:spacing w:after="0" w:line="287" w:lineRule="auto"/>
        <w:rPr>
          <w:sz w:val="20"/>
          <w:szCs w:val="20"/>
          <w:color w:val="auto"/>
        </w:rPr>
      </w:pPr>
      <w:r>
        <w:rPr>
          <w:rFonts w:ascii="Arial" w:cs="Arial" w:eastAsia="Arial" w:hAnsi="Arial"/>
          <w:sz w:val="18"/>
          <w:szCs w:val="18"/>
          <w:color w:val="auto"/>
        </w:rPr>
        <w:t>or inefficiencies during transitional periods. Transforming, realigning and restructuring our company require a significant amount of management and other employees' time and focus, which may divert attention from operating and growing our business.</w:t>
      </w:r>
    </w:p>
    <w:p>
      <w:pPr>
        <w:spacing w:after="0" w:line="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successful implementation and execution of our simplification, productivity, restructuring and realignment actions are critical to achieving our strategy and long-range plan through expected cost savings, effectively competing in the marketplace, and positioning us for future growth. Factors that may impede the successful implementation, execution or realization of the benefits of these actions include a failure to retain key customers or employees; the impact of regulatory matters including tax; matters involving certain third-party service providers selected to assist us, including staffing, technology, and compliance of service providers with our internal controls over financial reporting; and adverse economic market conditions. If our simplification, productivity, restructuring and realignment actions are not executed successfully or we do not realize the anticipated benefits of such actions, it could have material adverse impacts on our competitive position, business, financial condition, cash flows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execution of our strategy includes acquisitions and divestitures, which we may be unable to successfully execute.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support of our growth strategy, we continue to realign and enhance our portfolio by pursuing the acquisition of companies, assets, technologies, product lines and customer channels that complement or expand our existing business or improve our competitive position, and divesting non-core or less strategic businesses. We may not be able to complete acquisitions or divestitures on favorable terms, timing or at all, or obtain financing that may be needed to consummate acquisitions. In addition, we may be adversely impacted by: (i) the failure to efficiently, effectively and timely integrate acquired businesses into our operations, technology, financial and other systems, (ii) the failure of acquired businesses to meet or exceed expected returns, which in the past has led to, and in the future may lead to, accounting impairments, or (iii) the discovery of unanticipated liabilities, cybersecurity concerns, control or compliance issues, environmental matters, labor relations difficulties, or other issues for which we lack contractual protections, insurance or indemnities. Failure to successfully execute our growth strategy via acquisitions and successfully integrate these acquisitions could adversely affect our competitive position, business, financial condition or results of operations.</w:t>
      </w:r>
    </w:p>
    <w:p>
      <w:pPr>
        <w:spacing w:after="0" w:line="7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Acquisitions involve a number of risks and present financial, managerial and operational challenges, including: diversion of management’s time and attention from existing businesses and operations; insufficient internal controls over financial or compliance activities or financial reporting of acquired businesses; failure to realize expected synergies; impact on our ability to achieve some or all of our sustainability commitments; assumption of new material risks associated with the acquired businesses; and loss of key employees of the acquired businesses. As a result, the anticipated benefits of acquisitions may take longer to realize or not be fully realized, or may cost more than expected, which could materially and adversely affect our business, results of operations or financial condition.</w:t>
      </w:r>
    </w:p>
    <w:p>
      <w:pPr>
        <w:spacing w:after="0" w:line="76"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A significant portion of our products and offerings in our Measurement and Control Solutions segment are affected by the availability, regulation of and interference with radio spectrum that we use.</w:t>
      </w:r>
    </w:p>
    <w:p>
      <w:pPr>
        <w:spacing w:after="0" w:line="3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 significant portion of the offerings in our Measurement and Control Solutions segment use radio spectrum that is subject to government regulation. In the U.S., our products are primarily designed to use FCC-licensed spectrum in the 900MHz range. The FCC may elect not to renew our existing spectrum licenses, or materially change the regulations affecting the use of these licenses. In addition, there may be insufficient available frequencies in some markets to sustain or develop our planned operations at a commercially feasible price or at all.</w:t>
      </w:r>
    </w:p>
    <w:p>
      <w:pPr>
        <w:spacing w:after="0" w:line="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Outside the U.S., certain of our products require the use of radio frequency and are subject to regulations. In some jurisdictions, radio station licenses may be granted for a fixed term and must be periodically renewed. Our advanced and smart metering systems offerings transmit to (and receive information from, if applicable) handheld, mobile, or fixed network reading devices in licensed bands made available to us through strategic partnerships and are reliant, to some extent, on the licensed spectrum continuing to be available through our partners or our customers. We may be unable to find partners or customers that have access to sufficient frequencies in some markets to sustain or develop our planned operations, or that have access to sufficient frequencies at a commercially feasible price or at all.</w:t>
      </w:r>
    </w:p>
    <w:p>
      <w:pPr>
        <w:spacing w:after="0" w:line="74"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To the extent we introduce new products designed for use in the U.S. or another country, such products may require significant modification or redesign in order to meet frequency requirements and other regulatory specifications. Limitations on frequency availability or the cost of making necessary modifications may preclude us from selling our products in certain countries. The regulations that govern our use of radio spectrum may change or new products may be allowed under the regulations that cause interference with our products, which may require us to modify our products or seek new partnerships. In addition, we may not be able to secure suitable partners for co-development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ind w:right="20"/>
        <w:spacing w:after="0" w:line="287" w:lineRule="auto"/>
        <w:rPr>
          <w:sz w:val="20"/>
          <w:szCs w:val="20"/>
          <w:color w:val="auto"/>
        </w:rPr>
      </w:pPr>
      <w:r>
        <w:rPr>
          <w:rFonts w:ascii="Arial" w:cs="Arial" w:eastAsia="Arial" w:hAnsi="Arial"/>
          <w:sz w:val="18"/>
          <w:szCs w:val="18"/>
          <w:color w:val="auto"/>
        </w:rPr>
        <w:t>of products. The lack of availability of radio spectrum or an inability or delay in modifying our products to meet frequency requirements, or the cost of completing such modifications, could have material adverse effects on our business, financial condition, and results of operations.</w:t>
      </w:r>
    </w:p>
    <w:p>
      <w:pPr>
        <w:spacing w:after="0" w:line="47"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Weather conditions, including the effects of climate change and associated efforts by governmental or regulatory authorities to mitigate such effects, may cause volatility in our served markets and demand for our products.</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unpredictable nature, frequency, and severity of, and changes in weather events, patterns and related conditions, such as heavy flooding, prolonged droughts, wildfires, rainfall amounts and intensity, sea levels, and fluctuations in temperatures, including as a result of climate change, can positively or negatively impact portions of our business and therefore result in volatility in our financial results. For example, certain events may disrupt customers’ operations, creating shutdowns that prevent our site access or defer our performance of services or sale of equipment. Heavy flooding and rain events may increase demand for our solutions that help manage water and stormwater overflows or remove and transfer excess or unwanted water. Prolonged drought conditions may increase demand for our pumping technology used in agriculture and turf irrigation applications. Demand for water reuse applications, such as those provided by our treatment business, may also increase as communities look to address water scarcity challenges. Fluctuations in temperatures may result in varying demand for our products used in residential and commercial hydronic applications, where homes and buildings use circulating water to heat and cool living spaces.</w:t>
      </w:r>
    </w:p>
    <w:p>
      <w:pPr>
        <w:spacing w:after="0" w:line="77"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In addition, certain of our products, services and solutions assist our customers in meeting increasingly stringent scarcity, efficiency, environmental and safety requirements, including via U.S. and other countries’ laws or regulations enacted for the purpose of limiting greenhouse gas (“GHG”) emissions or making water supplies more resilient, cleaner and safer. Our future growth is dependent in part on the impact and timing of such potential new laws and regulations, as well as potential changes to existing laws and regulations. If stricter laws or regulations are delayed, not enacted, repealed, amended to be less strict, not enforced or are enacted with prolonged phase</w:t>
      </w:r>
      <w:r>
        <w:rPr>
          <w:rFonts w:ascii="MS PGothic" w:cs="MS PGothic" w:eastAsia="MS PGothic" w:hAnsi="MS PGothic"/>
          <w:sz w:val="18"/>
          <w:szCs w:val="18"/>
          <w:color w:val="auto"/>
        </w:rPr>
        <w:t>‑</w:t>
      </w:r>
      <w:r>
        <w:rPr>
          <w:rFonts w:ascii="Arial" w:cs="Arial" w:eastAsia="Arial" w:hAnsi="Arial"/>
          <w:sz w:val="18"/>
          <w:szCs w:val="18"/>
          <w:color w:val="auto"/>
        </w:rPr>
        <w:t>in periods, demand for our products and services may be reduced. We are currently unable to predict whether changes to laws and regulations will affect demand for our products and services. To the extent that such changes increase uncertainty or have a negative impact on us, our business, financial condition, results of operations or prospects may be materially and adversely impacted.</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Severe weather events and other effects of climate change have also caused, and may in the future cause, disruptions to our facilities and operations, and those of our customers and suppliers, as well as fluctuations in demand for our products and services, and could also increase competition. In 2024, a physical risk analysis of our facilities using the Task Force on Climate Related Financial Disclosures framework indicated that our exposure to certain reviewed physical hazards (e.g. drought, wildfire, temperature extremes, water stress, etc.) is expected to remain low through 2030 under assessed GHG emission mitigation scenarios; but as we approach 2050, exposure to drought and temperature extremes may increase due to the effects of climate change. We cannot be sure that disruptions with material adverse effects will not occur despite our continued assessment of these risks, implementation of mitigation plans and business continuity and disaster recovery planning.</w:t>
      </w:r>
    </w:p>
    <w:p>
      <w:pPr>
        <w:spacing w:after="0" w:line="79"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Our sustainability commitments, goals, targets, objectives and initiatives, and our public statements and disclosures regarding them or in response to mandatory reporting standards, expose us to numerous risks.</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support of our strategy, we have and will continue to establish goals, targets, and other objectives related to sustainability matters, including science-based targets aligned to limiting global temperature increase to 1.5°C above pre-industrial level by 2030, in line with the Paris Agreement, and commitment to net-zero GHG emissions (Scope 1, 2 and 3) before 2050. Achieving our sustainability goals and commitments will require evolving our business, making capital investments and developing technologies that might not currently exist. We might incur additional expenses or be required to recognize impairment charges in connection with our efforts. These commitments, goals, targets and other objectives reflect our current plans and there is no guarantee that they will be achieved or maintained. Our efforts to research, establish, accomplish and accurately report on these commitments, goals, targets and objectives expose us to operational, reputational, financial, legal, and other risks. Our ability to achieve any stated commitment, goal, target, or objective is subject to varied factors and conditions, many of which are outside of our control, including the extent to which energy generated from renewable resources is available from the grid, the pace of changes in technology, the availability of requisite financing, and the availability of suppliers that can meet our sustainability and other standards.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may face increased scrutiny from the investment community, regulators, media (including social media) and other stakeholders related to our sustainability activities, commitments, goals, targets and objectives, and our methodologies and timelines for pursuing them. At the same time, certain governmental representatives and other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4" w:name="page25"/>
    <w:bookmarkEnd w:id="24"/>
    <w:p>
      <w:pPr>
        <w:ind w:right="360"/>
        <w:spacing w:after="0" w:line="287" w:lineRule="auto"/>
        <w:rPr>
          <w:sz w:val="20"/>
          <w:szCs w:val="20"/>
          <w:color w:val="auto"/>
        </w:rPr>
      </w:pPr>
      <w:r>
        <w:rPr>
          <w:rFonts w:ascii="Arial" w:cs="Arial" w:eastAsia="Arial" w:hAnsi="Arial"/>
          <w:sz w:val="18"/>
          <w:szCs w:val="18"/>
          <w:color w:val="auto"/>
        </w:rPr>
        <w:t>stakeholders have increasingly expressed or pursued opposing views, legal and investment expectations around sustainability initiatives, including the enactment or proposal of “anti-ESG” legislation, executive orders or policies and adverse social media campaigns.</w:t>
      </w:r>
    </w:p>
    <w:p>
      <w:pPr>
        <w:spacing w:after="0" w:line="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subject to increasing regulatory requirements around sustainability-related disclosures, including significant rule making by the EU related to the Corporate Sustainability Reporting Directive and climate-related rules and regulations pursued by U.S.-based governments (e.g. federal or states) and other countries, which may continue to evolve. Complying with regulators’ disclosure requirements has and will continue to impose substantial additional costs and require additional resources, including for third-party attestation, and to enable the capture, analysis and audit of appropriate data. We may also experience operational disruption, increased costs, and other harms in our efforts to comply with or respond to reversals or changes in such requirements. Any actual or alleged failure to comply with regulatory requirements around disclosures could result in fines, penalties and civil liabilities, and damage to our reputation. Furthermore, if our sustainability reporting and practices do not meet investors, regulators or other stakeholders’ expectations, standards and requirements, or if we are unable to satisfy all stakeholders (who reflect varied and evolving expectations), our reputation, ability to attract or retain employees, and attractiveness as an investment, business partner or acquiror could be negatively impacted. Similarly, our failure or perceived failure to pursue or fulfill our sustainability commitments, goals, targets, and objectives, to comply with ethical, environmental or other standards, regulations, or expectations, or to comply with reporting and disclosure requirements and standards related to these matters, within the timelines we announce, or at all, could have adverse operational, reputational, financial and legal impacts.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and Tax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foreign currency exchange rate fluctuations.</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Sales outside the U.S. for the year ended December 31, 2024 accounted for approximately 43% of our net sales. We also have significant operations in various locations outside the U.S. Our principal currency exposures for which we enter into cash flow hedges relate to the Euro, Swedish Krona, British Pound, Canadian Dollar, Australian Dollar, and Polish Zloty. Changes in the value of currencies of the countries in which we do business relative to the value of the U.S. Dollar or Euro could affect our ability to sell products competitively and control our cost structure, which has had and may continue to have a material adverse effect on our business, financial condition, cash flows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British Pound, Chinese Yuan, Canadian Dollar, Australian Dollar, Swedish Krona, and Indian Rupee. As the U.S. Dollar fluctuates against other currencies in which we transact business, revenue and income may be impacted. Strengthening of the U.S. Dollar relative to the Euro and the currencies of the other countries in which we do business, has materially and adversely affected, and could in the future materially and adversely affect, our sales growth and profitability. Refer to Item 7A. "Quantitative and Qualitative Disclosures about Market Risk" for additional information on foreign exchange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from period to period and can be difficult to predict.</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businesses are impacted by short cycle and book-and-bill business to varying degrees, which may be difficult to predict, or we have limited visibility into, particularly for the business that we transact through our significant distribution network. In addition, our businesses are impacted by long-cycle business including large projects, which could be unexpectedly canceled, or whose timing can change based upon customer requirements due to a number of factors affecting the projects that are beyond our knowledge or control, such as funding, readiness of the project and regulatory approvals. We rely on a complex global supply chain, which is subject to dynamic conditions, volatility, unexpected changes and disruptions due to macroeconomic and geopolitical conditions. These supply chain challenges have affected, and may continue to affect, our cost structure, production and ability to timely fill customer orders. Accordingly, our financial results for any given period have been and will continue to be difficult to predict.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 significant amount of goodwill and purchased intangible assets on our Consolidated Balance Sheets as a result of acquisitions. As of December 31, 2024, the net carrying value of our goodwill and other indefinite-lived intangible assets totaled approximately $8 billion. In accordance with generally accepted accounting principles, we evaluate these assets for impairment at least annually, or more frequently if changes in events or circumstances indicate it is more likely than not that a potential impairment could exist. Significant negative industry or economic trends, disruptions to our business or our customers’ business, inability to effectively integrate or scale acquired businesses, increases in cost of capital, unexpected significant changes or planned changes in use of the assets, failure of the FCC to renew radio spectrum licenses, and divestitures and market capitalization declines may cause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ind w:right="180"/>
        <w:spacing w:after="0" w:line="287" w:lineRule="auto"/>
        <w:rPr>
          <w:sz w:val="20"/>
          <w:szCs w:val="20"/>
          <w:color w:val="auto"/>
        </w:rPr>
      </w:pPr>
      <w:r>
        <w:rPr>
          <w:rFonts w:ascii="Arial" w:cs="Arial" w:eastAsia="Arial" w:hAnsi="Arial"/>
          <w:sz w:val="18"/>
          <w:szCs w:val="18"/>
          <w:color w:val="auto"/>
        </w:rPr>
        <w:t>impairment of our goodwill and other indefinite-lived intangible assets. Material impairment charges have in the past and could in the future adversely affect our results of operations and financial condition.</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rates and tax expenses may adversely affect our financial results.</w:t>
      </w:r>
    </w:p>
    <w:p>
      <w:pPr>
        <w:spacing w:after="0" w:line="10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sell our products in approximately 150 countries and 43% of our revenue was generated outside the U.S. for the year ended December 31, 2024. Given the global nature of our business, a number of factors may increase our effective tax rates and tax expense, including:</w:t>
      </w:r>
    </w:p>
    <w:p>
      <w:pPr>
        <w:spacing w:after="0" w:line="45" w:lineRule="exact"/>
        <w:rPr>
          <w:sz w:val="20"/>
          <w:szCs w:val="20"/>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geographic mix of jurisdictions in which profits are earned and taxed;</w:t>
      </w:r>
    </w:p>
    <w:p>
      <w:pPr>
        <w:spacing w:after="0" w:line="27" w:lineRule="exact"/>
        <w:rPr>
          <w:rFonts w:ascii="Arial" w:cs="Arial" w:eastAsia="Arial" w:hAnsi="Arial"/>
          <w:sz w:val="18"/>
          <w:szCs w:val="18"/>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statutory tax rates and tax laws in jurisdictions in which we conduct business;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resolution of tax issues arising from tax examinations by various tax authorities; and</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deferred tax assets and liabilities.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tax laws, regulations, and administrative practices in various jurisdictions may be subject to significant change, with or without notice, due to economic, political and other conditions. Significant judgment is required in evaluating and estimating our provision and accruals for these taxes. We continue to monitor the developments and tax implications surrounding changes in the global tax environment, including the Organization for Economic Co-operation and Development’s model rules that propose a global minimum tax rate of 15%. Certain countries have enacted such legislation effective in 2024. Furthermore, we expect the U.S. Congress to consider additional tax legislation in 2025, including extensions or other changes to the 2017 Tax Cuts and Jobs Act. We will continue to monitor pending legislation and implementation by individual countries and evaluate the potential impact on our business in future periods.</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businesses are regularly examined by various tax authorities throughout the world and the resolutions of these examinations do not typically have a significant impact on our effective tax rates and tax expenses, but they could. For example, following an examination regarding aspects of the reorganization of our European business that occurred in 2013, the Swedish tax authority issued a tax assessment to Xylem’s Swedish subsidiary in 2019, which we are appealing as further described in Note 7, “Income Taxes.” This examination as well as other examinations can result in increased tax assessments, and settlement or litigation about the assessments and final resolution could be unfavorable to Xylem. We regularly assess the likelihood of favorable or unfavorable outcomes resulting from these examinations to determine the adequacy of our provision for income taxes, including unrecognized tax benefits; however, unanticipated developments in an audit or litigation could materially and adversely affect us. Although we believe our tax estimates and accruals are reasonable, there can be no assurance that any final determination will not be materially different than the treatment reflected in our historical income tax provisions, accruals and unrecognized tax benefits, which could materially and adversely affect our business, operating results, cash flows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pension and other defined benefit plans are subject to regulatory and financial market risks.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current and retired employees are covered by pension and other defined benefit plans (collectively, “post-retirement benefit plans”). We make contributions to fund our post-retirement benefit plans when it is necessary or we consider it advantageous to do so. Risks to the Company include significant changes in market interest rates and inflation, decreases in fair value of plan assets, changes in discount rates, or changes in minimum funding requirements established by governments, taxing authorities or other agreements, any of which could increase our funding obligations and adversely impact our earnings, financial condition and cash flows in future periods. In addition to cash funding, we attempt to mitigate these risks, including through investments in assets intended to hedge market risk and in insurance solutions to transfer risk. However, the cost of our post-retirement benefit plans is incurred over long periods of time and involves factors that can be volatile and unpredictable, including rates of return on plan assets, discount rates used to calculate liabilities and expenses, changes in laws, regulatory actions, and changes in actuarial experience and assumptions, which could adversely impact our earnings, results of operations, financial condition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Failure to comply with laws, regulations and policies related to our business conduct, including the U.S. Foreign Corrupt Practices Act, other applicable anti-corruption laws, trade regulations, and data privacy and security laws, could have a material adverse impact on us.</w:t>
      </w:r>
    </w:p>
    <w:p>
      <w:pPr>
        <w:spacing w:after="0" w:line="5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Given our global operations, we are subject to regulation under a wide variety of U.S. and non-U.S. laws, regulations and policies related to anti-bribery and corruption, trade including tariffs, exports and imports, anti-trust and competition, money laundering, and employment. Our policies mandate compliance with these laws and regulations. The U.S. Foreign Corrupt Practices Act (the "FCPA"), the U.K. Bribery Act of 2010 and similar anti-corruption laws in other jurisdictions generally prohibit companies and their intermediaries from making improper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6" w:name="page27"/>
    <w:bookmarkEnd w:id="26"/>
    <w:p>
      <w:pPr>
        <w:ind w:right="120"/>
        <w:spacing w:after="0" w:line="254" w:lineRule="auto"/>
        <w:rPr>
          <w:sz w:val="20"/>
          <w:szCs w:val="20"/>
          <w:color w:val="auto"/>
        </w:rPr>
      </w:pPr>
      <w:r>
        <w:rPr>
          <w:rFonts w:ascii="Arial" w:cs="Arial" w:eastAsia="Arial" w:hAnsi="Arial"/>
          <w:sz w:val="18"/>
          <w:szCs w:val="18"/>
          <w:color w:val="auto"/>
        </w:rPr>
        <w:t>payments to government officials or other persons for the purpose of obtaining or retaining business. We operate in many parts of the world that are recognized as having governmental and commercial corruption and in certain circumstances, strict compliance with anti-corruption laws may conflict with local business customs and practices. We cannot guarantee that our internal controls, policies and procedures will always prevent and protect us from improper conduct by our employees or business partners, including distributors and sales agents. In the event that we believe or have reason to believe that our employees or business partners have or may have violated applicable laws, regulations or policies, including anti-corruption laws, we are required to investigate the relevant facts and circumstances. This can be expensive and require significant time and attention from senior management. Any violation could result in substantial fines, sanctions, civil and/or criminal penalties, termination of relationships with business partners, or curtailment of operations in certain jurisdictions, and as a result might materially and adversely affect our business, results of operations or financial condition. In addition, actual or alleged violations could damage our reputation and ability to do business.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to conduct our business and operations, we retain or move data across borders, and consequently we are subject to the evolving legal and regulatory landscape regarding data privacy, data protection and data security, including the California Consumer Protection Act, the EU's GDPR and the China PIPL. The scope of these and other laws that may be applicable to us continues to evolve, is often uncertain and may be conflicting, particularly as respects foreign laws. GDPR greatly increases the jurisdictional reach of EU law and adds a broad array of requirements for handling personal data, including the enforcement of data subject rights, enhanced security requirements, obligations to guarantee EU data subject rights are not compromised in countries outside the EU, and public disclosure of significant data breaches. Other countries, such as China with its PIPL, have enacted or are enacting data localization and security laws, as well as various reporting requirements. All of these evolving legal and operational requirements impose significant costs of compliance that are likely to increase over time. We cannot guarantee that we will at all times be in compliance with all requirements. In addition, any violation could result in substantial fines, sanctions and/or civil penalties, damage to our reputation and could materially and adversely affect our business, results of operations or financial condition.</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Failure to comply with, and the cost of complying with, laws, regulations, policies and taxes applicable to our operations, products and services, including those involving the environment, climate change, and health and safety, could have a material adverse impact on us.</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operations, products and services are governed by various federal, state, and local or foreign laws and regulations for the protection of the public, our employees and the environment, including those related to: emissions; potable and non-potable water; wastewater treatment and discharge; the generation, handling, storage, use, transport, treatment and disposal of non-hazardous and hazardous materials and wastes; the use of U.S. FCC-licensed radio spectrum (as detailed above); and our employees’ health and safety. Such laws and regulations include the Occupational Health and Safety Act, the federal Safe Drinking Water Act, the Clean Water Act, the Clean Air Act, RCRA, CERCLA, the Toxic Substances Control Act, the Federal Insecticide, Fungicide and Rodenticide Act, the EU’s Restriction of Hazardous Substance Directive, and the EU’s Registration, Evaluation and Authorization of Chemicals Directive, as well as others enacted in response to environmental and climate change concerns. In addition, certain of our products may be subject to product safety regulations. For example, certain of our products supplied to the medical industry are subject to U.S. Food and Drug Administration 510(k). The aforementioned laws and regulations establish, among other things, criteria and standards we must comply with and may require licensing, permitting, approval or reporting. We cannot guarantee that our operations, products or services will at all times be in compliance with all applicable laws, regulations and permits or that we will be able to obtain or renew all required permits.</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Increasing public and governmental concern regarding the environment and the effects of climate change has, and may continue to, result in new or increased legal and regulatory requirements, policies and taxes intended to limit environmental damage and GHG emissions. These may encompass pollution and discharges, emissions trading schemes, carbon, fuel or other taxes. In addition, as discussed above, we are subject to increasing regulatory requirements around disclosures related to our business’ impact on climate change. Compliance with all of these requirements is complex. Applicable requirements change frequently and the timing and substance of future changes is uncertain and difficult to predict. We incur, and expect to continue to incur, increased costs to comply with applicable requirements, including: i) operating and capital expenditures related to our facilities and equipment; ii) research and development costs, including with respect to the design or re-design of our products in order to conform to changing emissions and efficiency standards and regulations, and iii) costs for tools, talent and resources to meet the increasing disclosures requirements (discussed above). Our failure to comply with applicable laws, regulations, policies and taxes may result in substantial litigation and defense costs, fines, penalties and criminal sanctions; facility shutdowns to address violations; and investments in costly pollution control equipment or operational changes to limit emissions or discharges. Developments such as the adoption of new environmental or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7" w:name="page28"/>
    <w:bookmarkEnd w:id="27"/>
    <w:p>
      <w:pPr>
        <w:ind w:right="60"/>
        <w:spacing w:after="0" w:line="262" w:lineRule="auto"/>
        <w:rPr>
          <w:sz w:val="20"/>
          <w:szCs w:val="20"/>
          <w:color w:val="auto"/>
        </w:rPr>
      </w:pPr>
      <w:r>
        <w:rPr>
          <w:rFonts w:ascii="Arial" w:cs="Arial" w:eastAsia="Arial" w:hAnsi="Arial"/>
          <w:sz w:val="18"/>
          <w:szCs w:val="18"/>
          <w:color w:val="auto"/>
        </w:rPr>
        <w:t>climate change laws and regulations, enforcement actions or litigation, discovery of previously unknown or more extensive contamination conditions, obsolescence of our products, interruption or suspension of our operations, an inability to recover costs associated with any such developments, or the financial insolvency of other responsible parties, could have material adverse effects on our business, financial condition, cash flows, results of operations, and reputation.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legal and regulatory proceedings.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subject to various laws, regulations and other requirements of U.S. and foreign governmental authorities, any violation of which could potentially create substantial liability and damage our reputation. Changes in laws, ordinances, regulations or other government policies, the nature, timing, and effect of which are uncertain, may significantly increase our expenses and liabilities.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(including that of acquired or previously owned entities). These proceedings may seek remedies relating to environmental matters, tax, securities, intellectual property, acquisitions or divestitures, product liability, property damage, personal injury, privacy, employment, labor and pensions, governmental and commercial or contractual issues or disputes. In addition, our continued transition to connected products and services and digital technologies and solutions has increased our exposure to intellectual property litigation and we expect that this risk will continue to increase as we execute on our innovation and technology priorities. It is not possible to predict with certainty the outcome of claims, investigations, regulatory proceedings and lawsuits, and we have in the past and could in the future incur judgments, fines or penalties or enter into settlements. Additionally, we may be required to change or cease operations at one or more facilities if a regulatory agency determines that we have failed to comply with laws, regulations or orders applicable to our business.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global and diverse nature of our operations, coupled with the increase in regulation and enforcement in many regions globally, means that we will continue to face legal and compliance risks. Additional legal and regulatory proceedings and other contingencies, the outcome of which cannot be predicted with certainty, have in the past and may in the future arise from time to time. In addition, subsequent developments in legal and regulatory proceedings may affect our assessments and estimates of loss contingencies recorded as a reserve and require us to make payments in excess of our reserves. Any of the foregoing impacts could have an adverse effect on our business, results of operations, financial condition and reputation.</w:t>
      </w:r>
    </w:p>
    <w:p>
      <w:pPr>
        <w:spacing w:after="0" w:line="76"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Infringement or expiration of our intellectual property rights, or allegations that we have infringed upon the intellectual property rights of third parties could negatively affect us.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own numerous patents, trademarks, copyrights, trade secrets and other intellectual property and licenses to intellectual property owned by others, that are important to our business. Our intellectual property rights may provide us with competitive advantages because they may help us differentiate our technologies, products and services. However, our current or future intellectual property rights may not be sufficiently broad or may be challenged, invalidated, circumvented, misappropriated, independently developed, or designed around, particularly given our operations in countries where laws governing intellectual property rights are not highly developed, protected or enforced. Our failure to obtain or maintain intellectual property rights that convey competitive advantage, adequately protect our intellectual property, or detect or prevent circumvention, misappropriation or unauthorized use of such property, as well as the cost of enforcing our intellectual property rights, could adversely impact our business, financial condition and results of operations.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we receive claims from third parties alleging intellectual property infringement or misappropriation. We may not be successful in defending, asserting a counterclaim or negotiating a license, in response to such claims. In addition, as a result of such infringement or misappropriation claims, we could lose our rights to use or license critical technology, sell critical products and services, be required to pay substantial damages or license fees with respect to the use of third-party intellectual property rights, or be required to redesign our products at substantial cost, any of which could adversely impact our competitive position, financial condition and results of operations. Even if we successfully defend against claims of infringement or misappropriation, we may incur significant costs and diversion of management attention and resources, which could adversely affect our business, financial condition and results of operations.</w:t>
      </w:r>
    </w:p>
    <w:p>
      <w:pPr>
        <w:spacing w:after="0" w:line="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8" w:name="page29"/>
    <w:bookmarkEnd w:id="28"/>
    <w:p>
      <w:pPr>
        <w:spacing w:after="0"/>
        <w:tabs>
          <w:tab w:leader="none" w:pos="94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 SECURITY.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Risk Management and Strategy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Cybersecurity risk management is integrated into our Enterprise Risk Management (“ERM”) Program, which is our approach to identifying, assessing, prioritizing and mitigating risks to the Company, with mitigation efforts focused on the highest risks. Our ERM Program assesses risks, including those related to cybersecurity, annually, and monitors such risks on an ongoing basis.</w:t>
      </w:r>
    </w:p>
    <w:p>
      <w:pPr>
        <w:spacing w:after="0" w:line="6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maintain a comprehensive cybersecurity program that encompasses our enterprise information technology, including operational technology and technology of third parties on which we rely, and connected products and services. Our enterprise cybersecurity program is guided by the National Institute of Standards and Technology’s (“NIST”) Cybersecurity Framework. Key areas of responsibility in the program include governance, risk and compliance, threat analysis and response, security architecture and engineering, security operations and secure manufacturing operations. Our connected products and services cybersecurity program is guided by the ISA/IEC 62443 standard. Key areas of responsibility include product security, software development, innovation management, threat analysis and incident response. Both the enterprise and connected products and services programs are designed to assess, identify and manage risks from cybersecurity threats in order to protect and preserve the security, resiliency, integrity and continued availability of the Company’s information technology systems and connected products and services, and also to protect the confidentiality and integrity of information owned by, or in the custody and care of, the Company. Elements of the programs include policies, standards, architecture, processes, tools, technology, employee education and training, and incident response. Our enterprise and product security programs undergo regular testing, including periodic vulnerability scanning and penetration testing. In addition, we also periodically engage third parties to assess our enterprise and product security programs and provide consultation and advice to assist with assessing, identifying and managing cybersecurity risks.</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maintain cybersecurity policies that apply to all employees, businesses and functions, as well as third-party vendors and contractors as required by our legal agreements with them. These policies specify roles and responsibilities, fundamental principles and proper controls required for Xylem’s protection, and also require the use of certain cyber risk management processes to onboard new suppliers and other third parties. We periodically review our policies to identify potential gaps or areas for improvement, considering changes in the Company, and its connected products and services, as appropriate.</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Cybersecurity Incident Response Plan (“IRP”), which generally aligns with NIST's guidance, provides management with a standardized framework for responding to an actual or potential cybersecurity threat or incident. The IRP sets out a coordinated approach to investigating, containing, documenting and mitigating incidents, including reporting findings and keeping senior management and other key stakeholders informed and involved as appropriate. The IRP also specifies the use of third-party experts for legal advice, consulting and incident response, as appropriate. The IRP undergoes at least annual tabletop exercises, the results of which are used to identify areas for improvement in our processes and technologies. We have protocols and processes by which certain cybersecurity incidents, as specified by our IRP, are escalated within the Company and, as appropriate, to the Audit Committee of the Board of Directors.</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Employees receive annual and ongoing education and training regarding relevant cybersecurity risks and practices, including how to protect information and systems from cyber threats. We also conduct monthly phishing simulations to increase employees’ ability to detect and prevent such threats.</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Company maintains insurance as part of its cybersecurity risk mitigation strategy to provide protection against certain potential losses arising from certain cybersecurity incidents.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Governance</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line with its broader strategic oversight, the Board oversees cybersecurity, including strategy and processes. To assist with oversight of cybersecurity, the Board has delegated to its Audit Committee responsibility to oversee certain aspects of cybersecurity, including controls and reporting. At least semi-annually, the Audit Committee or full Board receive reports from the Chief Information Officer (“CIO”) and Chief Information Security Officer (“CISO”). Reports include topics such as updates on the Company’s cybersecurity risk profile, assessments of the Company’s enterprise and product security programs, management’s strategy for managing risks, measures implemented to identify and mitigate cybersecurity risks, the status of projects to strengthen the Company’s cybersecurity posture, the emerging cybersecurity threat landscape and other relevant topics. The Board also receives a report from management on the results of the Company’s annual ERM Program risk assessment, as well periodic updates on the ERM Program and ongoing monitoring of the Company’s risks, including cybersecurity risk, as appropriate.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color w:val="auto"/>
        </w:rPr>
        <w:t>The Company’s Cyber Risk Committee (“CRC”), comprised of a cross-functional group of senior executives, provides advice and governance regarding the Company’s strategic management of cybersecurity across the Company, including cybersecurity risk posture, projects, issues, threat intelligence and escalations. At its periodic meetings, the CRC receives reports and presentations from the CISO or third parties on internal and external cybersecurity matters, and, as appropriate, briefings from the CISO on cybersecurity incidents, the Company’s incident response, recovery and remediation and actual or potential impacts.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CISO, who has extensive cybersecurity knowledge and skills gained from over 25 years of relevant work experience, and is a Certified Information Systems Security Professional, is responsible for assessing, monitoring and advising the Company’s various business units, management and the Board on risks from cybersecurity threats; implementing cybersecurity strategy, programs and processes across our enterprise and connected products and services; reviewing the risk management measures implemented by the Company to identify and mitigate cybersecurity risks; and overseeing the maintenance and deployment of the Cybersecurity Incident Response Plan. The CISO leads the Company’s Cybersecurity Team (“Team”), comprised of individuals with a broad range of cybersecurity skills, experiences and certifications. The Team is responsible for the implementation, monitoring and maintenance of the Company’s cybersecurity practices in coordination with its businesses, operations and functions, and oversees the Company’s cybersecurity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Cybersecurity Risks, Threats &amp; Incidents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have experienced actual and attempted cybersecurity threats and incidents in the past, we do not believe that the risks from any of these events or incidents, individually or in the aggregate, have materially affected our business, operations or financial condition, or are reasonably likely to have such an effect. However, due to evolving cybersecurity threats, it has and will continue to be difficult to prevent, detect, mitigate, and remediate cybersecurity incidents. For a more detailed discussion of the risks we face see the discussion set forth under “Item 1A. Risk Factors” in this Report.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approximately 500 locations in more than 50 countries. These properties total approximately 15 million square feet, of which more than 400 locations, or approximately 8 million square feet, are leased. We consider the offices, plants, warehouses and other properties that we own or lease to be in good condition and generally suitable for the purposes for which they are used. The following table shows our significant locations by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State or</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Approx.</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 or</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3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9"/>
            <w:vMerge w:val="restart"/>
          </w:tcPr>
          <w:p>
            <w:pPr>
              <w:jc w:val="center"/>
              <w:ind w:right="1020"/>
              <w:spacing w:after="0"/>
              <w:rPr>
                <w:sz w:val="20"/>
                <w:szCs w:val="20"/>
                <w:color w:val="auto"/>
              </w:rPr>
            </w:pPr>
            <w:r>
              <w:rPr>
                <w:rFonts w:ascii="Arial" w:cs="Arial" w:eastAsia="Arial" w:hAnsi="Arial"/>
                <w:sz w:val="14"/>
                <w:szCs w:val="14"/>
                <w:b w:val="1"/>
                <w:bCs w:val="1"/>
                <w:color w:val="auto"/>
              </w:rPr>
              <w:t>Principal Business Activity</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Square</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40" w:type="dxa"/>
            <w:vAlign w:val="bottom"/>
            <w:gridSpan w:val="2"/>
            <w:vMerge w:val="continue"/>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Country</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9"/>
            <w:vMerge w:val="continue"/>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83"/>
        </w:trPr>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gridSpan w:val="7"/>
          </w:tcPr>
          <w:p>
            <w:pPr>
              <w:jc w:val="center"/>
              <w:ind w:right="1100"/>
              <w:spacing w:after="0" w:line="182" w:lineRule="exact"/>
              <w:rPr>
                <w:sz w:val="20"/>
                <w:szCs w:val="20"/>
                <w:color w:val="auto"/>
              </w:rPr>
            </w:pPr>
            <w:r>
              <w:rPr>
                <w:rFonts w:ascii="Arial" w:cs="Arial" w:eastAsia="Arial" w:hAnsi="Arial"/>
                <w:sz w:val="18"/>
                <w:szCs w:val="18"/>
                <w:b w:val="1"/>
                <w:bCs w:val="1"/>
                <w:i w:val="1"/>
                <w:iCs w:val="1"/>
                <w:color w:val="auto"/>
                <w:w w:val="97"/>
              </w:rPr>
              <w:t>Water Infrastructure</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Emmaboda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Sweden</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1,197,000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Shenyang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China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271,000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Vadodara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India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Stockholm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Sweden</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7"/>
          </w:tcPr>
          <w:p>
            <w:pPr>
              <w:jc w:val="center"/>
              <w:ind w:right="1460"/>
              <w:spacing w:after="0" w:line="193" w:lineRule="exact"/>
              <w:rPr>
                <w:sz w:val="20"/>
                <w:szCs w:val="20"/>
                <w:color w:val="auto"/>
              </w:rPr>
            </w:pPr>
            <w:r>
              <w:rPr>
                <w:rFonts w:ascii="Arial" w:cs="Arial" w:eastAsia="Arial" w:hAnsi="Arial"/>
                <w:sz w:val="18"/>
                <w:szCs w:val="18"/>
                <w:b w:val="1"/>
                <w:bCs w:val="1"/>
                <w:i w:val="1"/>
                <w:iCs w:val="1"/>
                <w:color w:val="auto"/>
                <w:w w:val="99"/>
              </w:rPr>
              <w:t>Applied Water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Morton Grove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IL</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Montecchio</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Italy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Nanjing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China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Auburn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Abony</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Hungary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Stockerau</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Austria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Strzelin</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Poland</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Cheektowaga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gridSpan w:val="11"/>
          </w:tcPr>
          <w:p>
            <w:pPr>
              <w:jc w:val="center"/>
              <w:ind w:right="520"/>
              <w:spacing w:after="0" w:line="193" w:lineRule="exact"/>
              <w:rPr>
                <w:sz w:val="20"/>
                <w:szCs w:val="20"/>
                <w:color w:val="auto"/>
              </w:rPr>
            </w:pPr>
            <w:r>
              <w:rPr>
                <w:rFonts w:ascii="Arial" w:cs="Arial" w:eastAsia="Arial" w:hAnsi="Arial"/>
                <w:sz w:val="18"/>
                <w:szCs w:val="18"/>
                <w:b w:val="1"/>
                <w:bCs w:val="1"/>
                <w:i w:val="1"/>
                <w:iCs w:val="1"/>
                <w:color w:val="auto"/>
                <w:w w:val="99"/>
              </w:rPr>
              <w:t>Measurement and Control Solutions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Ludwigshafen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Texarkana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AR</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Uniontown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Durham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NC</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Weilheim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10"/>
          </w:tcPr>
          <w:p>
            <w:pPr>
              <w:jc w:val="center"/>
              <w:ind w:right="800"/>
              <w:spacing w:after="0" w:line="193" w:lineRule="exact"/>
              <w:rPr>
                <w:sz w:val="20"/>
                <w:szCs w:val="20"/>
                <w:color w:val="auto"/>
              </w:rPr>
            </w:pPr>
            <w:r>
              <w:rPr>
                <w:rFonts w:ascii="Arial" w:cs="Arial" w:eastAsia="Arial" w:hAnsi="Arial"/>
                <w:sz w:val="18"/>
                <w:szCs w:val="18"/>
                <w:b w:val="1"/>
                <w:bCs w:val="1"/>
                <w:i w:val="1"/>
                <w:iCs w:val="1"/>
                <w:color w:val="auto"/>
                <w:w w:val="99"/>
              </w:rPr>
              <w:t>Water Solutions and Services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Thomasville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211,000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Rockford</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IL</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Bridgeport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NJ</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Holland</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132,000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Houston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TX</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Service</w:t>
            </w:r>
          </w:p>
        </w:tc>
        <w:tc>
          <w:tcPr>
            <w:tcW w:w="1080" w:type="dxa"/>
            <w:vAlign w:val="bottom"/>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right="20"/>
              <w:spacing w:after="0" w:line="193" w:lineRule="exact"/>
              <w:rPr>
                <w:sz w:val="20"/>
                <w:szCs w:val="20"/>
                <w:color w:val="auto"/>
              </w:rPr>
            </w:pPr>
            <w:r>
              <w:rPr>
                <w:rFonts w:ascii="Arial" w:cs="Arial" w:eastAsia="Arial" w:hAnsi="Arial"/>
                <w:sz w:val="18"/>
                <w:szCs w:val="18"/>
                <w:b w:val="1"/>
                <w:bCs w:val="1"/>
                <w:i w:val="1"/>
                <w:iCs w:val="1"/>
                <w:color w:val="auto"/>
                <w:w w:val="99"/>
              </w:rPr>
              <w:t>Regional Locations</w:t>
            </w:r>
          </w:p>
        </w:tc>
        <w:tc>
          <w:tcPr>
            <w:tcW w:w="1200" w:type="dxa"/>
            <w:vAlign w:val="bottom"/>
            <w:gridSpan w:val="5"/>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Dubai</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United Arab Emirates</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Nottinghamshire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United Kingdom</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Nanterre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France</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Langenhagen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1"/>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Schaffhausen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Switzerland</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Borders>
              <w:bottom w:val="single" w:sz="8" w:color="auto"/>
            </w:tcBorders>
            <w:gridSpan w:val="5"/>
          </w:tcPr>
          <w:p>
            <w:pPr>
              <w:jc w:val="center"/>
              <w:spacing w:after="0" w:line="193" w:lineRule="exact"/>
              <w:rPr>
                <w:sz w:val="20"/>
                <w:szCs w:val="20"/>
                <w:color w:val="auto"/>
              </w:rPr>
            </w:pPr>
            <w:r>
              <w:rPr>
                <w:rFonts w:ascii="Arial" w:cs="Arial" w:eastAsia="Arial" w:hAnsi="Arial"/>
                <w:sz w:val="18"/>
                <w:szCs w:val="18"/>
                <w:b w:val="1"/>
                <w:bCs w:val="1"/>
                <w:i w:val="1"/>
                <w:iCs w:val="1"/>
                <w:color w:val="auto"/>
              </w:rPr>
              <w:t>Corporate Headquarters</w:t>
            </w:r>
          </w:p>
        </w:tc>
        <w:tc>
          <w:tcPr>
            <w:tcW w:w="102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DC</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sectPr>
      </w:pPr>
    </w:p>
    <w:bookmarkStart w:id="31" w:name="page32"/>
    <w:bookmarkEnd w:id="31"/>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7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Evoqua previously disclosed in its public filings that the United States Attorney’s Office for the District of Massachusetts was investigating whether financial misstatements were made in Evoqua’s public filings and earnings announcements from 2016 to 2018 and prior to Xylem’s purchase of Evoqua. Xylem previously disclosed in our 2023 Annual Report that the investigation was moved to the United States Attorney’s Office for the District of Rhode Island (the “USAO”). On May 13, 2024, Evoqua and the USAO entered into a non-prosecution agreement (the “Agreement”) to resolve the matter. Under the Agreement, Evoqua paid a criminal monetary penalty of $8.5 million. The Agreement does not include a compliance monitorship, and Evoqua agreed to certain ongoing monitoring, reporting and compliance obligations for a period of two years.</w:t>
      </w:r>
    </w:p>
    <w:p>
      <w:pPr>
        <w:spacing w:after="0" w:line="12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See Note 20, "Commitments and Contingencies", of the consolidated financial statements included in Item 8 of Part II of this 10-K for information regarding certain legal and regulatory proceedings we are involved in.</w:t>
      </w:r>
    </w:p>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executive officers of Xylem as of February 4, 2025:</w:t>
      </w:r>
    </w:p>
    <w:p>
      <w:pPr>
        <w:sectPr>
          <w:pgSz w:w="11900" w:h="16838" w:orient="portrait"/>
          <w:cols w:equalWidth="0" w:num="1">
            <w:col w:w="11140"/>
          </w:cols>
          <w:pgMar w:left="320" w:top="890" w:right="439"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AGE</w:t>
            </w:r>
          </w:p>
        </w:tc>
        <w:tc>
          <w:tcPr>
            <w:tcW w:w="3220" w:type="dxa"/>
            <w:vAlign w:val="bottom"/>
          </w:tcPr>
          <w:p>
            <w:pPr>
              <w:ind w:left="20"/>
              <w:spacing w:after="0"/>
              <w:rPr>
                <w:sz w:val="20"/>
                <w:szCs w:val="20"/>
                <w:color w:val="auto"/>
              </w:rPr>
            </w:pPr>
            <w:r>
              <w:rPr>
                <w:rFonts w:ascii="Arial" w:cs="Arial" w:eastAsia="Arial" w:hAnsi="Arial"/>
                <w:sz w:val="18"/>
                <w:szCs w:val="18"/>
                <w:color w:val="auto"/>
              </w:rPr>
              <w:t>CURRENT TITLE</w:t>
            </w:r>
          </w:p>
        </w:tc>
      </w:tr>
      <w:tr>
        <w:trPr>
          <w:trHeight w:val="169"/>
        </w:trPr>
        <w:tc>
          <w:tcPr>
            <w:tcW w:w="2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Matthew F. Pine</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4"/>
                <w:szCs w:val="14"/>
                <w:color w:val="auto"/>
              </w:rPr>
            </w:pPr>
          </w:p>
        </w:tc>
        <w:tc>
          <w:tcPr>
            <w:tcW w:w="32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President and Chief Executive Officer</w:t>
            </w:r>
          </w:p>
        </w:tc>
      </w:tr>
      <w:tr>
        <w:trPr>
          <w:trHeight w:val="239"/>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Arial" w:cs="Arial" w:eastAsia="Arial" w:hAnsi="Arial"/>
                <w:sz w:val="18"/>
                <w:szCs w:val="18"/>
                <w:color w:val="auto"/>
              </w:rPr>
              <w:t>William K. Grogan</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3360" w:type="dxa"/>
            <w:vAlign w:val="bottom"/>
          </w:tcPr>
          <w:p>
            <w:pPr>
              <w:ind w:left="200"/>
              <w:spacing w:after="0"/>
              <w:rPr>
                <w:sz w:val="20"/>
                <w:szCs w:val="20"/>
                <w:color w:val="auto"/>
              </w:rPr>
            </w:pPr>
            <w:r>
              <w:rPr>
                <w:rFonts w:ascii="Arial" w:cs="Arial" w:eastAsia="Arial" w:hAnsi="Arial"/>
                <w:sz w:val="18"/>
                <w:szCs w:val="18"/>
                <w:color w:val="auto"/>
              </w:rPr>
              <w:t>Senior VP, Chief Financial Officer</w:t>
            </w:r>
          </w:p>
        </w:tc>
      </w:tr>
      <w:tr>
        <w:trPr>
          <w:trHeight w:val="239"/>
        </w:trPr>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(2023)</w:t>
            </w:r>
          </w:p>
        </w:tc>
      </w:tr>
      <w:tr>
        <w:trPr>
          <w:trHeight w:val="625"/>
        </w:trPr>
        <w:tc>
          <w:tcPr>
            <w:tcW w:w="2200" w:type="dxa"/>
            <w:vAlign w:val="bottom"/>
          </w:tcPr>
          <w:p>
            <w:pPr>
              <w:spacing w:after="0"/>
              <w:rPr>
                <w:sz w:val="20"/>
                <w:szCs w:val="20"/>
                <w:color w:val="auto"/>
              </w:rPr>
            </w:pPr>
            <w:r>
              <w:rPr>
                <w:rFonts w:ascii="Arial" w:cs="Arial" w:eastAsia="Arial" w:hAnsi="Arial"/>
                <w:sz w:val="18"/>
                <w:szCs w:val="18"/>
                <w:color w:val="auto"/>
              </w:rPr>
              <w:t>Rodney O. Aulick</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3360" w:type="dxa"/>
            <w:vAlign w:val="bottom"/>
          </w:tcPr>
          <w:p>
            <w:pPr>
              <w:ind w:left="200"/>
              <w:spacing w:after="0"/>
              <w:rPr>
                <w:sz w:val="20"/>
                <w:szCs w:val="20"/>
                <w:color w:val="auto"/>
              </w:rPr>
            </w:pPr>
            <w:r>
              <w:rPr>
                <w:rFonts w:ascii="Arial" w:cs="Arial" w:eastAsia="Arial" w:hAnsi="Arial"/>
                <w:sz w:val="18"/>
                <w:szCs w:val="18"/>
                <w:color w:val="auto"/>
              </w:rPr>
              <w:t>Senior VP and President, Water</w:t>
            </w:r>
          </w:p>
        </w:tc>
      </w:tr>
      <w:tr>
        <w:trPr>
          <w:trHeight w:val="239"/>
        </w:trPr>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Solutions and Services (2023)</w:t>
            </w:r>
          </w:p>
        </w:tc>
      </w:tr>
      <w:tr>
        <w:trPr>
          <w:trHeight w:val="292"/>
        </w:trPr>
        <w:tc>
          <w:tcPr>
            <w:tcW w:w="2200" w:type="dxa"/>
            <w:vAlign w:val="bottom"/>
          </w:tcPr>
          <w:p>
            <w:pPr>
              <w:spacing w:after="0"/>
              <w:rPr>
                <w:sz w:val="20"/>
                <w:szCs w:val="20"/>
                <w:color w:val="auto"/>
              </w:rPr>
            </w:pPr>
            <w:r>
              <w:rPr>
                <w:rFonts w:ascii="Arial" w:cs="Arial" w:eastAsia="Arial" w:hAnsi="Arial"/>
                <w:sz w:val="18"/>
                <w:szCs w:val="18"/>
                <w:color w:val="auto"/>
              </w:rPr>
              <w:t>Dorothy G. Capers</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3360" w:type="dxa"/>
            <w:vAlign w:val="bottom"/>
          </w:tcPr>
          <w:p>
            <w:pPr>
              <w:ind w:left="200"/>
              <w:spacing w:after="0"/>
              <w:rPr>
                <w:sz w:val="20"/>
                <w:szCs w:val="20"/>
                <w:color w:val="auto"/>
              </w:rPr>
            </w:pPr>
            <w:r>
              <w:rPr>
                <w:rFonts w:ascii="Arial" w:cs="Arial" w:eastAsia="Arial" w:hAnsi="Arial"/>
                <w:sz w:val="18"/>
                <w:szCs w:val="18"/>
                <w:color w:val="auto"/>
              </w:rPr>
              <w:t>Senior VP, General Counsel (2022)</w:t>
            </w:r>
          </w:p>
        </w:tc>
      </w:tr>
      <w:tr>
        <w:trPr>
          <w:trHeight w:val="590"/>
        </w:trPr>
        <w:tc>
          <w:tcPr>
            <w:tcW w:w="2200" w:type="dxa"/>
            <w:vAlign w:val="bottom"/>
          </w:tcPr>
          <w:p>
            <w:pPr>
              <w:spacing w:after="0"/>
              <w:rPr>
                <w:sz w:val="20"/>
                <w:szCs w:val="20"/>
                <w:color w:val="auto"/>
              </w:rPr>
            </w:pPr>
            <w:r>
              <w:rPr>
                <w:rFonts w:ascii="Arial" w:cs="Arial" w:eastAsia="Arial" w:hAnsi="Arial"/>
                <w:sz w:val="18"/>
                <w:szCs w:val="18"/>
                <w:color w:val="auto"/>
              </w:rPr>
              <w:t>Albert Cho</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3360" w:type="dxa"/>
            <w:vAlign w:val="bottom"/>
          </w:tcPr>
          <w:p>
            <w:pPr>
              <w:ind w:left="200"/>
              <w:spacing w:after="0"/>
              <w:rPr>
                <w:sz w:val="20"/>
                <w:szCs w:val="20"/>
                <w:color w:val="auto"/>
              </w:rPr>
            </w:pPr>
            <w:r>
              <w:rPr>
                <w:rFonts w:ascii="Arial" w:cs="Arial" w:eastAsia="Arial" w:hAnsi="Arial"/>
                <w:sz w:val="18"/>
                <w:szCs w:val="18"/>
                <w:color w:val="auto"/>
              </w:rPr>
              <w:t>Senior VP, Chief Strategy and External</w:t>
            </w:r>
          </w:p>
        </w:tc>
      </w:tr>
      <w:tr>
        <w:trPr>
          <w:trHeight w:val="239"/>
        </w:trPr>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Affairs Officer (2022)</w:t>
            </w:r>
          </w:p>
        </w:tc>
      </w:tr>
      <w:tr>
        <w:trPr>
          <w:trHeight w:val="409"/>
        </w:trPr>
        <w:tc>
          <w:tcPr>
            <w:tcW w:w="2200" w:type="dxa"/>
            <w:vAlign w:val="bottom"/>
          </w:tcPr>
          <w:p>
            <w:pPr>
              <w:spacing w:after="0"/>
              <w:rPr>
                <w:sz w:val="20"/>
                <w:szCs w:val="20"/>
                <w:color w:val="auto"/>
              </w:rPr>
            </w:pPr>
            <w:r>
              <w:rPr>
                <w:rFonts w:ascii="Arial" w:cs="Arial" w:eastAsia="Arial" w:hAnsi="Arial"/>
                <w:sz w:val="18"/>
                <w:szCs w:val="18"/>
                <w:color w:val="auto"/>
              </w:rPr>
              <w:t>Meredith Emmerich</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3360" w:type="dxa"/>
            <w:vAlign w:val="bottom"/>
          </w:tcPr>
          <w:p>
            <w:pPr>
              <w:ind w:left="200"/>
              <w:spacing w:after="0"/>
              <w:rPr>
                <w:sz w:val="20"/>
                <w:szCs w:val="20"/>
                <w:color w:val="auto"/>
              </w:rPr>
            </w:pPr>
            <w:r>
              <w:rPr>
                <w:rFonts w:ascii="Arial" w:cs="Arial" w:eastAsia="Arial" w:hAnsi="Arial"/>
                <w:sz w:val="18"/>
                <w:szCs w:val="18"/>
                <w:color w:val="auto"/>
              </w:rPr>
              <w:t>Senior VP and President, Applied</w:t>
            </w:r>
          </w:p>
        </w:tc>
      </w:tr>
      <w:tr>
        <w:trPr>
          <w:trHeight w:val="239"/>
        </w:trPr>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Water Systems (2024)</w:t>
            </w:r>
          </w:p>
        </w:tc>
      </w:tr>
      <w:tr>
        <w:trPr>
          <w:trHeight w:val="409"/>
        </w:trPr>
        <w:tc>
          <w:tcPr>
            <w:tcW w:w="2200" w:type="dxa"/>
            <w:vAlign w:val="bottom"/>
          </w:tcPr>
          <w:p>
            <w:pPr>
              <w:spacing w:after="0"/>
              <w:rPr>
                <w:sz w:val="20"/>
                <w:szCs w:val="20"/>
                <w:color w:val="auto"/>
              </w:rPr>
            </w:pPr>
            <w:r>
              <w:rPr>
                <w:rFonts w:ascii="Arial" w:cs="Arial" w:eastAsia="Arial" w:hAnsi="Arial"/>
                <w:sz w:val="18"/>
                <w:szCs w:val="18"/>
                <w:color w:val="auto"/>
              </w:rPr>
              <w:t>Michael J. McGann</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3360" w:type="dxa"/>
            <w:vAlign w:val="bottom"/>
          </w:tcPr>
          <w:p>
            <w:pPr>
              <w:ind w:left="200"/>
              <w:spacing w:after="0"/>
              <w:rPr>
                <w:sz w:val="20"/>
                <w:szCs w:val="20"/>
                <w:color w:val="auto"/>
              </w:rPr>
            </w:pPr>
            <w:r>
              <w:rPr>
                <w:rFonts w:ascii="Arial" w:cs="Arial" w:eastAsia="Arial" w:hAnsi="Arial"/>
                <w:sz w:val="18"/>
                <w:szCs w:val="18"/>
                <w:color w:val="auto"/>
                <w:w w:val="98"/>
              </w:rPr>
              <w:t>Senior VP and President, Americas and</w:t>
            </w:r>
          </w:p>
        </w:tc>
      </w:tr>
      <w:tr>
        <w:trPr>
          <w:trHeight w:val="184"/>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360" w:type="dxa"/>
            <w:vAlign w:val="bottom"/>
          </w:tcPr>
          <w:p>
            <w:pPr>
              <w:ind w:left="200"/>
              <w:spacing w:after="0" w:line="183" w:lineRule="exact"/>
              <w:rPr>
                <w:sz w:val="20"/>
                <w:szCs w:val="20"/>
                <w:color w:val="auto"/>
              </w:rPr>
            </w:pPr>
            <w:r>
              <w:rPr>
                <w:rFonts w:ascii="Arial" w:cs="Arial" w:eastAsia="Arial" w:hAnsi="Arial"/>
                <w:sz w:val="18"/>
                <w:szCs w:val="18"/>
                <w:color w:val="auto"/>
              </w:rPr>
              <w:t>Measurement and Control Solutions</w:t>
            </w:r>
          </w:p>
        </w:tc>
      </w:tr>
      <w:tr>
        <w:trPr>
          <w:trHeight w:val="239"/>
        </w:trPr>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(2023)</w:t>
            </w: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 w:right="20"/>
        <w:spacing w:after="0"/>
        <w:rPr>
          <w:sz w:val="20"/>
          <w:szCs w:val="20"/>
          <w:color w:val="auto"/>
        </w:rPr>
      </w:pPr>
      <w:r>
        <w:rPr>
          <w:rFonts w:ascii="Arial" w:cs="Arial" w:eastAsia="Arial" w:hAnsi="Arial"/>
          <w:sz w:val="18"/>
          <w:szCs w:val="18"/>
          <w:color w:val="auto"/>
        </w:rPr>
        <w:t>OTHER BUSINESS EXPERIENCE DURING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2743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06" w:lineRule="exact"/>
        <w:rPr>
          <w:sz w:val="20"/>
          <w:szCs w:val="20"/>
          <w:color w:val="auto"/>
        </w:rPr>
      </w:pPr>
    </w:p>
    <w:p>
      <w:pPr>
        <w:ind w:left="163" w:hanging="163"/>
        <w:spacing w:after="0"/>
        <w:tabs>
          <w:tab w:leader="none" w:pos="163"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Chief Operating Officer (2023)</w:t>
      </w:r>
    </w:p>
    <w:p>
      <w:pPr>
        <w:spacing w:after="0" w:line="76" w:lineRule="exact"/>
        <w:rPr>
          <w:rFonts w:ascii="Arial" w:cs="Arial" w:eastAsia="Arial" w:hAnsi="Arial"/>
          <w:sz w:val="18"/>
          <w:szCs w:val="18"/>
          <w:color w:val="auto"/>
        </w:rPr>
      </w:pPr>
    </w:p>
    <w:p>
      <w:pPr>
        <w:ind w:left="163" w:right="40" w:hanging="163"/>
        <w:spacing w:after="0" w:line="233" w:lineRule="auto"/>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and President, Americas, Applied Water Systems and Measurement and Control Systems (2022)</w:t>
      </w:r>
    </w:p>
    <w:p>
      <w:pPr>
        <w:spacing w:after="0" w:line="45" w:lineRule="exact"/>
        <w:rPr>
          <w:rFonts w:ascii="Arial" w:cs="Arial" w:eastAsia="Arial" w:hAnsi="Arial"/>
          <w:sz w:val="18"/>
          <w:szCs w:val="18"/>
          <w:color w:val="auto"/>
        </w:rPr>
      </w:pPr>
    </w:p>
    <w:p>
      <w:pPr>
        <w:ind w:left="163" w:right="260" w:hanging="163"/>
        <w:spacing w:after="0" w:line="256" w:lineRule="auto"/>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and President, Americas and Applied Water Systems (2020)</w:t>
      </w:r>
    </w:p>
    <w:p>
      <w:pPr>
        <w:spacing w:after="0" w:line="30" w:lineRule="exact"/>
        <w:rPr>
          <w:rFonts w:ascii="Arial" w:cs="Arial" w:eastAsia="Arial" w:hAnsi="Arial"/>
          <w:sz w:val="18"/>
          <w:szCs w:val="18"/>
          <w:color w:val="auto"/>
        </w:rPr>
      </w:pPr>
    </w:p>
    <w:p>
      <w:pPr>
        <w:ind w:left="163" w:right="20" w:hanging="163"/>
        <w:spacing w:after="0" w:line="233" w:lineRule="auto"/>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President, Carrier Residential, United Technologies Corporations (2018), a multinational industrial conglomerate</w:t>
      </w:r>
    </w:p>
    <w:p>
      <w:pPr>
        <w:spacing w:after="0" w:line="261" w:lineRule="exact"/>
        <w:rPr>
          <w:rFonts w:ascii="Arial" w:cs="Arial" w:eastAsia="Arial" w:hAnsi="Arial"/>
          <w:sz w:val="18"/>
          <w:szCs w:val="18"/>
          <w:color w:val="auto"/>
        </w:rPr>
      </w:pPr>
    </w:p>
    <w:p>
      <w:pPr>
        <w:ind w:left="163" w:right="260" w:hanging="163"/>
        <w:spacing w:after="0" w:line="233"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and Chief Financial Officer, IDEX Corporation, a diversified manufacturer of highly engineered products (2017)</w:t>
      </w:r>
    </w:p>
    <w:p>
      <w:pPr>
        <w:spacing w:after="0" w:line="45" w:lineRule="exact"/>
        <w:rPr>
          <w:rFonts w:ascii="Arial" w:cs="Arial" w:eastAsia="Arial" w:hAnsi="Arial"/>
          <w:sz w:val="18"/>
          <w:szCs w:val="18"/>
          <w:color w:val="auto"/>
        </w:rPr>
      </w:pPr>
    </w:p>
    <w:p>
      <w:pPr>
        <w:ind w:left="163" w:hanging="163"/>
        <w:spacing w:after="0" w:line="268" w:lineRule="auto"/>
        <w:tabs>
          <w:tab w:leader="none" w:pos="158"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Executive Vice President Water Solutions and Services, Evoqua Water Technologies Corp. (2018)</w:t>
      </w:r>
    </w:p>
    <w:p>
      <w:pPr>
        <w:spacing w:after="0" w:line="35" w:lineRule="exact"/>
        <w:rPr>
          <w:rFonts w:ascii="Arial" w:cs="Arial" w:eastAsia="Arial" w:hAnsi="Arial"/>
          <w:sz w:val="17"/>
          <w:szCs w:val="17"/>
          <w:color w:val="auto"/>
        </w:rPr>
      </w:pPr>
    </w:p>
    <w:p>
      <w:pPr>
        <w:jc w:val="both"/>
        <w:ind w:left="163" w:right="60" w:hanging="163"/>
        <w:spacing w:after="0" w:line="233"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Vice President, Global General Counsel and Corporate Secretary, National Express Group, a leading transport provider (2015)</w:t>
      </w:r>
    </w:p>
    <w:p>
      <w:pPr>
        <w:spacing w:after="0" w:line="31" w:lineRule="exact"/>
        <w:rPr>
          <w:rFonts w:ascii="Arial" w:cs="Arial" w:eastAsia="Arial" w:hAnsi="Arial"/>
          <w:sz w:val="18"/>
          <w:szCs w:val="18"/>
          <w:color w:val="auto"/>
        </w:rPr>
      </w:pPr>
    </w:p>
    <w:p>
      <w:pPr>
        <w:ind w:left="123" w:hanging="123"/>
        <w:spacing w:after="0"/>
        <w:tabs>
          <w:tab w:leader="none" w:pos="123"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Chief Strategy and Digital Officer (2020)</w:t>
      </w:r>
    </w:p>
    <w:p>
      <w:pPr>
        <w:ind w:left="163" w:right="80" w:hanging="163"/>
        <w:spacing w:after="0" w:line="237"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and General Manager, Advanced Infrastructure Analytics (2018)</w:t>
      </w:r>
    </w:p>
    <w:p>
      <w:pPr>
        <w:spacing w:after="0" w:line="45" w:lineRule="exact"/>
        <w:rPr>
          <w:rFonts w:ascii="Arial" w:cs="Arial" w:eastAsia="Arial" w:hAnsi="Arial"/>
          <w:sz w:val="18"/>
          <w:szCs w:val="18"/>
          <w:color w:val="auto"/>
        </w:rPr>
      </w:pPr>
    </w:p>
    <w:p>
      <w:pPr>
        <w:ind w:left="163" w:right="240" w:hanging="163"/>
        <w:spacing w:after="0" w:line="233"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and General Manager, Americas Commercial HVAC, Carrier Global Corporate, a climate and energy solutions provider (2020)</w:t>
      </w:r>
    </w:p>
    <w:p>
      <w:pPr>
        <w:spacing w:after="0" w:line="153" w:lineRule="exact"/>
        <w:rPr>
          <w:rFonts w:ascii="Arial" w:cs="Arial" w:eastAsia="Arial" w:hAnsi="Arial"/>
          <w:sz w:val="18"/>
          <w:szCs w:val="18"/>
          <w:color w:val="auto"/>
        </w:rPr>
      </w:pPr>
    </w:p>
    <w:p>
      <w:pPr>
        <w:ind w:left="163" w:right="480" w:hanging="163"/>
        <w:spacing w:after="0"/>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North America Utilities Commercial Team (2022)</w:t>
      </w:r>
    </w:p>
    <w:p>
      <w:pPr>
        <w:spacing w:after="0" w:line="58" w:lineRule="exact"/>
        <w:rPr>
          <w:rFonts w:ascii="Arial" w:cs="Arial" w:eastAsia="Arial" w:hAnsi="Arial"/>
          <w:sz w:val="18"/>
          <w:szCs w:val="18"/>
          <w:color w:val="auto"/>
        </w:rPr>
      </w:pPr>
    </w:p>
    <w:p>
      <w:pPr>
        <w:ind w:left="163" w:right="380" w:hanging="163"/>
        <w:spacing w:after="0"/>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Sensus Americas, Global Engineering and Assessment Services (2017)</w:t>
      </w:r>
    </w:p>
    <w:p>
      <w:pPr>
        <w:spacing w:after="0" w:line="73" w:lineRule="exact"/>
        <w:rPr>
          <w:sz w:val="20"/>
          <w:szCs w:val="20"/>
          <w:color w:val="auto"/>
        </w:rPr>
      </w:pPr>
    </w:p>
    <w:p>
      <w:pPr>
        <w:sectPr>
          <w:pgSz w:w="11900" w:h="16838" w:orient="portrait"/>
          <w:cols w:equalWidth="0" w:num="2">
            <w:col w:w="6780" w:space="117"/>
            <w:col w:w="4243"/>
          </w:cols>
          <w:pgMar w:left="320" w:top="890" w:right="4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Arial" w:cs="Arial" w:eastAsia="Arial" w:hAnsi="Arial"/>
                <w:sz w:val="18"/>
                <w:szCs w:val="18"/>
                <w:color w:val="auto"/>
              </w:rPr>
              <w:t>Geri-Michelle McShane</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3280" w:type="dxa"/>
            <w:vAlign w:val="bottom"/>
          </w:tcPr>
          <w:p>
            <w:pPr>
              <w:ind w:left="200"/>
              <w:spacing w:after="0"/>
              <w:rPr>
                <w:sz w:val="20"/>
                <w:szCs w:val="20"/>
                <w:color w:val="auto"/>
              </w:rPr>
            </w:pPr>
            <w:r>
              <w:rPr>
                <w:rFonts w:ascii="Arial" w:cs="Arial" w:eastAsia="Arial" w:hAnsi="Arial"/>
                <w:sz w:val="18"/>
                <w:szCs w:val="18"/>
                <w:color w:val="auto"/>
              </w:rPr>
              <w:t>VP, Controller and Chief Accounting</w:t>
            </w:r>
          </w:p>
        </w:tc>
        <w:tc>
          <w:tcPr>
            <w:tcW w:w="4480" w:type="dxa"/>
            <w:vAlign w:val="bottom"/>
          </w:tcPr>
          <w:p>
            <w:pPr>
              <w:ind w:left="240"/>
              <w:spacing w:after="0"/>
              <w:rPr>
                <w:sz w:val="20"/>
                <w:szCs w:val="20"/>
                <w:color w:val="auto"/>
              </w:rPr>
            </w:pPr>
            <w:r>
              <w:rPr>
                <w:rFonts w:ascii="Arial" w:cs="Arial" w:eastAsia="Arial" w:hAnsi="Arial"/>
                <w:sz w:val="18"/>
                <w:szCs w:val="18"/>
                <w:color w:val="auto"/>
              </w:rPr>
              <w:t>• Controller, Accounting and Reporting (2016)</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Officer (2019)</w:t>
            </w:r>
          </w:p>
        </w:tc>
        <w:tc>
          <w:tcPr>
            <w:tcW w:w="4480" w:type="dxa"/>
            <w:vAlign w:val="bottom"/>
          </w:tcPr>
          <w:p>
            <w:pPr>
              <w:spacing w:after="0"/>
              <w:rPr>
                <w:sz w:val="20"/>
                <w:szCs w:val="20"/>
                <w:color w:val="auto"/>
              </w:rPr>
            </w:pPr>
          </w:p>
        </w:tc>
      </w:tr>
      <w:tr>
        <w:trPr>
          <w:trHeight w:val="288"/>
        </w:trPr>
        <w:tc>
          <w:tcPr>
            <w:tcW w:w="2340" w:type="dxa"/>
            <w:vAlign w:val="bottom"/>
          </w:tcPr>
          <w:p>
            <w:pPr>
              <w:spacing w:after="0"/>
              <w:rPr>
                <w:sz w:val="20"/>
                <w:szCs w:val="20"/>
                <w:color w:val="auto"/>
              </w:rPr>
            </w:pPr>
            <w:r>
              <w:rPr>
                <w:rFonts w:ascii="Arial" w:cs="Arial" w:eastAsia="Arial" w:hAnsi="Arial"/>
                <w:sz w:val="18"/>
                <w:szCs w:val="18"/>
                <w:color w:val="auto"/>
              </w:rPr>
              <w:t>Claudia S. Toussaint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3280" w:type="dxa"/>
            <w:vAlign w:val="bottom"/>
          </w:tcPr>
          <w:p>
            <w:pPr>
              <w:ind w:left="200"/>
              <w:spacing w:after="0"/>
              <w:rPr>
                <w:sz w:val="20"/>
                <w:szCs w:val="20"/>
                <w:color w:val="auto"/>
              </w:rPr>
            </w:pPr>
            <w:r>
              <w:rPr>
                <w:rFonts w:ascii="Arial" w:cs="Arial" w:eastAsia="Arial" w:hAnsi="Arial"/>
                <w:sz w:val="18"/>
                <w:szCs w:val="18"/>
                <w:color w:val="auto"/>
              </w:rPr>
              <w:t>Senior VP, Chief People and</w:t>
            </w:r>
          </w:p>
        </w:tc>
        <w:tc>
          <w:tcPr>
            <w:tcW w:w="4480" w:type="dxa"/>
            <w:vAlign w:val="bottom"/>
          </w:tcPr>
          <w:p>
            <w:pPr>
              <w:ind w:left="240"/>
              <w:spacing w:after="0"/>
              <w:rPr>
                <w:sz w:val="20"/>
                <w:szCs w:val="20"/>
                <w:color w:val="auto"/>
              </w:rPr>
            </w:pPr>
            <w:r>
              <w:rPr>
                <w:rFonts w:ascii="Arial" w:cs="Arial" w:eastAsia="Arial" w:hAnsi="Arial"/>
                <w:sz w:val="18"/>
                <w:szCs w:val="18"/>
                <w:color w:val="auto"/>
              </w:rPr>
              <w:t>• Senior VP, General Counsel and Corporate</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Sustainability Officer (2021)</w:t>
            </w:r>
          </w:p>
        </w:tc>
        <w:tc>
          <w:tcPr>
            <w:tcW w:w="4480" w:type="dxa"/>
            <w:vAlign w:val="bottom"/>
          </w:tcPr>
          <w:p>
            <w:pPr>
              <w:ind w:left="400"/>
              <w:spacing w:after="0"/>
              <w:rPr>
                <w:sz w:val="20"/>
                <w:szCs w:val="20"/>
                <w:color w:val="auto"/>
              </w:rPr>
            </w:pPr>
            <w:r>
              <w:rPr>
                <w:rFonts w:ascii="Arial" w:cs="Arial" w:eastAsia="Arial" w:hAnsi="Arial"/>
                <w:sz w:val="18"/>
                <w:szCs w:val="18"/>
                <w:color w:val="auto"/>
              </w:rPr>
              <w:t>Secretary (2014)</w:t>
            </w:r>
          </w:p>
        </w:tc>
      </w:tr>
      <w:tr>
        <w:trPr>
          <w:trHeight w:val="288"/>
        </w:trPr>
        <w:tc>
          <w:tcPr>
            <w:tcW w:w="2340" w:type="dxa"/>
            <w:vAlign w:val="bottom"/>
          </w:tcPr>
          <w:p>
            <w:pPr>
              <w:spacing w:after="0"/>
              <w:rPr>
                <w:sz w:val="20"/>
                <w:szCs w:val="20"/>
                <w:color w:val="auto"/>
              </w:rPr>
            </w:pPr>
            <w:r>
              <w:rPr>
                <w:rFonts w:ascii="Arial" w:cs="Arial" w:eastAsia="Arial" w:hAnsi="Arial"/>
                <w:sz w:val="18"/>
                <w:szCs w:val="18"/>
                <w:color w:val="auto"/>
              </w:rPr>
              <w:t>Hayati Yarkadas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3280" w:type="dxa"/>
            <w:vAlign w:val="bottom"/>
          </w:tcPr>
          <w:p>
            <w:pPr>
              <w:ind w:left="200"/>
              <w:spacing w:after="0"/>
              <w:rPr>
                <w:sz w:val="20"/>
                <w:szCs w:val="20"/>
                <w:color w:val="auto"/>
              </w:rPr>
            </w:pPr>
            <w:r>
              <w:rPr>
                <w:rFonts w:ascii="Arial" w:cs="Arial" w:eastAsia="Arial" w:hAnsi="Arial"/>
                <w:sz w:val="18"/>
                <w:szCs w:val="18"/>
                <w:color w:val="auto"/>
              </w:rPr>
              <w:t>Senior VP and President, Europe,</w:t>
            </w:r>
          </w:p>
        </w:tc>
        <w:tc>
          <w:tcPr>
            <w:tcW w:w="4480" w:type="dxa"/>
            <w:vAlign w:val="bottom"/>
          </w:tcPr>
          <w:p>
            <w:pPr>
              <w:ind w:left="240"/>
              <w:spacing w:after="0"/>
              <w:rPr>
                <w:sz w:val="20"/>
                <w:szCs w:val="20"/>
                <w:color w:val="auto"/>
              </w:rPr>
            </w:pPr>
            <w:r>
              <w:rPr>
                <w:rFonts w:ascii="Arial" w:cs="Arial" w:eastAsia="Arial" w:hAnsi="Arial"/>
                <w:sz w:val="18"/>
                <w:szCs w:val="18"/>
                <w:color w:val="auto"/>
              </w:rPr>
              <w:t>• Senior VP and President, Performance Materials,</w:t>
            </w:r>
          </w:p>
        </w:tc>
      </w:tr>
      <w:tr>
        <w:trPr>
          <w:trHeight w:val="184"/>
        </w:trPr>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80" w:type="dxa"/>
            <w:vAlign w:val="bottom"/>
          </w:tcPr>
          <w:p>
            <w:pPr>
              <w:ind w:left="200"/>
              <w:spacing w:after="0" w:line="183" w:lineRule="exact"/>
              <w:rPr>
                <w:sz w:val="20"/>
                <w:szCs w:val="20"/>
                <w:color w:val="auto"/>
              </w:rPr>
            </w:pPr>
            <w:r>
              <w:rPr>
                <w:rFonts w:ascii="Arial" w:cs="Arial" w:eastAsia="Arial" w:hAnsi="Arial"/>
                <w:sz w:val="18"/>
                <w:szCs w:val="18"/>
                <w:color w:val="auto"/>
              </w:rPr>
              <w:t>Water Infrastructure (2020)</w:t>
            </w:r>
          </w:p>
        </w:tc>
        <w:tc>
          <w:tcPr>
            <w:tcW w:w="4480" w:type="dxa"/>
            <w:vAlign w:val="bottom"/>
          </w:tcPr>
          <w:p>
            <w:pPr>
              <w:ind w:left="400"/>
              <w:spacing w:after="0" w:line="183" w:lineRule="exact"/>
              <w:rPr>
                <w:sz w:val="20"/>
                <w:szCs w:val="20"/>
                <w:color w:val="auto"/>
              </w:rPr>
            </w:pPr>
            <w:r>
              <w:rPr>
                <w:rFonts w:ascii="Arial" w:cs="Arial" w:eastAsia="Arial" w:hAnsi="Arial"/>
                <w:sz w:val="18"/>
                <w:szCs w:val="18"/>
                <w:color w:val="auto"/>
                <w:w w:val="99"/>
              </w:rPr>
              <w:t>Trinseo S.A., a specialty material solutions provider</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80" w:type="dxa"/>
            <w:vAlign w:val="bottom"/>
          </w:tcPr>
          <w:p>
            <w:pPr>
              <w:ind w:left="400"/>
              <w:spacing w:after="0"/>
              <w:rPr>
                <w:sz w:val="20"/>
                <w:szCs w:val="20"/>
                <w:color w:val="auto"/>
              </w:rPr>
            </w:pPr>
            <w:r>
              <w:rPr>
                <w:rFonts w:ascii="Arial" w:cs="Arial" w:eastAsia="Arial" w:hAnsi="Arial"/>
                <w:sz w:val="18"/>
                <w:szCs w:val="18"/>
                <w:color w:val="auto"/>
              </w:rPr>
              <w:t>(2015)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Note: Date in parentheses indicates the year in which the position was assumed.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Board of Directors of Xylem as of February 4,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33"/>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F. Friel</w:t>
            </w:r>
          </w:p>
        </w:tc>
        <w:tc>
          <w:tcPr>
            <w:tcW w:w="100" w:type="dxa"/>
            <w:vAlign w:val="bottom"/>
          </w:tcPr>
          <w:p>
            <w:pPr>
              <w:spacing w:after="0"/>
              <w:rPr>
                <w:sz w:val="20"/>
                <w:szCs w:val="20"/>
                <w:color w:val="auto"/>
              </w:rPr>
            </w:pPr>
          </w:p>
        </w:tc>
        <w:tc>
          <w:tcPr>
            <w:tcW w:w="7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Board Chair, Xylem Inc., Former Chairman, President and CEO, PerkinElmer, Inc.</w:t>
            </w:r>
          </w:p>
        </w:tc>
      </w:tr>
      <w:tr>
        <w:trPr>
          <w:trHeight w:val="278"/>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Matthew F. Pine</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Xylem Inc.</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Jeanne Beliveau-Dunn</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and President of Claridad, LLC</w:t>
            </w:r>
          </w:p>
        </w:tc>
      </w:tr>
      <w:tr>
        <w:trPr>
          <w:trHeight w:val="31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Earl R. Ellis</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ABM Industries Incorporated</w:t>
            </w:r>
          </w:p>
        </w:tc>
      </w:tr>
      <w:tr>
        <w:trPr>
          <w:trHeight w:val="225"/>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Lisa Glatch</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LNG and Net-Zero Solutions and Chief Sustainability Officer, Sempra</w:t>
            </w:r>
          </w:p>
        </w:tc>
      </w:tr>
      <w:tr>
        <w:trPr>
          <w:trHeight w:val="239"/>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Infrastructure</w:t>
            </w:r>
          </w:p>
        </w:tc>
      </w:tr>
      <w:tr>
        <w:trPr>
          <w:trHeight w:val="2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Victoria D. Harker</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Executive Vice President and Chief Financial Officer, TEGNA, Inc.</w:t>
            </w:r>
          </w:p>
        </w:tc>
      </w:tr>
      <w:tr>
        <w:trPr>
          <w:trHeight w:val="28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 D. Morelli</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Vontier Corporation</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Jerome A. Peribere</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and Chief Executive Officer, Sealed Air Corporation</w:t>
            </w:r>
          </w:p>
        </w:tc>
      </w:tr>
      <w:tr>
        <w:trPr>
          <w:trHeight w:val="28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Lila Tretikov</w:t>
            </w:r>
          </w:p>
        </w:tc>
        <w:tc>
          <w:tcPr>
            <w:tcW w:w="7460" w:type="dxa"/>
            <w:vAlign w:val="bottom"/>
          </w:tcPr>
          <w:p>
            <w:pPr>
              <w:ind w:left="20"/>
              <w:spacing w:after="0"/>
              <w:rPr>
                <w:sz w:val="20"/>
                <w:szCs w:val="20"/>
                <w:color w:val="auto"/>
              </w:rPr>
            </w:pPr>
            <w:r>
              <w:rPr>
                <w:rFonts w:ascii="Arial" w:cs="Arial" w:eastAsia="Arial" w:hAnsi="Arial"/>
                <w:sz w:val="18"/>
                <w:szCs w:val="18"/>
                <w:color w:val="auto"/>
              </w:rPr>
              <w:t>Partner, Head of Artificial Intelligence Strategy, New Enterprise Associates, Inc.</w:t>
            </w:r>
          </w:p>
        </w:tc>
      </w:tr>
      <w:tr>
        <w:trPr>
          <w:trHeight w:val="28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Uday Yadav</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TK Elevator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160"/>
        <w:spacing w:after="0" w:line="296"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Price and Dividends</w:t>
      </w:r>
    </w:p>
    <w:p>
      <w:pPr>
        <w:spacing w:after="0" w:line="1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common stock trades publicly on the New York Stock Exchange under the trading symbol “XYL”. As of January 31, 2025, there were 7,365 holders of record of our common stock.</w:t>
      </w:r>
    </w:p>
    <w:p>
      <w:pPr>
        <w:spacing w:after="0" w:line="9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Dividends are declared and paid on the common stock at the discretion of our Board and depend on our profitability, financial condition, capital needs, future prospects and other factors deemed relevant by our Board. Therefore, there can be no assurance as to what level of dividends, if any, will be paid in the future. In the first quarter of 2025, we declared a dividend of $0.40 per share to be paid on March 19, 2025 to shareholders of record on February 18,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offerings of our common stock during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2024 Share Repurchase Activity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repurchases of our common stock for the quarter ended December 31, 2024:</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(in millions, except per share amounts)</w:t>
            </w:r>
          </w:p>
        </w:tc>
        <w:tc>
          <w:tcPr>
            <w:tcW w:w="1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Total Number of Shares</w:t>
            </w:r>
          </w:p>
        </w:tc>
        <w:tc>
          <w:tcPr>
            <w:tcW w:w="2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39"/>
        </w:trPr>
        <w:tc>
          <w:tcPr>
            <w:tcW w:w="2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Purchased as Part of Publicly</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58"/>
        </w:trPr>
        <w:tc>
          <w:tcPr>
            <w:tcW w:w="25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Period</w:t>
            </w:r>
          </w:p>
        </w:tc>
        <w:tc>
          <w:tcPr>
            <w:tcW w:w="190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57"/>
              <w:spacing w:after="0" w:line="158" w:lineRule="exact"/>
              <w:rPr>
                <w:sz w:val="20"/>
                <w:szCs w:val="20"/>
                <w:color w:val="auto"/>
              </w:rPr>
            </w:pPr>
            <w:r>
              <w:rPr>
                <w:rFonts w:ascii="Arial" w:cs="Arial" w:eastAsia="Arial" w:hAnsi="Arial"/>
                <w:sz w:val="14"/>
                <w:szCs w:val="14"/>
                <w:b w:val="1"/>
                <w:bCs w:val="1"/>
                <w:color w:val="auto"/>
              </w:rPr>
              <w:t>Average Price Paid per Share</w:t>
            </w: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Announced Plans or Programs</w:t>
            </w:r>
          </w:p>
        </w:tc>
        <w:tc>
          <w:tcPr>
            <w:tcW w:w="2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Purchased</w:t>
            </w:r>
          </w:p>
        </w:tc>
        <w:tc>
          <w:tcPr>
            <w:tcW w:w="23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(a)</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 (b)</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99"/>
              </w:rPr>
              <w:t>10/1/24 - 10/31/24</w:t>
            </w:r>
          </w:p>
        </w:tc>
        <w:tc>
          <w:tcPr>
            <w:tcW w:w="190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30"/>
        </w:trPr>
        <w:tc>
          <w:tcPr>
            <w:tcW w:w="2560" w:type="dxa"/>
            <w:vAlign w:val="bottom"/>
          </w:tcPr>
          <w:p>
            <w:pPr>
              <w:jc w:val="center"/>
              <w:ind w:right="197"/>
              <w:spacing w:after="0"/>
              <w:rPr>
                <w:sz w:val="20"/>
                <w:szCs w:val="20"/>
                <w:color w:val="auto"/>
              </w:rPr>
            </w:pPr>
            <w:r>
              <w:rPr>
                <w:rFonts w:ascii="Arial" w:cs="Arial" w:eastAsia="Arial" w:hAnsi="Arial"/>
                <w:sz w:val="18"/>
                <w:szCs w:val="18"/>
                <w:color w:val="auto"/>
                <w:w w:val="98"/>
              </w:rPr>
              <w:t>11/1/24 - 11/30/24</w:t>
            </w:r>
          </w:p>
        </w:tc>
        <w:tc>
          <w:tcPr>
            <w:tcW w:w="1900" w:type="dxa"/>
            <w:vAlign w:val="bottom"/>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jc w:val="center"/>
              <w:ind w:right="177"/>
              <w:spacing w:after="0"/>
              <w:rPr>
                <w:sz w:val="20"/>
                <w:szCs w:val="20"/>
                <w:color w:val="auto"/>
              </w:rPr>
            </w:pPr>
            <w:r>
              <w:rPr>
                <w:rFonts w:ascii="Arial" w:cs="Arial" w:eastAsia="Arial" w:hAnsi="Arial"/>
                <w:sz w:val="18"/>
                <w:szCs w:val="18"/>
                <w:color w:val="auto"/>
                <w:w w:val="99"/>
              </w:rPr>
              <w:t>12/1/24 - 12/31/24</w:t>
            </w:r>
          </w:p>
        </w:tc>
        <w:tc>
          <w:tcPr>
            <w:tcW w:w="190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80" w:lineRule="exact"/>
        <w:rPr>
          <w:rFonts w:ascii="Arial" w:cs="Arial" w:eastAsia="Arial" w:hAnsi="Arial"/>
          <w:sz w:val="16"/>
          <w:szCs w:val="16"/>
          <w:color w:val="auto"/>
        </w:rPr>
      </w:pPr>
    </w:p>
    <w:p>
      <w:pPr>
        <w:ind w:left="660" w:right="140" w:hanging="328"/>
        <w:spacing w:after="0" w:line="265"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August 24, 2015, our Board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December 31, 2024. There are up to $182 million in shares that may still be purchased under this plan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TOTAL RETURN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graph compares the relative performance of our common stock, the S&amp;P 500 Index and the S&amp;P 500 Industrials Index. This graph covers the period from December 31, 2019 through December 31, 2024 and assumes that $100 was invested on December 31, 2019 in our common stock, the S&amp;P 500 and the S&amp;P 500 Industrials with the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863590" cy="2477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rPr>
              <w:t>S&amp;P 500</w:t>
            </w:r>
          </w:p>
        </w:tc>
        <w:tc>
          <w:tcPr>
            <w:tcW w:w="0" w:type="dxa"/>
            <w:vAlign w:val="bottom"/>
          </w:tcPr>
          <w:p>
            <w:pPr>
              <w:spacing w:after="0"/>
              <w:rPr>
                <w:sz w:val="1"/>
                <w:szCs w:val="1"/>
                <w:color w:val="auto"/>
              </w:rPr>
            </w:pPr>
          </w:p>
        </w:tc>
      </w:tr>
      <w:tr>
        <w:trPr>
          <w:trHeight w:val="139"/>
        </w:trPr>
        <w:tc>
          <w:tcPr>
            <w:tcW w:w="7120" w:type="dxa"/>
            <w:vAlign w:val="bottom"/>
            <w:vMerge w:val="restart"/>
          </w:tcPr>
          <w:p>
            <w:pPr>
              <w:ind w:left="6700"/>
              <w:spacing w:after="0"/>
              <w:rPr>
                <w:sz w:val="20"/>
                <w:szCs w:val="20"/>
                <w:color w:val="auto"/>
              </w:rPr>
            </w:pPr>
            <w:r>
              <w:rPr>
                <w:rFonts w:ascii="Arial" w:cs="Arial" w:eastAsia="Arial" w:hAnsi="Arial"/>
                <w:sz w:val="14"/>
                <w:szCs w:val="14"/>
                <w:b w:val="1"/>
                <w:bCs w:val="1"/>
                <w:color w:val="auto"/>
              </w:rPr>
              <w:t>XYL</w:t>
            </w:r>
          </w:p>
        </w:tc>
        <w:tc>
          <w:tcPr>
            <w:tcW w:w="820" w:type="dxa"/>
            <w:vAlign w:val="bottom"/>
          </w:tcPr>
          <w:p>
            <w:pPr>
              <w:spacing w:after="0"/>
              <w:rPr>
                <w:sz w:val="12"/>
                <w:szCs w:val="12"/>
                <w:color w:val="auto"/>
              </w:rPr>
            </w:pPr>
          </w:p>
        </w:tc>
        <w:tc>
          <w:tcPr>
            <w:tcW w:w="172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S&amp;P 500</w:t>
            </w:r>
          </w:p>
        </w:tc>
        <w:tc>
          <w:tcPr>
            <w:tcW w:w="1520" w:type="dxa"/>
            <w:vAlign w:val="bottom"/>
          </w:tcPr>
          <w:p>
            <w:pPr>
              <w:jc w:val="center"/>
              <w:ind w:right="57"/>
              <w:spacing w:after="0" w:line="139" w:lineRule="exact"/>
              <w:rPr>
                <w:sz w:val="20"/>
                <w:szCs w:val="20"/>
                <w:color w:val="auto"/>
              </w:rPr>
            </w:pPr>
            <w:r>
              <w:rPr>
                <w:rFonts w:ascii="Arial" w:cs="Arial" w:eastAsia="Arial" w:hAnsi="Arial"/>
                <w:sz w:val="14"/>
                <w:szCs w:val="14"/>
                <w:b w:val="1"/>
                <w:bCs w:val="1"/>
                <w:color w:val="auto"/>
              </w:rPr>
              <w:t>Industrials</w:t>
            </w:r>
          </w:p>
        </w:tc>
        <w:tc>
          <w:tcPr>
            <w:tcW w:w="0" w:type="dxa"/>
            <w:vAlign w:val="bottom"/>
          </w:tcPr>
          <w:p>
            <w:pPr>
              <w:spacing w:after="0"/>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131</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December 31, 2021</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156</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152</w:t>
            </w:r>
          </w:p>
        </w:tc>
        <w:tc>
          <w:tcPr>
            <w:tcW w:w="15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145</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December 31, 2023</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152</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157</w:t>
            </w:r>
          </w:p>
        </w:tc>
        <w:tc>
          <w:tcPr>
            <w:tcW w:w="15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2024</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156</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197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graph is not, and is not intended to be, indicative of future performance of our common stock.</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performance graph shall not be deemed “filed” with the SEC or subject to the liabilities of Section 18 of the Securities Exchange Act of 1934, and should not be deemed incorporated by reference into any of our prior or subsequent filings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6" w:name="page37"/>
    <w:bookmarkEnd w:id="36"/>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37" w:name="page38"/>
    <w:bookmarkEnd w:id="37"/>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the notes thereto. This discussion summarizes the significant factors affecting our results of operations and the financial condition of our business. Except as otherwise indicated or unless the context otherwise requires, “Xylem,” “we,” “us,” “our” and “the Company” refer to Xylem Inc. and its subsidiaries.</w:t>
      </w: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This section of this Form 10-K generally discusses 2024 and 2023 items and year-to-year comparisons between 2024 and 2023. Due to the change in reportable segments effective January 1, 2024, we have provided an updated discussion covering 2023 and 2022 and year-to-year comparisons between 2023 and 2022, reflective of the current reportable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spacing w:after="0" w:line="74" w:lineRule="exact"/>
        <w:rPr>
          <w:sz w:val="20"/>
          <w:szCs w:val="20"/>
          <w:color w:val="auto"/>
        </w:rPr>
      </w:pPr>
    </w:p>
    <w:p>
      <w:pPr>
        <w:ind w:left="660" w:right="20" w:hanging="328"/>
        <w:spacing w:after="0" w:line="254" w:lineRule="auto"/>
        <w:tabs>
          <w:tab w:leader="none" w:pos="649" w:val="left"/>
        </w:tabs>
        <w:numPr>
          <w:ilvl w:val="0"/>
          <w:numId w:val="11"/>
        </w:numPr>
        <w:rPr>
          <w:rFonts w:ascii="Georgia" w:cs="Georgia" w:eastAsia="Georgia" w:hAnsi="Georgia"/>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provide the majority of our sales directly to customers along with strong applications expertise, while the remaining amount is through distribution partners.</w:t>
      </w:r>
    </w:p>
    <w:p>
      <w:pPr>
        <w:spacing w:after="0" w:line="76" w:lineRule="exact"/>
        <w:rPr>
          <w:rFonts w:ascii="Georgia" w:cs="Georgia" w:eastAsia="Georgia" w:hAnsi="Georgia"/>
          <w:sz w:val="18"/>
          <w:szCs w:val="18"/>
          <w:color w:val="auto"/>
        </w:rPr>
      </w:pPr>
    </w:p>
    <w:p>
      <w:pPr>
        <w:ind w:left="660" w:right="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Measurement and Control Solutions </w:t>
      </w:r>
      <w:r>
        <w:rPr>
          <w:rFonts w:ascii="Arial" w:cs="Arial" w:eastAsia="Arial" w:hAnsi="Arial"/>
          <w:sz w:val="17"/>
          <w:szCs w:val="17"/>
          <w:color w:val="auto"/>
        </w:rPr>
        <w:t>primarily serves the utility infrastructure solutions and services sector by delivering</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8" w:name="page39"/>
    <w:bookmarkEnd w:id="38"/>
    <w:p>
      <w:pPr>
        <w:ind w:left="660" w:hanging="328"/>
        <w:spacing w:after="0" w:line="226" w:lineRule="exact"/>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outsourced water, recycle/reuse, pipeline assessment services,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Evoqua Acquisition</w:t>
      </w:r>
    </w:p>
    <w:p>
      <w:pPr>
        <w:spacing w:after="0" w:line="117" w:lineRule="exact"/>
        <w:rPr>
          <w:sz w:val="20"/>
          <w:szCs w:val="20"/>
          <w:color w:val="auto"/>
        </w:rPr>
      </w:pPr>
    </w:p>
    <w:p>
      <w:pPr>
        <w:jc w:val="both"/>
        <w:ind w:right="140"/>
        <w:spacing w:after="0" w:line="318" w:lineRule="auto"/>
        <w:rPr>
          <w:sz w:val="20"/>
          <w:szCs w:val="20"/>
          <w:color w:val="auto"/>
        </w:rPr>
      </w:pPr>
      <w:r>
        <w:rPr>
          <w:rFonts w:ascii="Arial" w:cs="Arial" w:eastAsia="Arial" w:hAnsi="Arial"/>
          <w:sz w:val="17"/>
          <w:szCs w:val="17"/>
          <w:color w:val="auto"/>
        </w:rPr>
        <w:t>On May 24, 2023, Xylem completed the acquisition of Evoqua. Commencing from the acquisition date, Xylem’s financial statements include the assets, liabilities, operating results and cash flows of Evoqua. Refer to Note 3, "Acquisitions and Divestitures," for additional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right="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amortization of acquired intangible assets, gain or loss from sale of businesses, gain on remeasurement of previously held equity interest,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9" w:name="page40"/>
    <w:bookmarkEnd w:id="39"/>
    <w:p>
      <w:pPr>
        <w:ind w:left="660" w:right="40"/>
        <w:spacing w:after="0" w:line="287" w:lineRule="auto"/>
        <w:rPr>
          <w:sz w:val="20"/>
          <w:szCs w:val="20"/>
          <w:color w:val="auto"/>
        </w:rPr>
      </w:pPr>
      <w:r>
        <w:rPr>
          <w:rFonts w:ascii="Arial" w:cs="Arial" w:eastAsia="Arial" w:hAnsi="Arial"/>
          <w:sz w:val="18"/>
          <w:szCs w:val="18"/>
          <w:color w:val="auto"/>
        </w:rPr>
        <w:t>special charges and tax-related special items, as applicable. A reconciliation of adjusted net income and adjusted earnings per share is provided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w w:val="96"/>
              </w:rPr>
              <w:t>2023</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and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890</w:t>
            </w:r>
          </w:p>
        </w:tc>
        <w:tc>
          <w:tcPr>
            <w:tcW w:w="7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6"/>
              </w:rPr>
              <w:t>3.65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3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91</w:t>
            </w:r>
          </w:p>
        </w:tc>
        <w:tc>
          <w:tcPr>
            <w:tcW w:w="700" w:type="dxa"/>
            <w:vAlign w:val="bottom"/>
          </w:tcPr>
          <w:p>
            <w:pPr>
              <w:spacing w:after="0"/>
              <w:rPr>
                <w:sz w:val="19"/>
                <w:szCs w:val="19"/>
                <w:color w:val="auto"/>
              </w:rPr>
            </w:pPr>
          </w:p>
        </w:tc>
        <w:tc>
          <w:tcPr>
            <w:tcW w:w="720" w:type="dxa"/>
            <w:vAlign w:val="bottom"/>
          </w:tcPr>
          <w:p>
            <w:pPr>
              <w:jc w:val="center"/>
              <w:ind w:left="130"/>
              <w:spacing w:after="0"/>
              <w:rPr>
                <w:sz w:val="20"/>
                <w:szCs w:val="20"/>
                <w:color w:val="auto"/>
              </w:rPr>
            </w:pPr>
            <w:r>
              <w:rPr>
                <w:rFonts w:ascii="Arial" w:cs="Arial" w:eastAsia="Arial" w:hAnsi="Arial"/>
                <w:sz w:val="18"/>
                <w:szCs w:val="18"/>
                <w:b w:val="1"/>
                <w:bCs w:val="1"/>
                <w:color w:val="auto"/>
                <w:w w:val="96"/>
              </w:rPr>
              <w:t>0.37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amortization</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w:t>
            </w: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6"/>
              </w:rPr>
              <w:t>0.89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Special charges (a)</w:t>
            </w:r>
          </w:p>
        </w:tc>
        <w:tc>
          <w:tcPr>
            <w:tcW w:w="32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700" w:type="dxa"/>
            <w:vAlign w:val="bottom"/>
          </w:tcPr>
          <w:p>
            <w:pPr>
              <w:spacing w:after="0"/>
              <w:rPr>
                <w:sz w:val="19"/>
                <w:szCs w:val="19"/>
                <w:color w:val="auto"/>
              </w:rPr>
            </w:pPr>
          </w:p>
        </w:tc>
        <w:tc>
          <w:tcPr>
            <w:tcW w:w="720" w:type="dxa"/>
            <w:vAlign w:val="bottom"/>
          </w:tcPr>
          <w:p>
            <w:pPr>
              <w:jc w:val="center"/>
              <w:ind w:left="130"/>
              <w:spacing w:after="0"/>
              <w:rPr>
                <w:sz w:val="20"/>
                <w:szCs w:val="20"/>
                <w:color w:val="auto"/>
              </w:rPr>
            </w:pPr>
            <w:r>
              <w:rPr>
                <w:rFonts w:ascii="Arial" w:cs="Arial" w:eastAsia="Arial" w:hAnsi="Arial"/>
                <w:sz w:val="18"/>
                <w:szCs w:val="18"/>
                <w:b w:val="1"/>
                <w:bCs w:val="1"/>
                <w:color w:val="auto"/>
                <w:w w:val="96"/>
              </w:rPr>
              <w:t>0.23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6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previously held equity interest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10"/>
              <w:spacing w:after="0"/>
              <w:rPr>
                <w:sz w:val="20"/>
                <w:szCs w:val="20"/>
                <w:color w:val="auto"/>
              </w:rPr>
            </w:pPr>
            <w:r>
              <w:rPr>
                <w:rFonts w:ascii="Arial" w:cs="Arial" w:eastAsia="Arial" w:hAnsi="Arial"/>
                <w:sz w:val="18"/>
                <w:szCs w:val="18"/>
                <w:b w:val="1"/>
                <w:bCs w:val="1"/>
                <w:color w:val="auto"/>
              </w:rPr>
              <w:t>(0.62)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Tax-related special items</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700" w:type="dxa"/>
            <w:vAlign w:val="bottom"/>
          </w:tcPr>
          <w:p>
            <w:pPr>
              <w:spacing w:after="0"/>
              <w:rPr>
                <w:sz w:val="19"/>
                <w:szCs w:val="19"/>
                <w:color w:val="auto"/>
              </w:rPr>
            </w:pPr>
          </w:p>
        </w:tc>
        <w:tc>
          <w:tcPr>
            <w:tcW w:w="720" w:type="dxa"/>
            <w:vAlign w:val="bottom"/>
          </w:tcPr>
          <w:p>
            <w:pPr>
              <w:jc w:val="center"/>
              <w:ind w:left="110"/>
              <w:spacing w:after="0"/>
              <w:rPr>
                <w:sz w:val="20"/>
                <w:szCs w:val="20"/>
                <w:color w:val="auto"/>
              </w:rPr>
            </w:pPr>
            <w:r>
              <w:rPr>
                <w:rFonts w:ascii="Arial" w:cs="Arial" w:eastAsia="Arial" w:hAnsi="Arial"/>
                <w:sz w:val="18"/>
                <w:szCs w:val="18"/>
                <w:b w:val="1"/>
                <w:bCs w:val="1"/>
                <w:color w:val="auto"/>
              </w:rPr>
              <w:t>(0.08)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600" w:type="dxa"/>
            <w:vAlign w:val="bottom"/>
          </w:tcPr>
          <w:p>
            <w:pPr>
              <w:jc w:val="right"/>
              <w:ind w:right="155"/>
              <w:spacing w:after="0"/>
              <w:rPr>
                <w:sz w:val="20"/>
                <w:szCs w:val="20"/>
                <w:color w:val="auto"/>
              </w:rPr>
            </w:pPr>
            <w:r>
              <w:rPr>
                <w:rFonts w:ascii="Arial" w:cs="Arial" w:eastAsia="Arial" w:hAnsi="Arial"/>
                <w:sz w:val="18"/>
                <w:szCs w:val="18"/>
                <w:color w:val="auto"/>
              </w:rPr>
              <w:t>(c)</w:t>
            </w:r>
          </w:p>
        </w:tc>
        <w:tc>
          <w:tcPr>
            <w:tcW w:w="62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6"/>
              </w:rPr>
              <w:t>0.19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effects of adjustments (b)</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rPr>
              <w:t>(0.36)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and Adjusted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1,041</w:t>
            </w:r>
          </w:p>
        </w:tc>
        <w:tc>
          <w:tcPr>
            <w:tcW w:w="7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6"/>
              </w:rPr>
              <w:t>4.27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shares -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243.5</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218.2</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right="320" w:hanging="328"/>
        <w:spacing w:after="0" w:line="265" w:lineRule="auto"/>
        <w:tabs>
          <w:tab w:leader="none" w:pos="65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special charges in the years end December 31, 2024 and 2023 primarily relate to $50 million and $134 million of acquisition and integration related costs, respectively.</w:t>
      </w:r>
    </w:p>
    <w:p>
      <w:pPr>
        <w:spacing w:after="0" w:line="1" w:lineRule="exact"/>
        <w:rPr>
          <w:rFonts w:ascii="Arial" w:cs="Arial" w:eastAsia="Arial" w:hAnsi="Arial"/>
          <w:sz w:val="16"/>
          <w:szCs w:val="16"/>
          <w:color w:val="auto"/>
        </w:rPr>
      </w:pPr>
    </w:p>
    <w:p>
      <w:pPr>
        <w:ind w:left="660" w:right="320" w:hanging="328"/>
        <w:spacing w:after="0" w:line="252" w:lineRule="auto"/>
        <w:tabs>
          <w:tab w:leader="none" w:pos="65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tax effects of adjustments are calculated using the statutory tax rate, taking into consideration the nature of the item and the relevant taxing jurisdiction.</w:t>
      </w:r>
    </w:p>
    <w:p>
      <w:pPr>
        <w:spacing w:after="0" w:line="1" w:lineRule="exact"/>
        <w:rPr>
          <w:rFonts w:ascii="Arial" w:cs="Arial" w:eastAsia="Arial" w:hAnsi="Arial"/>
          <w:sz w:val="16"/>
          <w:szCs w:val="16"/>
          <w:color w:val="auto"/>
        </w:rPr>
      </w:pPr>
    </w:p>
    <w:p>
      <w:pPr>
        <w:ind w:left="660" w:right="160" w:hanging="328"/>
        <w:spacing w:after="0" w:line="270"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tax-related special items in 2023 primarily relate to $70 million of tax benefits from tax exam impacts and $27 million of tax benefits relating to tax law changes.</w:t>
      </w:r>
    </w:p>
    <w:p>
      <w:pPr>
        <w:spacing w:after="0" w:line="68" w:lineRule="exact"/>
        <w:rPr>
          <w:rFonts w:ascii="Arial" w:cs="Arial" w:eastAsia="Arial" w:hAnsi="Arial"/>
          <w:sz w:val="16"/>
          <w:szCs w:val="16"/>
          <w:color w:val="auto"/>
        </w:rPr>
      </w:pPr>
    </w:p>
    <w:p>
      <w:pPr>
        <w:ind w:left="580" w:right="720" w:hanging="329"/>
        <w:spacing w:after="0" w:line="287"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 as applicable.</w:t>
      </w:r>
    </w:p>
    <w:p>
      <w:pPr>
        <w:spacing w:after="0" w:line="44" w:lineRule="exact"/>
        <w:rPr>
          <w:rFonts w:ascii="Arial" w:cs="Arial" w:eastAsia="Arial" w:hAnsi="Arial"/>
          <w:sz w:val="18"/>
          <w:szCs w:val="18"/>
          <w:color w:val="auto"/>
        </w:rPr>
      </w:pPr>
    </w:p>
    <w:p>
      <w:pPr>
        <w:ind w:left="580" w:right="220" w:hanging="329"/>
        <w:spacing w:after="0" w:line="262"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gain or loss from sale of businesses, gain on remeasurement of previously held equity interest, special charges and tax-related special items, as applicable, and "adjusted operating margin" defined as adjusted operating income divided by total revenue.</w:t>
      </w:r>
    </w:p>
    <w:p>
      <w:pPr>
        <w:spacing w:after="0" w:line="68" w:lineRule="exact"/>
        <w:rPr>
          <w:rFonts w:ascii="Arial" w:cs="Arial" w:eastAsia="Arial" w:hAnsi="Arial"/>
          <w:sz w:val="18"/>
          <w:szCs w:val="18"/>
          <w:color w:val="auto"/>
        </w:rPr>
      </w:pPr>
    </w:p>
    <w:p>
      <w:pPr>
        <w:ind w:left="580" w:right="280" w:hanging="329"/>
        <w:spacing w:after="0" w:line="262"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gain or loss from sale of businesses, gain on remeasurement of previously held equity interest and special charges, and "adjusted EBITDA margin" defined as adjusted EBITDA divided by total revenue.</w:t>
      </w:r>
    </w:p>
    <w:p>
      <w:pPr>
        <w:spacing w:after="0" w:line="68" w:lineRule="exact"/>
        <w:rPr>
          <w:rFonts w:ascii="Arial" w:cs="Arial" w:eastAsia="Arial" w:hAnsi="Arial"/>
          <w:sz w:val="18"/>
          <w:szCs w:val="18"/>
          <w:color w:val="auto"/>
        </w:rPr>
      </w:pPr>
    </w:p>
    <w:p>
      <w:pPr>
        <w:ind w:left="580" w:right="440" w:hanging="329"/>
        <w:spacing w:after="0" w:line="287" w:lineRule="auto"/>
        <w:tabs>
          <w:tab w:leader="none" w:pos="576"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b w:val="1"/>
          <w:bCs w:val="1"/>
          <w:color w:val="auto"/>
        </w:rPr>
      </w:pPr>
    </w:p>
    <w:p>
      <w:pPr>
        <w:ind w:left="580" w:right="180" w:hanging="329"/>
        <w:spacing w:after="0" w:line="287"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costs related to the U.K. pension plan buy-out.</w:t>
      </w:r>
    </w:p>
    <w:p>
      <w:pPr>
        <w:spacing w:after="0" w:line="44" w:lineRule="exact"/>
        <w:rPr>
          <w:rFonts w:ascii="Arial" w:cs="Arial" w:eastAsia="Arial" w:hAnsi="Arial"/>
          <w:sz w:val="18"/>
          <w:szCs w:val="18"/>
          <w:color w:val="auto"/>
        </w:rPr>
      </w:pPr>
    </w:p>
    <w:p>
      <w:pPr>
        <w:ind w:left="580" w:right="600" w:hanging="329"/>
        <w:spacing w:after="0" w:line="287"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580" w:right="180" w:hanging="329"/>
        <w:spacing w:after="0" w:line="268"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color w:val="auto"/>
              </w:rPr>
              <w:t>2023</w:t>
            </w:r>
          </w:p>
        </w:tc>
      </w:tr>
      <w:tr>
        <w:trPr>
          <w:trHeight w:val="223"/>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1,263</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color w:val="auto"/>
                <w:w w:val="99"/>
              </w:rPr>
              <w:t>837</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9"/>
              </w:rPr>
              <w:t>(271)</w:t>
            </w:r>
          </w:p>
        </w:tc>
      </w:tr>
      <w:tr>
        <w:trPr>
          <w:trHeight w:val="223"/>
        </w:trPr>
        <w:tc>
          <w:tcPr>
            <w:tcW w:w="7480" w:type="dxa"/>
            <w:vAlign w:val="bottom"/>
          </w:tcPr>
          <w:p>
            <w:pPr>
              <w:ind w:left="8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99"/>
              </w:rPr>
              <w:t>566</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9"/>
              </w:rPr>
              <w:t>(628)</w:t>
            </w:r>
          </w:p>
        </w:tc>
      </w:tr>
      <w:tr>
        <w:trPr>
          <w:trHeight w:val="247"/>
        </w:trPr>
        <w:tc>
          <w:tcPr>
            <w:tcW w:w="7480" w:type="dxa"/>
            <w:vAlign w:val="bottom"/>
          </w:tcPr>
          <w:p>
            <w:pPr>
              <w:ind w:left="140"/>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(615)</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color w:val="auto"/>
                <w:w w:val="99"/>
              </w:rPr>
              <w:t>(157)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Xylem reported revenue of $8,562 million for 2024, an increase of $1,198 million, or 16.3%, from $7,364 million reported in 2023. On a constant currency basis, revenue increased by $1,210 million, or 16.4%, during the year. The increase at constant currency consists of revenue from acquisitions of $786 million and an increase in organic revenue of $424 million reflecting organic growth across all major geographic regions, with organic growth in the Measurement and Control Solutions, Water Infrastructure, and Water Solutions and Services segments, more than offsetting organic declines in the Applied Water segment.</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for 2024 was $1,009 million, reflecting an increase of $357 million, or 54.8%, compared to $ 652 million in 2023. Operating margin was 11.8% in 2024, up 290 basis points from 8.9% in 2023. The increase in operating income for 2024 included a decrease in special charges of $81 million, an increase in purchased intangible amortization of $40 million, and a decrease in restructuring and realignment costs of $15 million as compared to 2023. Excluding the impact of these items, adjusted operating income was $1,373 million, with an adjusted operating margin of 16.0% in 2024 as compared to adjusted operating income of $1,072 million with an adjusted operating margin of 14.6% in 2023, an increase of 140 basis points.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2024 include the following:</w:t>
      </w:r>
    </w:p>
    <w:p>
      <w:pPr>
        <w:spacing w:after="0" w:line="117" w:lineRule="exact"/>
        <w:rPr>
          <w:sz w:val="20"/>
          <w:szCs w:val="20"/>
          <w:color w:val="auto"/>
        </w:rPr>
      </w:pPr>
    </w:p>
    <w:p>
      <w:pPr>
        <w:ind w:left="460" w:right="340" w:hanging="331"/>
        <w:spacing w:after="0" w:line="287"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of $890 million, or $3.65 per diluted share, up 30.8% ($1,041 million or $4.27 per diluted share on an adjusted basis, up 13.0% from 2023)</w:t>
      </w:r>
    </w:p>
    <w:p>
      <w:pPr>
        <w:spacing w:after="0" w:line="44"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cash provided by operating activities of $1,263 million, up 51% from 2023, and free cash flow of $942 million, up 66% from 2023</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Orders of $8,730 million, up 16.4% from $7,501 million in 2023 (up 4.7% on an organic basis)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paid to shareholders increased 9% in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 v. 2023</w:t>
            </w: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 v. 2022</w:t>
            </w:r>
          </w:p>
        </w:tc>
        <w:tc>
          <w:tcPr>
            <w:tcW w:w="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rPr>
              <w:t>8,562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37.7 %</w:t>
            </w:r>
          </w:p>
        </w:tc>
        <w:tc>
          <w:tcPr>
            <w:tcW w:w="120" w:type="dxa"/>
            <w:vAlign w:val="bottom"/>
          </w:tcPr>
          <w:p>
            <w:pPr>
              <w:spacing w:after="0"/>
              <w:rPr>
                <w:sz w:val="19"/>
                <w:szCs w:val="19"/>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60 bp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(80)bp</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19"/>
                <w:szCs w:val="19"/>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(230)bp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 bp</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i w:val="1"/>
                <w:iCs w:val="1"/>
                <w:color w:val="auto"/>
              </w:rPr>
              <w:t>Operating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19"/>
                <w:szCs w:val="19"/>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290 bp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(240)bp</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pension settlement expense</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NM</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Interest and other non-operating expense, net</w:t>
            </w:r>
          </w:p>
        </w:tc>
        <w:tc>
          <w:tcPr>
            <w:tcW w:w="320" w:type="dxa"/>
            <w:vAlign w:val="bottom"/>
          </w:tcPr>
          <w:p>
            <w:pPr>
              <w:spacing w:after="0"/>
              <w:rPr>
                <w:sz w:val="19"/>
                <w:szCs w:val="19"/>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remeasurement of previously held</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NM</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interest</w:t>
            </w: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580" w:type="dxa"/>
            <w:vAlign w:val="bottom"/>
            <w:gridSpan w:val="2"/>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(Loss)/gain from sale of business</w:t>
            </w:r>
          </w:p>
        </w:tc>
        <w:tc>
          <w:tcPr>
            <w:tcW w:w="3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i w:val="1"/>
                <w:iCs w:val="1"/>
                <w:color w:val="auto"/>
              </w:rPr>
              <w:t>Tax rate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19"/>
                <w:szCs w:val="19"/>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1,400 bp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(1,510)bp</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versus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generated for 2024 was $8,562 million, an increase of $1,198 million, or 16.3%, compared to $7,364 million in 2023. The increase at constant currency consists of revenue from acquisitions of $786 million and an increase in organic revenue of $424 million, reflecting organic growth across all major geographic regions, with organic growth in the Measurement and Control Solutions, Water Infrastructure, and Water Solutions and Services segments, more than offsetting organic declines in the Applied Water segment.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Water Infrastructure</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restart"/>
          </w:tcPr>
          <w:p>
            <w:pPr>
              <w:jc w:val="right"/>
              <w:ind w:right="233"/>
              <w:spacing w:after="0"/>
              <w:rPr>
                <w:sz w:val="20"/>
                <w:szCs w:val="20"/>
                <w:color w:val="auto"/>
              </w:rPr>
            </w:pPr>
            <w:r>
              <w:rPr>
                <w:rFonts w:ascii="Arial" w:cs="Arial" w:eastAsia="Arial" w:hAnsi="Arial"/>
                <w:sz w:val="16"/>
                <w:szCs w:val="16"/>
                <w:b w:val="1"/>
                <w:bCs w:val="1"/>
                <w:color w:val="auto"/>
              </w:rPr>
              <w:t>Applied Water</w:t>
            </w:r>
          </w:p>
        </w:tc>
        <w:tc>
          <w:tcPr>
            <w:tcW w:w="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Arial" w:cs="Arial" w:eastAsia="Arial" w:hAnsi="Arial"/>
                <w:sz w:val="16"/>
                <w:szCs w:val="16"/>
                <w:b w:val="1"/>
                <w:bCs w:val="1"/>
                <w:color w:val="auto"/>
              </w:rPr>
              <w:t>Measurement and</w:t>
            </w: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Water Solutions and</w:t>
            </w:r>
          </w:p>
        </w:tc>
        <w:tc>
          <w:tcPr>
            <w:tcW w:w="180" w:type="dxa"/>
            <w:vAlign w:val="bottom"/>
          </w:tcPr>
          <w:p>
            <w:pPr>
              <w:spacing w:after="0"/>
              <w:rPr>
                <w:sz w:val="16"/>
                <w:szCs w:val="16"/>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Control Solutions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6"/>
                <w:szCs w:val="16"/>
                <w:b w:val="1"/>
                <w:bCs w:val="1"/>
                <w:color w:val="auto"/>
              </w:rPr>
              <w:t>Services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 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ind w:left="20"/>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Change</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2023 Revenue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$ 2,215</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9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96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w:t>
            </w:r>
          </w:p>
        </w:tc>
        <w:tc>
          <w:tcPr>
            <w:tcW w:w="98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75"/>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w w:val="99"/>
              </w:rPr>
              <w:t>(12)</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Arial" w:cs="Arial" w:eastAsia="Arial" w:hAnsi="Arial"/>
                <w:sz w:val="18"/>
                <w:szCs w:val="18"/>
                <w:color w:val="auto"/>
              </w:rPr>
              <w:t>translation (a)</w:t>
            </w:r>
          </w:p>
        </w:tc>
        <w:tc>
          <w:tcPr>
            <w:tcW w:w="7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revenue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2024 Revenue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$ 2,555</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1,871</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2,343</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140" w:hanging="328"/>
        <w:spacing w:after="0" w:line="304"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Canadian Dollar, Chinese Yuan, Chilean Peso, Brazilian Real and the Hungarian Forint, offset by the strengthening in the British Pound.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Water Infrastructure revenue increased $340 million, or 15.3%, to $2,555 million in 2024 compared to 2023. Revenue growth was partially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made up of the revenue contributed by acquisitions of $221 million, with the remainder of the increase coming from organic revenue growth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$123 million, or 5.5%. Revenue was negatively impacted by $4 million of foreign currency translation. The transport application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 million of organic revenue growth, driven by strength in all of our major geographic regions, led by increased sales volume and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realization in the U.S. and Canada, and backlog execution and infrastructure projects in western Europe. Organic revenue for the transport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application also benefited from increased infrastructure projects in the emerging markets. Organic revenue for the treatment applications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grew by $44 million, led by infrastructure projects in the U.S. and emerging markets.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Applied Water revenue decreased $60 million, or 3.3%, to $1,793 million in 2024 compared to 2023. Revenue was negatively impacted by $2 million of foreign currency translation, with the change at constant currency coming entirely from organic declines of $ 58 million. Industrial organic revenue decreased by $32 million due to timing of projects and softness across all major geographic regions. Organic revenue from building solutions declined $26 million driven by softness in the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Measurement and Control Solutions revenue increased $259 million, or 16.1%, to $1,871 million in 2024 compared to 2023. Foreign currency translation was flat during the year, with the change at constant currency coming from organic growth of $255 million, and $4 million of acquisition activity. Smart metering and other applications had $261 million of organic growth, driven by increased sales volume due to backlog execution in the U.S. Organic growth was partially offset by $6 million of organic decline in analytics, driven by lapping of project deliveries and backlog execution in the U.S. and emerging markets in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0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Water Solutions and Services revenue increased $659 million, or 39.2% to $2,343 million in 2024 compared to 2023. Revenue growth was partially made up of the revenue contributed by acquisitions of $561 million, with the remainder of the increase coming from organic revenue</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growth of $104 million, or 6.2%. Revenue was negatively impacted by $6 million of foreign currency translation. Organic revenue growth was primarily from strength in the dewatering applications in the emerging markets and the U.S. due to increased sales volume, strong rental demand and increased capital project revenue in Canada.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Orders/Backlog</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orders during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7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Water Infrastructure</w:t>
            </w:r>
          </w:p>
        </w:tc>
        <w:tc>
          <w:tcPr>
            <w:tcW w:w="140" w:type="dxa"/>
            <w:vAlign w:val="bottom"/>
          </w:tcPr>
          <w:p>
            <w:pPr>
              <w:spacing w:after="0"/>
              <w:rPr>
                <w:sz w:val="16"/>
                <w:szCs w:val="16"/>
                <w:color w:val="auto"/>
              </w:rPr>
            </w:pPr>
          </w:p>
        </w:tc>
        <w:tc>
          <w:tcPr>
            <w:tcW w:w="16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Applied Water</w:t>
            </w:r>
          </w:p>
        </w:tc>
        <w:tc>
          <w:tcPr>
            <w:tcW w:w="14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Measurement and</w:t>
            </w:r>
          </w:p>
        </w:tc>
        <w:tc>
          <w:tcPr>
            <w:tcW w:w="18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Water Solutions and</w:t>
            </w:r>
          </w:p>
        </w:tc>
        <w:tc>
          <w:tcPr>
            <w:tcW w:w="140" w:type="dxa"/>
            <w:vAlign w:val="bottom"/>
          </w:tcPr>
          <w:p>
            <w:pPr>
              <w:spacing w:after="0"/>
              <w:rPr>
                <w:sz w:val="16"/>
                <w:szCs w:val="16"/>
                <w:color w:val="auto"/>
              </w:rPr>
            </w:pPr>
          </w:p>
        </w:tc>
        <w:tc>
          <w:tcPr>
            <w:tcW w:w="1560" w:type="dxa"/>
            <w:vAlign w:val="bottom"/>
            <w:gridSpan w:val="2"/>
            <w:vMerge w:val="restart"/>
          </w:tcPr>
          <w:p>
            <w:pPr>
              <w:jc w:val="right"/>
              <w:ind w:right="315"/>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 Solutions</w:t>
            </w:r>
          </w:p>
        </w:tc>
        <w:tc>
          <w:tcPr>
            <w:tcW w:w="140" w:type="dxa"/>
            <w:vAlign w:val="bottom"/>
          </w:tcPr>
          <w:p>
            <w:pPr>
              <w:spacing w:after="0"/>
              <w:rPr>
                <w:sz w:val="18"/>
                <w:szCs w:val="18"/>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Services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4"/>
              <w:spacing w:after="0" w:line="147"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Change</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88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2023 Orders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7,501</w:t>
            </w: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w:t>
            </w:r>
          </w:p>
        </w:tc>
        <w:tc>
          <w:tcPr>
            <w:tcW w:w="840" w:type="dxa"/>
            <w:vAlign w:val="bottom"/>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w:t>
            </w:r>
          </w:p>
        </w:tc>
        <w:tc>
          <w:tcPr>
            <w:tcW w:w="880" w:type="dxa"/>
            <w:vAlign w:val="bottom"/>
          </w:tcPr>
          <w:p>
            <w:pPr>
              <w:jc w:val="right"/>
              <w:spacing w:after="0"/>
              <w:rPr>
                <w:sz w:val="20"/>
                <w:szCs w:val="20"/>
                <w:color w:val="auto"/>
              </w:rPr>
            </w:pPr>
            <w:r>
              <w:rPr>
                <w:rFonts w:ascii="Arial" w:cs="Arial" w:eastAsia="Arial" w:hAnsi="Arial"/>
                <w:sz w:val="18"/>
                <w:szCs w:val="18"/>
                <w:color w:val="auto"/>
              </w:rPr>
              <w:t>36.8 %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w:t>
            </w:r>
          </w:p>
        </w:tc>
        <w:tc>
          <w:tcPr>
            <w:tcW w:w="88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176"/>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Arial" w:cs="Arial" w:eastAsia="Arial" w:hAnsi="Arial"/>
                <w:sz w:val="18"/>
                <w:szCs w:val="18"/>
                <w:color w:val="auto"/>
              </w:rPr>
              <w:t>translation (a)</w:t>
            </w:r>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2024 Orders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2,727</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1,824</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2,507</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120" w:hanging="328"/>
        <w:spacing w:after="0" w:line="286"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Canadian Dollar, Chinese Yuan, Chilean Peso, Brazilian Real and the Hungarian Forint, offset by the strengthening in the British Pound.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$5,070 million at December 31, 2024 and $ 5,088 million at December 31, 2023, a decrease of 0.4%. We anticipate that more than 50% of our total backlog at December 31, 2024 will be recognized as revenue during 2025.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Gross margin as a percentage of consolidated revenue increased 60 basis points to 37.5% in 2024 as compared to 36.9% in 2023. The gross margin increase included 40 basis points of favorable impacts from decreases in realignment costs and special charges as compared to the prior year and 10 basis points of unfavorable impacts from increased intangible amortization expense. The gross margin increase for the year included favorable operational impacts of 280 basis points, driven by 180 basis points of productivity savings and 90 basis points of price realization. These impacts were partially offset by 250 basis points of negative operating impacts, driven by 150 basis points of inflation, 50 basis points of unfavorable impacts from the Evoqua acquisition, and 30 basis points of increased spending on strategic investments.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Change</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1,911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SG&amp;A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(160)bp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R&amp;D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2,203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(230)bp</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SG&amp;A expenses increased by $154 million (increase of 8.8%) to 22.3% of revenue in 2024, as compared to 23.9% of revenue in 2023. Cost increases were driven by $146 million of additional operational SG&amp;A from the acquisition of Evoqua, $49 million of inflation, $36 million of increased spending on strategic investments, $24 million of increased acquired intangible asset amortization and $11 million of increased volume, partially offset by $61 million of savings from productivity initiatives and $56 million of decreased special charges, primarily costs associated with the Evoqua acquisition in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R&amp;D expense was $230 million, or 2.7% of revenue, in 2024 which was fairly consistent with the 2023 expense of $232 million, or 3.2% of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Restructuring charges were $55 million in 2024 as compared to $72 million in 2023.</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December 31, 2024, the charges incurred primarily related to actions taken to further streamline our organization in order to strengthen our competitive positioning and the ability to better serve our customers. The charges incurred were across all of our segments, with the majority of the charges impacting the Water Solutions and Services and Water Infrastructure segments.</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year ended December 31, 2023, we incurred these charges primarily as a result of our acquisition of Evoqua. Approximately $27 million of the charges related to share-based compensation expense due to acceleration clauses in Evoqua's equity compensation agreements. Approximately $15 million of the charges represented the reduction of headcount related to the integration of Evoqua. Additionally, during 2023 we incurred $ 30 million of charges related to our efforts to reposition our businesses to optimize our cost structure, improve our operational efficiency and effectiveness, strengthen our competitive positioning and better serve our customers. The charges were incurred across all of our segments.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"Restructuring and Asset Impairment Charges"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employee position eliminations associated with restructuring activities for the years ended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and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80" w:type="dxa"/>
            <w:vAlign w:val="bottom"/>
            <w:gridSpan w:val="2"/>
          </w:tcPr>
          <w:p>
            <w:pPr>
              <w:ind w:left="8800"/>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color w:val="auto"/>
              </w:rPr>
              <w:t>2023</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9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749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Planned reductions - December 31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8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4" w:name="page45"/>
    <w:bookmarkEnd w:id="44"/>
    <w:p>
      <w:pPr>
        <w:ind w:right="120"/>
        <w:spacing w:after="0" w:line="271" w:lineRule="auto"/>
        <w:rPr>
          <w:sz w:val="20"/>
          <w:szCs w:val="20"/>
          <w:color w:val="auto"/>
        </w:rPr>
      </w:pPr>
      <w:r>
        <w:rPr>
          <w:rFonts w:ascii="Arial" w:cs="Arial" w:eastAsia="Arial" w:hAnsi="Arial"/>
          <w:sz w:val="18"/>
          <w:szCs w:val="18"/>
          <w:color w:val="auto"/>
        </w:rPr>
        <w:t>As a result of the actions initiated in 2024, we achieved savings of approximately $8 million in 2024 and estimate annual future net savings beginning in 2025 of approximately $55 million, resulting in $47 million of incremental savings from 2024 actions.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Refer to Note 12, "Goodwill and Other Intangible Assets," for more information on intangible asset impairment charges incurred during the years ended December 31, 2024 and 2023.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was $1,009 million (operating margin of 11.8%) during 2024, an increase of $357 million, or 54.8%, when compared to operating income of $652 million (operating margin of 8.9%) during the prior year. Operating margin included favorable impacts of 150 basis points from a net decrease in special charges, restructuring and realignment costs, and acquired intangible asset amortization as compared to the prior year. Additionally, operating margin included 490 basis points of expansion from favorable operating impacts, driven by a 270 basis point increase from productivity savings, 130 basis points from price realization, and 80 basis points from favorable volume. Margin expansion was offset by 350 basis points of unfavorable impacts driven by 210 basis points of inflation and 80 basis points of increased spending on strategic investments. Excluding special charges, acquired intangible asset amortization, and restructuring and realignment costs, adjusted operating income was $1,373 million (adjusted operating margin of 16.0%) for 2024 as compared to adjusted operating income of $1,072 million (adjusted operating margin of 14.6%) during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$890 million (net income margin of 10.4%) during 2024, an increase of $281 million as compared to net income in the prior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 of $609 million (net income margin of 8.3%). The increase in net income was driven by increased operating income of $357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non-recurring gain on the remeasurement of our previously held equity interest in Idrica of $152 million. Net income growth was partially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offset by increased income tax expense of $171 million, increased loss on sale of businesses of $45 million, and increased interest and non-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 of $12 million. Adjusted EBITDA was $1,763 million (adjusted EBITDA margin of 20.6%) during 2024,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$371 million, or 26.7%, when compared to adjusted EBITDA of $1,392 million (adjusted EBITDA margin of 18.9%) during the prior year.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in adjusted EBITDA margin was primarily due to the same factors impacting adjusted operating margin noted above; however,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was not negatively impacted by the relative impact of increased depreciation and software amortization expense.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45" w:name="page46"/>
    <w:bookmarkEnd w:id="45"/>
    <w:p>
      <w:pPr>
        <w:ind w:right="40"/>
        <w:spacing w:after="0" w:line="287" w:lineRule="auto"/>
        <w:rPr>
          <w:sz w:val="20"/>
          <w:szCs w:val="20"/>
          <w:color w:val="auto"/>
        </w:rPr>
      </w:pPr>
      <w:r>
        <w:rPr>
          <w:rFonts w:ascii="Arial" w:cs="Arial" w:eastAsia="Arial" w:hAnsi="Arial"/>
          <w:sz w:val="18"/>
          <w:szCs w:val="18"/>
          <w:color w:val="auto"/>
        </w:rPr>
        <w:t>The table below provides a reconciliation of total and each segment's operating income to adjusted operating income, and a calculation of the corresponding adjusted operating margin: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shd w:val="clear" w:color="auto" w:fill="CCEEFF"/>
          </w:tcPr>
          <w:p>
            <w:pPr>
              <w:spacing w:after="0"/>
              <w:rPr>
                <w:sz w:val="17"/>
                <w:szCs w:val="17"/>
                <w:color w:val="auto"/>
              </w:rPr>
            </w:pPr>
          </w:p>
        </w:tc>
      </w:tr>
      <w:tr>
        <w:trPr>
          <w:trHeight w:val="20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12.4 %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150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(64.3)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455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Applied Water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310</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(12.6) %</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16.7 %</w:t>
            </w:r>
          </w:p>
        </w:tc>
        <w:tc>
          <w:tcPr>
            <w:tcW w:w="10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(160) bp</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NM %</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NM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324</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(11.7) %</w:t>
            </w: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17.5 %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(150) bp</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Measurement and Control Solutions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8.3 %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490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(47.4) %</w:t>
            </w:r>
          </w:p>
        </w:tc>
      </w:tr>
      <w:tr>
        <w:trPr>
          <w:trHeight w:val="229"/>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13.2 %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430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Water Solutions and Services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7.8 %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150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(31.8)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368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(57.6) %</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(97.1) %</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0" w:type="dxa"/>
            <w:vAlign w:val="bottom"/>
            <w:shd w:val="clear" w:color="auto" w:fill="CCEEFF"/>
          </w:tcPr>
          <w:p>
            <w:pPr>
              <w:spacing w:after="0"/>
              <w:rPr>
                <w:sz w:val="19"/>
                <w:szCs w:val="19"/>
                <w:color w:val="auto"/>
              </w:rPr>
            </w:pPr>
          </w:p>
        </w:tc>
      </w:tr>
      <w:tr>
        <w:trPr>
          <w:trHeight w:val="223"/>
        </w:trPr>
        <w:tc>
          <w:tcPr>
            <w:tcW w:w="624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(20.3) %</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1,009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8.9 %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290</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bp</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(14.2) %</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138</w:t>
            </w:r>
          </w:p>
        </w:tc>
        <w:tc>
          <w:tcPr>
            <w:tcW w:w="1480" w:type="dxa"/>
            <w:vAlign w:val="bottom"/>
            <w:tcBorders>
              <w:bottom w:val="single" w:sz="8" w:color="CCEEFF"/>
            </w:tcBorders>
            <w:gridSpan w:val="3"/>
          </w:tcPr>
          <w:p>
            <w:pPr>
              <w:jc w:val="right"/>
              <w:ind w:right="130"/>
              <w:spacing w:after="0"/>
              <w:rPr>
                <w:sz w:val="20"/>
                <w:szCs w:val="20"/>
                <w:color w:val="auto"/>
              </w:rPr>
            </w:pPr>
            <w:r>
              <w:rPr>
                <w:rFonts w:ascii="Arial" w:cs="Arial" w:eastAsia="Arial" w:hAnsi="Arial"/>
                <w:sz w:val="18"/>
                <w:szCs w:val="18"/>
                <w:color w:val="auto"/>
              </w:rPr>
              <w:t>(58.7) %</w:t>
            </w:r>
          </w:p>
        </w:tc>
      </w:tr>
      <w:tr>
        <w:trPr>
          <w:trHeight w:val="223"/>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45"/>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14.6 %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140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bl>
    <w:p>
      <w:pPr>
        <w:spacing w:after="0" w:line="17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98" w:right="599" w:bottom="1440" w:gutter="0" w:footer="0" w:header="0"/>
        </w:sectPr>
      </w:pPr>
    </w:p>
    <w:bookmarkStart w:id="46" w:name="page47"/>
    <w:bookmarkEnd w:id="46"/>
    <w:p>
      <w:pPr>
        <w:ind w:left="180"/>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609</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210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10.4 %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8.3 %</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193</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243</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658</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1,092</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90"/>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30"/>
              <w:spacing w:after="0" w:line="203" w:lineRule="exact"/>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60</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previously held equity interest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sale of business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4500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1,392</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170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21"/>
        </w:trPr>
        <w:tc>
          <w:tcPr>
            <w:tcW w:w="70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18.9 %</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2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 December 31, 2024</w:t>
            </w: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40" w:type="dxa"/>
            <w:vAlign w:val="bottom"/>
          </w:tcPr>
          <w:p>
            <w:pPr>
              <w:spacing w:after="0"/>
              <w:rPr>
                <w:sz w:val="15"/>
                <w:szCs w:val="15"/>
                <w:color w:val="auto"/>
              </w:rPr>
            </w:pPr>
          </w:p>
        </w:tc>
        <w:tc>
          <w:tcPr>
            <w:tcW w:w="182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2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1960" w:type="dxa"/>
            <w:vAlign w:val="bottom"/>
            <w:gridSpan w:val="2"/>
          </w:tcPr>
          <w:p>
            <w:pPr>
              <w:jc w:val="right"/>
              <w:ind w:right="30"/>
              <w:spacing w:after="0" w:line="181" w:lineRule="exact"/>
              <w:rPr>
                <w:sz w:val="20"/>
                <w:szCs w:val="20"/>
                <w:color w:val="auto"/>
              </w:rPr>
            </w:pPr>
            <w:r>
              <w:rPr>
                <w:rFonts w:ascii="Arial" w:cs="Arial" w:eastAsia="Arial" w:hAnsi="Arial"/>
                <w:sz w:val="18"/>
                <w:szCs w:val="18"/>
                <w:b w:val="1"/>
                <w:bCs w:val="1"/>
                <w:color w:val="auto"/>
              </w:rPr>
              <w:t>Water Solutions and</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9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Control Solutions</w:t>
            </w:r>
          </w:p>
        </w:tc>
        <w:tc>
          <w:tcPr>
            <w:tcW w:w="360" w:type="dxa"/>
            <w:vAlign w:val="bottom"/>
          </w:tcPr>
          <w:p>
            <w:pPr>
              <w:spacing w:after="0"/>
              <w:rPr>
                <w:sz w:val="21"/>
                <w:szCs w:val="21"/>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15.1 %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9.3 %</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remeasurement of</w:t>
            </w:r>
          </w:p>
        </w:tc>
        <w:tc>
          <w:tcPr>
            <w:tcW w:w="14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previously held equity interest</w:t>
            </w:r>
          </w:p>
        </w:tc>
        <w:tc>
          <w:tcPr>
            <w:tcW w:w="140" w:type="dxa"/>
            <w:vAlign w:val="bottom"/>
            <w:shd w:val="clear" w:color="auto" w:fill="CCEEFF"/>
          </w:tcPr>
          <w:p>
            <w:pPr>
              <w:spacing w:after="0"/>
              <w:rPr>
                <w:sz w:val="21"/>
                <w:szCs w:val="21"/>
                <w:color w:val="auto"/>
              </w:rPr>
            </w:pPr>
          </w:p>
        </w:tc>
        <w:tc>
          <w:tcPr>
            <w:tcW w:w="1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Loss from sale of business</w:t>
            </w:r>
          </w:p>
        </w:tc>
        <w:tc>
          <w:tcPr>
            <w:tcW w:w="140" w:type="dxa"/>
            <w:vAlign w:val="bottom"/>
          </w:tcPr>
          <w:p>
            <w:pPr>
              <w:spacing w:after="0"/>
              <w:rPr>
                <w:sz w:val="19"/>
                <w:szCs w:val="19"/>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non-operating expense,</w:t>
            </w:r>
          </w:p>
        </w:tc>
        <w:tc>
          <w:tcPr>
            <w:tcW w:w="14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interest</w:t>
            </w:r>
          </w:p>
        </w:tc>
        <w:tc>
          <w:tcPr>
            <w:tcW w:w="14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296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481</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14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Loss from sale of business</w:t>
            </w:r>
          </w:p>
        </w:tc>
        <w:tc>
          <w:tcPr>
            <w:tcW w:w="14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20.7 %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17.7 %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23.4 %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60" w:type="dxa"/>
            <w:vAlign w:val="bottom"/>
            <w:gridSpan w:val="11"/>
          </w:tcPr>
          <w:p>
            <w:pPr>
              <w:jc w:val="center"/>
              <w:ind w:right="1130"/>
              <w:spacing w:after="0"/>
              <w:rPr>
                <w:sz w:val="20"/>
                <w:szCs w:val="20"/>
                <w:color w:val="auto"/>
              </w:rPr>
            </w:pPr>
            <w:r>
              <w:rPr>
                <w:rFonts w:ascii="Arial" w:cs="Arial" w:eastAsia="Arial" w:hAnsi="Arial"/>
                <w:sz w:val="18"/>
                <w:szCs w:val="18"/>
                <w:b w:val="1"/>
                <w:bCs w:val="1"/>
                <w:color w:val="auto"/>
                <w:w w:val="99"/>
              </w:rPr>
              <w:t>Year Ended December 31, 2023</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8"/>
              </w:rPr>
              <w:t>Water Infrastructure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9"/>
              </w:rPr>
              <w:t>Applied Water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80"/>
              <w:spacing w:after="0" w:line="189"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130"/>
              <w:spacing w:after="0" w:line="189" w:lineRule="exact"/>
              <w:rPr>
                <w:sz w:val="20"/>
                <w:szCs w:val="20"/>
                <w:color w:val="auto"/>
              </w:rPr>
            </w:pPr>
            <w:r>
              <w:rPr>
                <w:rFonts w:ascii="Arial" w:cs="Arial" w:eastAsia="Arial" w:hAnsi="Arial"/>
                <w:sz w:val="18"/>
                <w:szCs w:val="18"/>
                <w:b w:val="1"/>
                <w:bCs w:val="1"/>
                <w:color w:val="auto"/>
                <w:w w:val="99"/>
              </w:rPr>
              <w:t>Water Solutions</w:t>
            </w:r>
          </w:p>
        </w:tc>
        <w:tc>
          <w:tcPr>
            <w:tcW w:w="0" w:type="dxa"/>
            <w:vAlign w:val="bottom"/>
          </w:tcPr>
          <w:p>
            <w:pPr>
              <w:spacing w:after="0"/>
              <w:rPr>
                <w:sz w:val="1"/>
                <w:szCs w:val="1"/>
                <w:color w:val="auto"/>
              </w:rPr>
            </w:pPr>
          </w:p>
        </w:tc>
      </w:tr>
      <w:tr>
        <w:trPr>
          <w:trHeight w:val="235"/>
        </w:trPr>
        <w:tc>
          <w:tcPr>
            <w:tcW w:w="2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Systems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4"/>
          </w:tcPr>
          <w:p>
            <w:pPr>
              <w:ind w:left="8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Services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275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310</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3"/>
          </w:tcPr>
          <w:p>
            <w:pPr>
              <w:jc w:val="right"/>
              <w:ind w:right="20"/>
              <w:spacing w:after="0" w:line="203" w:lineRule="exact"/>
              <w:rPr>
                <w:sz w:val="20"/>
                <w:szCs w:val="20"/>
                <w:color w:val="auto"/>
              </w:rPr>
            </w:pPr>
            <w:r>
              <w:rPr>
                <w:rFonts w:ascii="Arial" w:cs="Arial" w:eastAsia="Arial" w:hAnsi="Arial"/>
                <w:sz w:val="18"/>
                <w:szCs w:val="18"/>
                <w:b w:val="1"/>
                <w:bCs w:val="1"/>
                <w:color w:val="auto"/>
              </w:rPr>
              <w:t>12.4 %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16.7 %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8.3 %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7.8 %</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15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line="183" w:lineRule="exact"/>
              <w:rPr>
                <w:sz w:val="20"/>
                <w:szCs w:val="20"/>
                <w:color w:val="auto"/>
              </w:rPr>
            </w:pPr>
            <w:r>
              <w:rPr>
                <w:rFonts w:ascii="Arial" w:cs="Arial" w:eastAsia="Arial" w:hAnsi="Arial"/>
                <w:sz w:val="18"/>
                <w:szCs w:val="18"/>
                <w:color w:val="auto"/>
              </w:rPr>
              <w:t>Other non-operating expense,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5"/>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excluding interest</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336</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89"/>
              </w:rPr>
              <w:t>13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426</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352</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369</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19.2 %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21.9 %</w:t>
            </w:r>
          </w:p>
        </w:tc>
        <w:tc>
          <w:tcPr>
            <w:tcW w:w="0" w:type="dxa"/>
            <w:vAlign w:val="bottom"/>
          </w:tcPr>
          <w:p>
            <w:pPr>
              <w:spacing w:after="0"/>
              <w:rPr>
                <w:sz w:val="1"/>
                <w:szCs w:val="1"/>
                <w:color w:val="auto"/>
              </w:rPr>
            </w:pPr>
          </w:p>
        </w:tc>
      </w:tr>
      <w:tr>
        <w:trPr>
          <w:trHeight w:val="454"/>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2024 versus 2023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rPr>
              <w:t>Applied Water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4"/>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5"/>
                <w:szCs w:val="15"/>
                <w:color w:val="auto"/>
              </w:rPr>
            </w:pPr>
          </w:p>
        </w:tc>
        <w:tc>
          <w:tcPr>
            <w:tcW w:w="1920" w:type="dxa"/>
            <w:vAlign w:val="bottom"/>
            <w:gridSpan w:val="3"/>
          </w:tcPr>
          <w:p>
            <w:pPr>
              <w:jc w:val="center"/>
              <w:spacing w:after="0" w:line="181" w:lineRule="exact"/>
              <w:rPr>
                <w:sz w:val="20"/>
                <w:szCs w:val="20"/>
                <w:color w:val="auto"/>
              </w:rPr>
            </w:pPr>
            <w:r>
              <w:rPr>
                <w:rFonts w:ascii="Arial" w:cs="Arial" w:eastAsia="Arial" w:hAnsi="Arial"/>
                <w:sz w:val="18"/>
                <w:szCs w:val="18"/>
                <w:b w:val="1"/>
                <w:bCs w:val="1"/>
                <w:color w:val="auto"/>
                <w:w w:val="98"/>
              </w:rPr>
              <w:t>Water Solutions and</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202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Systems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Services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(39)</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150</w:t>
            </w:r>
          </w:p>
        </w:tc>
        <w:tc>
          <w:tcPr>
            <w:tcW w:w="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bps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b w:val="1"/>
                <w:bCs w:val="1"/>
                <w:color w:val="auto"/>
              </w:rPr>
              <w:t>(160) bps</w:t>
            </w: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490</w:t>
            </w:r>
          </w:p>
        </w:tc>
        <w:tc>
          <w:tcPr>
            <w:tcW w:w="440" w:type="dxa"/>
            <w:vAlign w:val="bottom"/>
            <w:tcBorders>
              <w:top w:val="single" w:sz="8" w:color="auto"/>
            </w:tcBorders>
            <w:gridSpan w:val="3"/>
          </w:tcPr>
          <w:p>
            <w:pPr>
              <w:ind w:left="60"/>
              <w:spacing w:after="0" w:line="203" w:lineRule="exact"/>
              <w:rPr>
                <w:sz w:val="20"/>
                <w:szCs w:val="20"/>
                <w:color w:val="auto"/>
              </w:rPr>
            </w:pPr>
            <w:r>
              <w:rPr>
                <w:rFonts w:ascii="Arial" w:cs="Arial" w:eastAsia="Arial" w:hAnsi="Arial"/>
                <w:sz w:val="18"/>
                <w:szCs w:val="18"/>
                <w:b w:val="1"/>
                <w:bCs w:val="1"/>
                <w:color w:val="auto"/>
              </w:rPr>
              <w:t>bps</w:t>
            </w: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150</w:t>
            </w:r>
          </w:p>
        </w:tc>
        <w:tc>
          <w:tcPr>
            <w:tcW w:w="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bps</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remeasurement of</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previously held equity interest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Loss from sale of business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non-operating expense,</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interest</w:t>
            </w:r>
          </w:p>
        </w:tc>
        <w:tc>
          <w:tcPr>
            <w:tcW w:w="1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3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Loss from sale of business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w:t>
            </w:r>
          </w:p>
        </w:tc>
        <w:tc>
          <w:tcPr>
            <w:tcW w:w="80" w:type="dxa"/>
            <w:vAlign w:val="bottom"/>
            <w:tcBorders>
              <w:top w:val="single" w:sz="8" w:color="CCEEFF"/>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bps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 bps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440" w:type="dxa"/>
            <w:vAlign w:val="bottom"/>
            <w:gridSpan w:val="3"/>
          </w:tcPr>
          <w:p>
            <w:pPr>
              <w:ind w:left="60"/>
              <w:spacing w:after="0"/>
              <w:rPr>
                <w:sz w:val="20"/>
                <w:szCs w:val="20"/>
                <w:color w:val="auto"/>
              </w:rPr>
            </w:pPr>
            <w:r>
              <w:rPr>
                <w:rFonts w:ascii="Arial" w:cs="Arial" w:eastAsia="Arial" w:hAnsi="Arial"/>
                <w:sz w:val="18"/>
                <w:szCs w:val="18"/>
                <w:b w:val="1"/>
                <w:bCs w:val="1"/>
                <w:color w:val="auto"/>
              </w:rPr>
              <w:t>bps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9"/>
              </w:rPr>
              <w:t>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944"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$356 million for our Water Infrastructure segment (operating margin of 13.9%) during 2024, an increase of $ 81 million, or 29.5%, when compared to operating income of $ 275 million (operating margin of 12.4%) during the prior year, or a total increase of 150 basis points of operating margin. Operating margin growth included favorable impacts of 30 basis points from a minor overall net increase in acquired intangible asset amortization, restructuring and realignment costs, and special charges relative to the increase in revenue as compared to the prior year. Additionally, operating margin increases included 520 basis points from favorable operating impacts, driven by 270 basis points from productivity savings, 90 basis points of price realization, 60 basis points of favorable mix, and 40 basis points of favorable volume. Operating margin growth was partially offset by negative operating impacts of 400 basis points including 190 basis points of inflation, 60 basis points of increased spending on strategic investments and 40 basis points of negative operating impact from the impact of the Evoqua acquisition. Excluding acquired intangible asset amortization, special charges and restructuring and realignment costs, adjusted operating income was $455 million (adjusted operating margin of 17.8%) during 2024 as compared to adjusted operating income of $368 million (adjusted operating margin of 16.6%) during the prior year.</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Adjusted EBITDA was $529 million (adjusted EBITDA margin of 20.7%) during 2024, an increase of $103 million, or 24.2%, when compared to adjusted EBITDA of $426 million (adjusted EBITDA margin of 19.2%) during the prior year. The increase in adjusted EBITDA margin was primarily due to the same factors impacting the increase in adjusted operating margin; however, adjusted EBITDA was not negatively impacted by the relative impact of increased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income was $ 271 million for our Applied Water segment (operating margin of 15.1%) during 2024, a decrease of $39 million, or 12.6%, when compared to operating income of $310 million (operating margin of 16.7%) during the prior year, or a total decrease of 160 basis points of operating margin. The decrease in operating margin included unfavorable impacts of 10 basis points from a slight increase in restructuring and realignment costs as compared to the prior year. Operating margin also included negative operating impacts of 470 basis points, driven by 220 basis points of inflation, 110 basis points of unfavorable volume, and 80 basis points of unfavorable mix. Declines were partially offset by 320 basis points of favorable operating impacts, consisting of 270 basis points from productivity savings and 50 basis points of price realization. Excluding restructuring and realignment costs, adjusted operating income was $286 million (adjusted operating margin of 16.0%) during 2024 as compared to adjusted operating income of $324 million (adjusted operating margin of 17.5%) during the prior year.</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Adjusted EBITDA was $317 million (adjusted EBITDA margin of 17.7%) during 2024, a decrease of $35 million, or (9.9)%, when compared to adjusted EBITDA of $352 million (adjusted EBITDA margin of 19.0%) during the prior year. The decrease in adjusted EBITDA margin was primarily due to the same factors impacting the decrease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$ 247 million for our Measurement and Control Solutions segment (operating margin of 13.2%) during 2024, an increase of $114 million, or 85.7%, when compared to operating income of $133 million (operating margin of 8.3%) during the prior year, or a total increase of 490 basis points of operating margin. Operating margin increases included favorable impacts of 60 basis points from the net impact of restructuring and realignment costs, acquired intangible asset amortization, and special charges being flat as compared to the prior year relative to an increase in revenue. Additionally, the operating margin increase included 870 basis points from favorable operating impacts driven by 340 basis points from productivity savings, 260 basis points of price realization, and 240 basis points from favorable volume. Favorable impacts were partially offset by 440 basis points of unfavorable impacts driven by 270 basis points of inflation, 80 basis points of increased spending on strategic investments, and 60 basis points of increased inventory management costs. Excluding restructuring and realignment costs, acquired intangible asset amortization, and special charges, adjusted operating income was $327 million (adjusted operating margin of 17.5%) during 2024 as compared to adjusted operating income of $213 million (adjusted operating margin of 13.2%) during the prior year.</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Adjusted EBITDA was $395 million (adjusted EBITDA margin of 21.1%) during 2024, an increase of $114 million, or 40.6%, when compared to adjusted EBITDA of $ 281 million (adjusted EBITDA margin of 17.4%) during the prior year. The increase in adjusted EBITDA margin was due to the same factors as those impacting the increase in adjusted operating margin; however, adjusted EBITDA margin was negatively impacted by increased non-operating expense and did not benefit from the relative impact of decreased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6"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$219 million for our Water Solutions and Services segment (operating margin of 9.3%) during 2024 an increase of $87 million, or 65.9%, when compared to operating income of $132 million (operating margin of 7.8%) during the prior year, or a total increase of 150 basis points of operating margin. Operating margin increases included favorable impacts of 40 basis points from increases in revenue outpacing a net increase in acquired intangible asset amortization, restructuring and realignment costs, and special charges as compared to the prior year. Additionally, the operating margin increase included 490 basis points from favorable operating impacts consisting of 160 basis points from productivity savings, 150 basis points from favorable volume, 130 basis points of price realization, and 50 basis points of positive operating impact from the impact of the Evoqua acquisition. Favorable impacts were partially offset by 380 basis points of unfavorable impacts driven by 150 basis points of inflation, and 150 basis points of increased spending on strategic investments. Excluding acquired intangible asset amortization, restructuring and realignment costs, and special charges, adjusted operating income was $368 million (adjusted operating margin of 15.7%) during 2024 as compared to adjusted operating income of $246 million (adjusted operating margin of 14.6%) during the prior year.</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EBITDA was $548 million (adjusted EBITDA margin of 23.4%) during 2024, an increase of $179 million, or 49%, when compared to adjusted EBITDA of $369 million (adjusted EBITDA margin of 21.9%) during the prior year. The increase in adjusted EBITDA margin was due to the same factors as those impacting the increase in adjusted operating margin; however, adjusted EBITDA was not unfavorably impacted by the increase in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Operating loss was $84 million for corporate and other during 2024, a decrease of $114 million, or 57.6% when comparing to operating loss of $198 million during the prior year. The decrease in operating loss for the year was primarily due to lower special charges and restructuring and realignment costs as compared to the prior year. Excluding special charges and restructuring and realignment costs, adjusted operating loss decreased $16 million during 2024 or 20.3%, compared to the prior year. The decrease in adjusted operating loss is primarily driven by lower employee costs and productivity savings.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Interest expense was $44 million and $49 million for 2024 and 2023, respectively. The decrease in interest expense was primarily driven by increased interest income generated on cross currency swaps offsetting interest expense, and decreased interest from commercial paper. See Note 15, "Credit Facilities and Debt", of our consolidated financial statements for a description of our credit facilities and long-term debt and related interest.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2024 was $197 million at an effective tax rate of 18.1% as compared to $26 million at an effective tax rate of</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4.1% in 2023. The 2024 effective tax rate differs from that of 2023 primarily due to the impact of audit settlements and tax rate changes in the prior period. See Note 7, "Income Taxes", of our consolidated financial statements for additional details on our tax attributes and related tax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versus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 generated for 2023 was $7,364 million, an increase of $1,842 million, or 33.4%, compared to $5,522 million in 2022. On a constant currency basis, revenue grew 33.8% during 2023. The increase at constant currency consists of revenue from acquisitions of $ 1,177 million and an increase in organic revenue of $690 million, reflecting strong organic growth in all segments as well as across all major geographic regions.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0" w:name="page51"/>
    <w:bookmarkEnd w:id="50"/>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2023 as recast by segment structure change effective on January 1,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Water Infrastructure</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restart"/>
          </w:tcPr>
          <w:p>
            <w:pPr>
              <w:jc w:val="right"/>
              <w:ind w:right="233"/>
              <w:spacing w:after="0"/>
              <w:rPr>
                <w:sz w:val="20"/>
                <w:szCs w:val="20"/>
                <w:color w:val="auto"/>
              </w:rPr>
            </w:pPr>
            <w:r>
              <w:rPr>
                <w:rFonts w:ascii="Arial" w:cs="Arial" w:eastAsia="Arial" w:hAnsi="Arial"/>
                <w:sz w:val="16"/>
                <w:szCs w:val="16"/>
                <w:b w:val="1"/>
                <w:bCs w:val="1"/>
                <w:color w:val="auto"/>
              </w:rPr>
              <w:t>Applied Water</w:t>
            </w:r>
          </w:p>
        </w:tc>
        <w:tc>
          <w:tcPr>
            <w:tcW w:w="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Arial" w:cs="Arial" w:eastAsia="Arial" w:hAnsi="Arial"/>
                <w:sz w:val="16"/>
                <w:szCs w:val="16"/>
                <w:b w:val="1"/>
                <w:bCs w:val="1"/>
                <w:color w:val="auto"/>
              </w:rPr>
              <w:t>Measurement and</w:t>
            </w: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Water Solutions and</w:t>
            </w:r>
          </w:p>
        </w:tc>
        <w:tc>
          <w:tcPr>
            <w:tcW w:w="180" w:type="dxa"/>
            <w:vAlign w:val="bottom"/>
          </w:tcPr>
          <w:p>
            <w:pPr>
              <w:spacing w:after="0"/>
              <w:rPr>
                <w:sz w:val="16"/>
                <w:szCs w:val="16"/>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Control Solutions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6"/>
                <w:szCs w:val="16"/>
                <w:b w:val="1"/>
                <w:bCs w:val="1"/>
                <w:color w:val="auto"/>
              </w:rPr>
              <w:t>Services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 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ind w:left="20"/>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Change</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2022 Revenue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$ 1,686</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29"/>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720" w:type="dxa"/>
            <w:vAlign w:val="bottom"/>
          </w:tcPr>
          <w:p>
            <w:pPr>
              <w:jc w:val="right"/>
              <w:spacing w:after="0"/>
              <w:rPr>
                <w:sz w:val="20"/>
                <w:szCs w:val="20"/>
                <w:color w:val="auto"/>
              </w:rPr>
            </w:pPr>
            <w:r>
              <w:rPr>
                <w:rFonts w:ascii="Arial" w:cs="Arial" w:eastAsia="Arial" w:hAnsi="Arial"/>
                <w:sz w:val="18"/>
                <w:szCs w:val="18"/>
                <w:color w:val="auto"/>
              </w:rPr>
              <w:t>362</w:t>
            </w:r>
          </w:p>
        </w:tc>
        <w:tc>
          <w:tcPr>
            <w:tcW w:w="96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815</w:t>
            </w:r>
          </w:p>
        </w:tc>
        <w:tc>
          <w:tcPr>
            <w:tcW w:w="960" w:type="dxa"/>
            <w:vAlign w:val="bottom"/>
          </w:tcPr>
          <w:p>
            <w:pPr>
              <w:jc w:val="right"/>
              <w:spacing w:after="0"/>
              <w:rPr>
                <w:sz w:val="20"/>
                <w:szCs w:val="20"/>
                <w:color w:val="auto"/>
              </w:rPr>
            </w:pPr>
            <w:r>
              <w:rPr>
                <w:rFonts w:ascii="Arial" w:cs="Arial" w:eastAsia="Arial" w:hAnsi="Arial"/>
                <w:sz w:val="18"/>
                <w:szCs w:val="18"/>
                <w:color w:val="auto"/>
              </w:rPr>
              <w:t>102.6 %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1,177</w:t>
            </w:r>
          </w:p>
        </w:tc>
        <w:tc>
          <w:tcPr>
            <w:tcW w:w="980" w:type="dxa"/>
            <w:vAlign w:val="bottom"/>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Constant Currency</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175"/>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w w:val="99"/>
              </w:rPr>
              <w:t>(25)</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240" w:type="dxa"/>
            <w:vAlign w:val="bottom"/>
          </w:tcPr>
          <w:p>
            <w:pPr>
              <w:ind w:left="140"/>
              <w:spacing w:after="0"/>
              <w:rPr>
                <w:sz w:val="20"/>
                <w:szCs w:val="20"/>
                <w:color w:val="auto"/>
              </w:rPr>
            </w:pPr>
            <w:r>
              <w:rPr>
                <w:rFonts w:ascii="Arial" w:cs="Arial" w:eastAsia="Arial" w:hAnsi="Arial"/>
                <w:sz w:val="18"/>
                <w:szCs w:val="18"/>
                <w:color w:val="auto"/>
              </w:rPr>
              <w:t>translation (a)</w:t>
            </w:r>
          </w:p>
        </w:tc>
        <w:tc>
          <w:tcPr>
            <w:tcW w:w="7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revenue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2023 Revenue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$ 2,215</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1,612</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1,684</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7,364</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300" w:hanging="328"/>
        <w:spacing w:after="0" w:line="304"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Chinese Yuan, the Canadian Dollar and the Norwegian Krone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Water Infrastructure revenue increased $ 529 million, or 31.4%, to $2,215 million in 2023 (31.9% increase on a constant currency basis) compared to 2022. Revenue growth was partially made up of the revenue contributed by acquisitions from Applied Product Technologies of $362 million, with the remainder of the increase coming from organic revenue growth of $175 million, or 10.4%. Revenue was negatively impacted by $8 million of foreign currency translation. Organic revenue growth was driven by our transport applications. Transport experienced $160 million of revenue growth. All three of our major geographic regions contributed to the organic revenue growth in transport. Western Europe also experienced increases driven by strong price realization and delivery on capital projects. Organic revenue growth for the treatment application was $15 million for the year due to increased sales volume in the U.S. driven by strong backlog execution.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jc w:val="both"/>
        <w:ind w:right="280"/>
        <w:spacing w:after="0" w:line="257" w:lineRule="auto"/>
        <w:rPr>
          <w:sz w:val="20"/>
          <w:szCs w:val="20"/>
          <w:color w:val="auto"/>
        </w:rPr>
      </w:pPr>
      <w:r>
        <w:rPr>
          <w:rFonts w:ascii="Arial" w:cs="Arial" w:eastAsia="Arial" w:hAnsi="Arial"/>
          <w:sz w:val="18"/>
          <w:szCs w:val="18"/>
          <w:color w:val="auto"/>
        </w:rPr>
        <w:t>Applied Water revenue increased $86 million, or 4.9%, in 2023 (5.4% increase on a constant currency basis) compared to 2022. Revenue was negatively impacted by $ 10 million of foreign currency translation, with the change at constant currency coming entirely from organic growth during the year of $96 million. Organic growth was led by strength in building solutions, with commercial revenue growth of</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$97 million, driven by the U.S. with increased sales volume from backlog execution in the first half of the year and strong price realization, partially offset by the residential declines in revenue of $33 million primarily in the emerging markets, driven by softness in the Middle East, and volume declines in the U.S. The industrial water application had organic growth of $32 million, led by the emerging markets due to increased sales volume, and western Europe where we benefited from strong price realization.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Measurement and Control Solutions revenue increased $337 million, or 26.4%, in 2023, consisting entirely of organic growth. Organic revenue growth during the year was led by growth in the smart metering and other applications of $312 million led by the U.S., where we saw increased sales volume enabled by recovery on prior year component constraints, and western Europe due to strong backlog execution. We also had organic revenue growth in the analytics application of $25 million, driven by strong backlog execution in the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Water Solutions and Services revenue increased $890 million, or 112.1%, in 2023 compared to 2022. The increase in revenue consisted primarily of $815 million contributed from the Evoqua acquisition and $82 million of organic growth. Revenue was negatively impacted by $7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of foreign currency translation. Organic revenue growth was led by the U.S. due to higher volume in the dewatering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Orders/Backlog</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orders during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7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Water Infrastructure</w:t>
            </w:r>
          </w:p>
        </w:tc>
        <w:tc>
          <w:tcPr>
            <w:tcW w:w="140" w:type="dxa"/>
            <w:vAlign w:val="bottom"/>
          </w:tcPr>
          <w:p>
            <w:pPr>
              <w:spacing w:after="0"/>
              <w:rPr>
                <w:sz w:val="16"/>
                <w:szCs w:val="16"/>
                <w:color w:val="auto"/>
              </w:rPr>
            </w:pPr>
          </w:p>
        </w:tc>
        <w:tc>
          <w:tcPr>
            <w:tcW w:w="162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Applied Water</w:t>
            </w:r>
          </w:p>
        </w:tc>
        <w:tc>
          <w:tcPr>
            <w:tcW w:w="14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6"/>
                <w:szCs w:val="16"/>
                <w:b w:val="1"/>
                <w:bCs w:val="1"/>
                <w:color w:val="auto"/>
              </w:rPr>
              <w:t>Measurement and</w:t>
            </w:r>
          </w:p>
        </w:tc>
        <w:tc>
          <w:tcPr>
            <w:tcW w:w="18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Water Solutions and</w:t>
            </w:r>
          </w:p>
        </w:tc>
        <w:tc>
          <w:tcPr>
            <w:tcW w:w="140" w:type="dxa"/>
            <w:vAlign w:val="bottom"/>
          </w:tcPr>
          <w:p>
            <w:pPr>
              <w:spacing w:after="0"/>
              <w:rPr>
                <w:sz w:val="16"/>
                <w:szCs w:val="16"/>
                <w:color w:val="auto"/>
              </w:rPr>
            </w:pPr>
          </w:p>
        </w:tc>
        <w:tc>
          <w:tcPr>
            <w:tcW w:w="1560" w:type="dxa"/>
            <w:vAlign w:val="bottom"/>
            <w:gridSpan w:val="2"/>
            <w:vMerge w:val="restart"/>
          </w:tcPr>
          <w:p>
            <w:pPr>
              <w:jc w:val="right"/>
              <w:ind w:right="315"/>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 Solutions</w:t>
            </w:r>
          </w:p>
        </w:tc>
        <w:tc>
          <w:tcPr>
            <w:tcW w:w="140" w:type="dxa"/>
            <w:vAlign w:val="bottom"/>
          </w:tcPr>
          <w:p>
            <w:pPr>
              <w:spacing w:after="0"/>
              <w:rPr>
                <w:sz w:val="18"/>
                <w:szCs w:val="18"/>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Services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94"/>
              <w:spacing w:after="0" w:line="147"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33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Change</w:t>
            </w: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88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2022 Orders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840" w:type="dxa"/>
            <w:vAlign w:val="bottom"/>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868</w:t>
            </w:r>
          </w:p>
        </w:tc>
        <w:tc>
          <w:tcPr>
            <w:tcW w:w="920" w:type="dxa"/>
            <w:vAlign w:val="bottom"/>
          </w:tcPr>
          <w:p>
            <w:pPr>
              <w:jc w:val="right"/>
              <w:spacing w:after="0"/>
              <w:rPr>
                <w:sz w:val="20"/>
                <w:szCs w:val="20"/>
                <w:color w:val="auto"/>
              </w:rPr>
            </w:pPr>
            <w:r>
              <w:rPr>
                <w:rFonts w:ascii="Arial" w:cs="Arial" w:eastAsia="Arial" w:hAnsi="Arial"/>
                <w:sz w:val="18"/>
                <w:szCs w:val="18"/>
                <w:color w:val="auto"/>
              </w:rPr>
              <w:t>107.0 %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1,220</w:t>
            </w:r>
          </w:p>
        </w:tc>
        <w:tc>
          <w:tcPr>
            <w:tcW w:w="88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Constant Currency</w:t>
            </w: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176"/>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2023 Orders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280" w:hanging="328"/>
        <w:spacing w:after="0" w:line="28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weakening in value of various currencies against the U.S. Dollar, the largest being the Chinese Yuan, the Canadian Dollar and the Norwegian Krone.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$5,088 million at December 31, 2023 and $3,605 million at December 31, 2022, an increase of 41.1%, with backlog from the acquisition of Evoqua contributing $1,268 million, or 35.2%, of the increase.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margin as a percentage of consolidated revenue decreased 80 basis points to 36.9% in 2023 as compared to 37.7% in 2022. The gross margin decline for the year included 60 basis points from increases in acquired intangible asset amortization and special charges as compared to 2022. Additionally, the gross margin decline for the year included 530 basis points of negative operating impacts, driven by 230 basis points of inflation, 140 basis points of unfavorable impacts from the Evoqua acquisition, 80 basis points of unfavorable mix, and 30 basis points of increased spending on strategic investments. These impacts were partially offset by favorable impacts of 510 basis points, driven by 270 basis points of price realization and 210 basis points of productivity savings.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7"/>
                <w:szCs w:val="17"/>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SG&amp;A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170 bp</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R&amp;D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2,065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bp</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SG&amp;A expenses increased by $530 million (increase of 43.2%) to 23.9% of revenue in 2023, as compared to 22.2% of revenue in 2022. Cost increases were driven by $ 188 million of additional operational SG&amp;A from the acquisition of Evoqua, increased special charges (mostly Evoqua acquisition related costs) and realignment costs of $115 million, increased acquired intangible asset amortization of $58 million, $54 million of inflation, and $51 million in increased spending on strategic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R&amp;D expense was $232 million, or 3.2% of revenue, in 2023 which was fairly consistent with the 2022 expense of $206 million, or 3.7% of revenue.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Restructuring charges were $72 million in 2023 as compared to $15 million in 2022.</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2023, we incurred these charges primarily as a result of our acquisition of Evoqua. Approximately $27 million of the charges related to share-based compensation expense due to acceleration clauses in Evoqua's equity compensation agreements. Approximately $15 million of the charges represented the reduction of headcount related to the integration of Evoqua. Additionally, during 2023 we incurred $30 million of charges related to our efforts to reposition our businesses to optimize our cost structure, improve our operational efficiency and effectiveness, strengthen our competitive positioning and better serve our customers. The charges were incurred across all of our segments.</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2022, we incurred restructuring charges primarily as a continuation of our efforts to reposition our European and North American businesses to optimize our cost structure and improve our operational efficiency and effectiveness. The charges included the reduction of headcount across all of our segments.</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is a roll-forward of employee position eliminations associated with restructuring activities for the years ended December 31, 2023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80" w:type="dxa"/>
            <w:vAlign w:val="bottom"/>
            <w:gridSpan w:val="2"/>
          </w:tcPr>
          <w:p>
            <w:pPr>
              <w:ind w:left="8800"/>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474"/>
              <w:spacing w:after="0"/>
              <w:rPr>
                <w:sz w:val="20"/>
                <w:szCs w:val="20"/>
                <w:color w:val="auto"/>
              </w:rPr>
            </w:pPr>
            <w:r>
              <w:rPr>
                <w:rFonts w:ascii="Arial" w:cs="Arial" w:eastAsia="Arial" w:hAnsi="Arial"/>
                <w:sz w:val="14"/>
                <w:szCs w:val="14"/>
                <w:color w:val="auto"/>
              </w:rPr>
              <w:t>2022</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9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Planned reductions - December 31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Refer to Note 12, "Goodwill and Other Intangible Assets," for more information on intangible asset impairment charges incurred during the years ended December 31, 2023 and 2022.</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income was $652 million (operating margin of 8.9%) during 2023, an increase of $30 million, or 4.8%, when compared to operating income of $622 million (operating margin of 11.3%) during 2022. Operating margin included unfavorable impacts of 350 basis points from increases in special charges, acquired intangible asset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53" w:name="page54"/>
    <w:bookmarkEnd w:id="53"/>
    <w:p>
      <w:pPr>
        <w:spacing w:after="0" w:line="256" w:lineRule="auto"/>
        <w:rPr>
          <w:sz w:val="20"/>
          <w:szCs w:val="20"/>
          <w:color w:val="auto"/>
        </w:rPr>
      </w:pPr>
      <w:r>
        <w:rPr>
          <w:rFonts w:ascii="Arial" w:cs="Arial" w:eastAsia="Arial" w:hAnsi="Arial"/>
          <w:sz w:val="18"/>
          <w:szCs w:val="18"/>
          <w:color w:val="auto"/>
        </w:rPr>
        <w:t>amortization, and restructuring and realignment costs as compared to 2022. Additionally, operating margin included 780 basis points of expansion from favorable operating impacts, consisting of a 370 basis point increase from price realization, 280 basis points from productivity savings and 130 basis points from favorable volume. Margin expansion was offset by 670 basis points of unfavorable impacts driven by 310 basis points of inflation, 110 basis points of increased spending on strategic investments, 80 basis points of unfavorable mix, and 50 basis points of increased employee related costs. Excluding special charges, acquired intangible asset amortization, and restructuring and realignment costs, adjusted operating income was $1,072 million (adjusted operating margin of 14.6%) for 2023 as compared to adjusted operating income of $744 million (adjusted operating margin of 13.5%) during 2022.</w:t>
      </w:r>
    </w:p>
    <w:p>
      <w:pPr>
        <w:spacing w:after="0" w:line="7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Net income was $609 million (net income margin of 8.3%) during 2023, an increase of $254 million as compared to net income in 2022 of $355 million (net income margin of 6.4%). The increase in net income was almost entirely due to increased operating income of $30 million, $140 million of charges related to the U.K. pension plan buy-out in the prior year that did not recur, decreased income tax expense of $59 million, and an increase in other non-operating income of $24 million. Adjusted EBITDA was $1,392 million (adjusted EBITDA margin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18.9%) during 2023, an increase of $452 million, or 48.1%, when compared to adjusted EBITDA of $940 million (adjusted EBITDA margin of</w:t>
      </w:r>
    </w:p>
    <w:p>
      <w:pPr>
        <w:spacing w:after="0" w:line="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17.0%) during 2022. The increase in adjusted EBITDA margin was primarily due to the same factors impacting adjusted operating margin noted above; however, adjusted EBITDA was not negatively impacted by the relative impact of depreciation and software amortization expense.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4" w:name="page55"/>
    <w:bookmarkEnd w:id="54"/>
    <w:p>
      <w:pPr>
        <w:ind w:right="40"/>
        <w:spacing w:after="0" w:line="277" w:lineRule="auto"/>
        <w:rPr>
          <w:sz w:val="20"/>
          <w:szCs w:val="20"/>
          <w:color w:val="auto"/>
        </w:rPr>
      </w:pPr>
      <w:r>
        <w:rPr>
          <w:rFonts w:ascii="Arial" w:cs="Arial" w:eastAsia="Arial" w:hAnsi="Arial"/>
          <w:sz w:val="18"/>
          <w:szCs w:val="18"/>
          <w:color w:val="auto"/>
        </w:rPr>
        <w:t>The table below provides a reconciliation of total and each segment's operating income to adjusted operating income, and a calculation of the corresponding adjusted operating margin:</w:t>
      </w:r>
    </w:p>
    <w:tbl>
      <w:tblPr>
        <w:tblLayout w:type="fixed"/>
        <w:tblInd w:w="0" w:type="dxa"/>
        <w:tblCellMar>
          <w:top w:w="0" w:type="dxa"/>
          <w:left w:w="0" w:type="dxa"/>
          <w:bottom w:w="0" w:type="dxa"/>
          <w:right w:w="0" w:type="dxa"/>
        </w:tblCellMar>
      </w:tblP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b w:val="1"/>
                <w:bCs w:val="1"/>
                <w:color w:val="auto"/>
              </w:rPr>
              <w:t>2023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shd w:val="clear" w:color="auto" w:fill="CCEEFF"/>
          </w:tcPr>
          <w:p>
            <w:pPr>
              <w:spacing w:after="0"/>
              <w:rPr>
                <w:sz w:val="17"/>
                <w:szCs w:val="17"/>
                <w:color w:val="auto"/>
              </w:rPr>
            </w:pPr>
          </w:p>
        </w:tc>
      </w:tr>
      <w:tr>
        <w:trPr>
          <w:trHeight w:val="21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279</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(1.4) %</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16.5 %</w:t>
            </w:r>
          </w:p>
        </w:tc>
        <w:tc>
          <w:tcPr>
            <w:tcW w:w="10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(410) bp</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1,075.0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NM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368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17.3 %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(70) bp</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Applied Water</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14.6 %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210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NM %</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NM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15.3 %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Measurement and Control Solutions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680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(69.2) %</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540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Water Solutions and Services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15.4 %</w:t>
            </w:r>
          </w:p>
        </w:tc>
        <w:tc>
          <w:tcPr>
            <w:tcW w:w="10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(760) bp</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554.5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3"/>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17.1 %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(250) bp</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ind w:right="592"/>
              <w:spacing w:after="0"/>
              <w:rPr>
                <w:sz w:val="20"/>
                <w:szCs w:val="20"/>
                <w:color w:val="auto"/>
              </w:rPr>
            </w:pPr>
            <w:r>
              <w:rPr>
                <w:rFonts w:ascii="Arial" w:cs="Arial" w:eastAsia="Arial" w:hAnsi="Arial"/>
                <w:sz w:val="18"/>
                <w:szCs w:val="18"/>
                <w:color w:val="auto"/>
                <w:w w:val="99"/>
              </w:rPr>
              <w:t>NM</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400" w:type="dxa"/>
            <w:vAlign w:val="bottom"/>
            <w:shd w:val="clear" w:color="auto" w:fill="CCEEFF"/>
          </w:tcPr>
          <w:p>
            <w:pPr>
              <w:spacing w:after="0"/>
              <w:rPr>
                <w:sz w:val="19"/>
                <w:szCs w:val="19"/>
                <w:color w:val="auto"/>
              </w:rPr>
            </w:pPr>
          </w:p>
        </w:tc>
      </w:tr>
      <w:tr>
        <w:trPr>
          <w:trHeight w:val="223"/>
        </w:trPr>
        <w:tc>
          <w:tcPr>
            <w:tcW w:w="624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652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11.3 %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(240)</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bp</w:t>
            </w: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 accounting intangible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0"/>
        </w:trPr>
        <w:tc>
          <w:tcPr>
            <w:tcW w:w="6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762.5</w:t>
            </w:r>
          </w:p>
        </w:tc>
        <w:tc>
          <w:tcPr>
            <w:tcW w:w="4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3"/>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45"/>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13.5 %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110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bl>
    <w:p>
      <w:pPr>
        <w:spacing w:after="0" w:line="17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98" w:right="599" w:bottom="1440" w:gutter="0" w:footer="0" w:header="0"/>
        </w:sectPr>
      </w:pPr>
    </w:p>
    <w:bookmarkStart w:id="55" w:name="page56"/>
    <w:bookmarkEnd w:id="55"/>
    <w:p>
      <w:pPr>
        <w:ind w:left="180"/>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355</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190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6.4 %</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243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125</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w:t>
            </w:r>
          </w:p>
        </w:tc>
        <w:tc>
          <w:tcPr>
            <w:tcW w:w="11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710</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color w:val="auto"/>
              </w:rPr>
              <w:t>62</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4"/>
        </w:trPr>
        <w:tc>
          <w:tcPr>
            <w:tcW w:w="7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37</w:t>
            </w:r>
          </w:p>
        </w:tc>
        <w:tc>
          <w:tcPr>
            <w:tcW w:w="112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U.K. pension settlement expense</w:t>
            </w:r>
          </w:p>
        </w:tc>
        <w:tc>
          <w:tcPr>
            <w:tcW w:w="2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140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(loss) from sale of business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940</w:t>
            </w:r>
          </w:p>
        </w:tc>
        <w:tc>
          <w:tcPr>
            <w:tcW w:w="11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i w:val="1"/>
                <w:iCs w:val="1"/>
                <w:color w:val="auto"/>
              </w:rPr>
              <w:t>190</w:t>
            </w: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i w:val="1"/>
                <w:iCs w:val="1"/>
                <w:color w:val="auto"/>
              </w:rPr>
              <w:t>bp</w:t>
            </w:r>
          </w:p>
        </w:tc>
        <w:tc>
          <w:tcPr>
            <w:tcW w:w="0" w:type="dxa"/>
            <w:vAlign w:val="bottom"/>
          </w:tcPr>
          <w:p>
            <w:pPr>
              <w:spacing w:after="0" w:line="20" w:lineRule="exact"/>
              <w:rPr>
                <w:sz w:val="1"/>
                <w:szCs w:val="1"/>
                <w:color w:val="auto"/>
              </w:rPr>
            </w:pPr>
          </w:p>
        </w:tc>
      </w:tr>
      <w:tr>
        <w:trPr>
          <w:trHeight w:val="221"/>
        </w:trPr>
        <w:tc>
          <w:tcPr>
            <w:tcW w:w="7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17.0 %</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 December 31, 2023</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82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rPr>
              <w:t>Applied Water</w:t>
            </w:r>
          </w:p>
        </w:tc>
        <w:tc>
          <w:tcPr>
            <w:tcW w:w="180" w:type="dxa"/>
            <w:vAlign w:val="bottom"/>
          </w:tcPr>
          <w:p>
            <w:pPr>
              <w:spacing w:after="0"/>
              <w:rPr>
                <w:sz w:val="15"/>
                <w:szCs w:val="15"/>
                <w:color w:val="auto"/>
              </w:rPr>
            </w:pPr>
          </w:p>
        </w:tc>
        <w:tc>
          <w:tcPr>
            <w:tcW w:w="1960" w:type="dxa"/>
            <w:vAlign w:val="bottom"/>
            <w:gridSpan w:val="2"/>
          </w:tcPr>
          <w:p>
            <w:pPr>
              <w:ind w:left="8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90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12.4 %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16.7 %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7.8 %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w:t>
            </w:r>
          </w:p>
        </w:tc>
        <w:tc>
          <w:tcPr>
            <w:tcW w:w="1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ind w:right="15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expense,</w:t>
            </w:r>
          </w:p>
        </w:tc>
        <w:tc>
          <w:tcPr>
            <w:tcW w:w="140" w:type="dxa"/>
            <w:vAlign w:val="bottom"/>
          </w:tcPr>
          <w:p>
            <w:pPr>
              <w:spacing w:after="0"/>
              <w:rPr>
                <w:sz w:val="15"/>
                <w:szCs w:val="15"/>
                <w:color w:val="auto"/>
              </w:rPr>
            </w:pPr>
          </w:p>
        </w:tc>
        <w:tc>
          <w:tcPr>
            <w:tcW w:w="19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excluding interest</w:t>
            </w: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367</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336</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ind w:right="151"/>
              <w:spacing w:after="0" w:line="203" w:lineRule="exact"/>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w:t>
            </w: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426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352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0"/>
        </w:trPr>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117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20" w:type="dxa"/>
            <w:vAlign w:val="bottom"/>
            <w:gridSpan w:val="10"/>
          </w:tcPr>
          <w:p>
            <w:pPr>
              <w:jc w:val="center"/>
              <w:ind w:left="1590"/>
              <w:spacing w:after="0"/>
              <w:rPr>
                <w:sz w:val="20"/>
                <w:szCs w:val="20"/>
                <w:color w:val="auto"/>
              </w:rPr>
            </w:pPr>
            <w:r>
              <w:rPr>
                <w:rFonts w:ascii="Arial" w:cs="Arial" w:eastAsia="Arial" w:hAnsi="Arial"/>
                <w:sz w:val="18"/>
                <w:szCs w:val="18"/>
                <w:b w:val="1"/>
                <w:bCs w:val="1"/>
                <w:color w:val="auto"/>
                <w:w w:val="99"/>
              </w:rPr>
              <w:t>Year Ended December 31, 2022</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w w:val="99"/>
              </w:rPr>
              <w:t>Water Infrastructure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rPr>
              <w:t>Applied Water</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6"/>
                <w:szCs w:val="16"/>
                <w:color w:val="auto"/>
              </w:rPr>
            </w:pPr>
          </w:p>
        </w:tc>
        <w:tc>
          <w:tcPr>
            <w:tcW w:w="1980" w:type="dxa"/>
            <w:vAlign w:val="bottom"/>
            <w:gridSpan w:val="3"/>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Systems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16.5 %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14.6 %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15.4 %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Other non-operating expense,</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center"/>
              <w:ind w:left="1130"/>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interest</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310</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281</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136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520" w:type="dxa"/>
            <w:vAlign w:val="bottom"/>
          </w:tcPr>
          <w:p>
            <w:pPr>
              <w:ind w:left="20"/>
              <w:spacing w:after="0" w:line="183" w:lineRule="exact"/>
              <w:rPr>
                <w:sz w:val="20"/>
                <w:szCs w:val="20"/>
                <w:color w:val="auto"/>
              </w:rPr>
            </w:pPr>
            <w:r>
              <w:rPr>
                <w:rFonts w:ascii="Arial" w:cs="Arial" w:eastAsia="Arial" w:hAnsi="Arial"/>
                <w:sz w:val="18"/>
                <w:szCs w:val="18"/>
                <w:color w:val="auto"/>
              </w:rPr>
              <w:t>Loss/(Gain) from sale of</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vMerge w:val="restart"/>
          </w:tcPr>
          <w:p>
            <w:pPr>
              <w:jc w:val="center"/>
              <w:ind w:left="113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business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326</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6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19.3 %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16.9 %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12.9 %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22.4 %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2023 versus 2022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ind w:left="20"/>
              <w:spacing w:after="0" w:line="181"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5"/>
                <w:szCs w:val="15"/>
                <w:color w:val="auto"/>
              </w:rPr>
            </w:pPr>
          </w:p>
        </w:tc>
        <w:tc>
          <w:tcPr>
            <w:tcW w:w="1980" w:type="dxa"/>
            <w:vAlign w:val="bottom"/>
            <w:gridSpan w:val="3"/>
          </w:tcPr>
          <w:p>
            <w:pPr>
              <w:jc w:val="center"/>
              <w:ind w:right="4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1"/>
                <w:szCs w:val="21"/>
                <w:color w:val="auto"/>
              </w:rPr>
            </w:pPr>
          </w:p>
        </w:tc>
        <w:tc>
          <w:tcPr>
            <w:tcW w:w="204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Systems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52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(410) bps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210 bps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center"/>
              <w:ind w:left="1030"/>
              <w:spacing w:after="0" w:line="203" w:lineRule="exact"/>
              <w:rPr>
                <w:sz w:val="20"/>
                <w:szCs w:val="20"/>
                <w:color w:val="auto"/>
              </w:rPr>
            </w:pPr>
            <w:r>
              <w:rPr>
                <w:rFonts w:ascii="Arial" w:cs="Arial" w:eastAsia="Arial" w:hAnsi="Arial"/>
                <w:sz w:val="18"/>
                <w:szCs w:val="18"/>
                <w:b w:val="1"/>
                <w:bCs w:val="1"/>
                <w:color w:val="auto"/>
              </w:rPr>
              <w:t>680 bps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(760) bps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(Loss)/Gain from sale of</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52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vMerge w:val="restart"/>
          </w:tcPr>
          <w:p>
            <w:pPr>
              <w:jc w:val="right"/>
              <w:ind w:right="35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vMerge w:val="restart"/>
          </w:tcPr>
          <w:p>
            <w:pPr>
              <w:jc w:val="right"/>
              <w:ind w:right="21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vMerge w:val="restart"/>
          </w:tcPr>
          <w:p>
            <w:pPr>
              <w:jc w:val="right"/>
              <w:ind w:right="35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expense, excluding interest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116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 and</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realignment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Loss/(Gain) from sale of</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117</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bps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bps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left="1030"/>
              <w:spacing w:after="0"/>
              <w:rPr>
                <w:sz w:val="20"/>
                <w:szCs w:val="20"/>
                <w:color w:val="auto"/>
              </w:rPr>
            </w:pPr>
            <w:r>
              <w:rPr>
                <w:rFonts w:ascii="Arial" w:cs="Arial" w:eastAsia="Arial" w:hAnsi="Arial"/>
                <w:sz w:val="18"/>
                <w:szCs w:val="18"/>
                <w:b w:val="1"/>
                <w:bCs w:val="1"/>
                <w:color w:val="auto"/>
              </w:rPr>
              <w:t>450 bps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bps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0"/>
        </w:trPr>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ind w:right="1130"/>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income was $275 million for our Water Infrastructure segment (operating margin of 12.4%) during 2023, a decrease of $4 million, or 1.4%, when compared to operating income of $279 million (operating margin of 16.5%) during 2022, or a total decrease of 410 basis points of operating margin. Operating margin declines included unfavorable impacts of 340 basis points from an increase in acquired intangible asset amortization, special charges and restructuring and realignment costs as compared to 2022. Additionally, operating margin declines included 910 basis points from unfavorable operating impacts, driven by 340 basis points of inflation, 210 basis points of unfavorable mix, 160 basis points of increased spending on strategic investments, 30 basis points of increased inventory management costs and 20 basis points of negative operating impact from the impact of the Evoqua acquisition. Operating margin declines were offset by 840 basis points of favorable impacts, consisting of 440 basis points of price realization, 280 basis points from productivity savings and 120 basis points of favorable volume. Excluding acquired intangible asset amortization, special charges and restructuring and realignment costs, adjusted operating income was $368 million (adjusted operating margin of 16.6%) during 2023 as compared to adjusted operating income of $292 million (adjusted operating margin of 17.3%) during 2022.</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Adjusted EBITDA was $426 million (adjusted EBITDA margin of 19.2%) during 2023, an increase of $100 million, or 31%, when compared to adjusted EBITDA of $326 million (adjusted EBITDA margin of 19.3%) during 2022. The slight increase in adjusted EBITDA margin was primarily due to the same factors impacting the decrease in adjusted operating margin; however, adjusted EBITDA was not negatively impacted by the relative impact of the increase in depreciation and amortization and share-based compensation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Operating income was $ 310 million for our Applied Water segment (operating margin of 16.7%) during 2023, an increase of $52 million, or 20.2%, when compared to operating income of $258 million (operating margin of 14.6%) during 2022, or a total increase of 210 basis points of operating margin. Operating margin expansion was partially offset by unfavorable impacts of 10 basis points from increases in restructuring and realignment costs as compared to 2022. Operating margin increases included 820 basis points of favorable operating impacts, consisting of 470 basis points of price realization and 350 basis points from productivity savings. Margin expansion was partially offset by negative operating impacts of 600 basis points, consisting of 320 basis points of inflation, 100 basis points of unfavorable volume, 80 basis points of increased spending on strategic investments and 50 basis points of increased employee related costs. Excluding restructuring and realignment costs, adjusted operating income was $324 million (adjusted operating margin of 17.5%) during 2023 as compared to adjusted operating income of $271 million (adjusted operating margin of 15.3%) during 2022.</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Adjusted EBITDA was $352 million (adjusted EBITDA margin of 19.0%) during 2023, an increase of $54 million, or 18.1%, when compared to adjusted EBITDA of $298 million (adjusted EBITDA margin of 16.9%) during 2022. The increase in adjusted EBITDA margin was due to the same factors impacting the increase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$ 133 million for our Measurement and Control Solutions segment (operating margin of 8.3%) during 2023, an increase of $114 million, or 600.0%, when compared to operating income of $ 19 million (operating margin of 1.5%) during 2022, or a total increase of 680 basis points of operating margin. Operating margin increases included favorable impacts of 140 basis points driven by no net increase in special charges, acquired intangible asset amortization, and restructuring and realignment costs on increased revenue as compared to 2022. Additionally, the operating margin increase included 1,360 basis points from favorable operating impacts consisting of 650 basis points from favorable volume, 360 basis points from productivity savings and 350 basis points of price realization. Favorable impacts were partially offset by 820 basis points of unfavorable impacts driven by 400 basis points of inflation, 160 basis points of increased inventory management costs, 70 basis points of increased spending on strategic investments, 50 basis points of unfavorable mix, and 30 basis points of increased employee related costs. Excluding special charges, acquired intangible asset amortization, and restructuring and realignment costs, adjusted operating income was $213 million (adjusted operating margin of 13.2%) during 2023 as compared to adjusted operating income of $99 million (adjusted operating margin of 7.8%) during 2022.</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Adjusted EBITDA was $281 million (adjusted EBITDA margin of 17.4%) during 2023, an increase of $ 117 million, or 71.3%, when compared to adjusted EBITDA of $164 million (adjusted EBITDA margin of 12.9%) during 2022. The increase in adjusted EBITDA margin was due to the same factors as those impacting the increase in adjusted operating margin; however, adjusted EBITDA was not favorably impacted by the relative impact of only slight increases in depreciation and amortization expense relative to increased revenue.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Operating income was $132 million for our Water Solutions and Services segment during 2023 (operating margin of 7.8%), an increase of $10 million, or 8%, when compared to operating income of $ 122 million (operating margin of 15.4%) during 2022, or a total decrease of 760 basis points of operating margin. Operating margin declines included unfavorable impacts of 510 basis points from an increase in acquired intangible asset amortization, special charges and restructuring and realignment costs as compared to 2022. Additionally, operating margin declines included 580 basis points from unfavorable operating impacts, driven by 210 basis points of negative operating impact from the Evoqua acquisition, 160 basis points of inflation, 60 basis points of increased spending on strategic investments, and 30 basis points of unfavorable mix. Operating margin declines were offset by 330 basis points of favorable impacts, including 180 basis points of price realization, 60 basis points from productivity savings, and 40 basis points of favorable volume. Excluding amortization of acquired intangible asset amortization, special charges and restructuring and realignment costs, adjusted operating income was $246 million (adjusted operating margin of 14.6%) during 2023 as compared to adjusted operating income of $136 million (adjusted operating margin of 17.1%) during 2022.</w:t>
      </w:r>
    </w:p>
    <w:p>
      <w:pPr>
        <w:spacing w:after="0" w:line="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Adjusted EBITDA was $369 million for our Water Solutions and Services segment during 2023 (adjusted EBITDA margin of 21.9%), an increase of $191 million, or 107.3%, when compared to adjusted EBITDA of $178 million (adjusted EBITDA margin of 22.4%) during 2022. The increase in adjusted EBITDA margin was due to the same factors as those impacting the increase in adjusted operating margin; however, adjusted EBITDA was not favorably impacted by the relative impact of depreciation and software amortization and share-based compensation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loss for corporate and other increased $142 million during 2023, or 253.6%, compared to 2022. The increase in operating loss for the year was primarily due to higher special charges and restructuring and realignment costs as compared to 2022. Excluding special charges and restructuring and realignment costs, adjusted operating loss increased $25 million during 2023, or 46.3%, compared to 2022. The increase in adjusted operating loss is primarily related to increased operating expense due to the acquisition of Evoqua, increased employee costs and spending on strategic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Interest expense was $49 million and $50 million for 2023 and 2022, respectively. The decrease in interest expense was primarily driven by a reduction of interest expense incurred during 2023 related to our 2.250% Senior Notes due 2023 that were paid off in December 2022, and reduced expense generated by cross currency swaps. Partially offsetting these items was interest expense on several debt facilities, including a term loan entered into in May 2023 for use in funding the acquisition of Evoqua, securitization and equipment financing facilities assumed as part of our acquisition of Evoqua. See Note 15, "Credit Facilities and Debt", of our consolidated financial statements for a description of our credit facilities and long-term debt and related interest.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income tax provision for 2023 was $26 million at an effective tax rate of 4.1% as compared to $85 million at an effective tax rate of 19.2% in 2022. The 2023 effective tax rate differs from that of 2022 primarily due to the impact of audit settlements and tax rate changes in 2023. See Note 7, "Income Taxes", of our consolidated financial statements for a description of our credit facilities and long-term debt and related interest.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7"/>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Change</w:t>
            </w:r>
          </w:p>
        </w:tc>
      </w:tr>
      <w:tr>
        <w:trPr>
          <w:trHeight w:val="224"/>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of foreign exchange is primarily due to weakening of the Euro, Canadian Dollar and the Chilean Peso.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Sources and Uses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2024, net cash provided by operating activities was $1,263 million, compared to $837 million in 2023. The $426 million year-over-year increase was primarily driven by higher cash earnings and non-recurring payments made in 2023 associated with transaction costs related to the acquisition of Evoqua and the investment in a distribution agreement of select technology. Higher use of net working capital partially offset the improved cash performance, driven by increases in inventory and receivables from strong demand in the fourth quarter, partially offset by timing of payables.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Cash used in investing activities was $482 million in 2024, compared to $ 628 million in 2023. This decrease in cash used of $146 million reflects higher spending in 2023 on acquisitions, primarily the acquisition of Evoqua, and reduced cash used to fund equity investments in 2024. Reduced proceeds from the sale of businesses, higher capital expenditures and cash received from interest rates swaps in 2023 that did not recur in 2024 partially offset the decrease in cash used.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Cash used in financing activities was $615 million in 2024, compared to $157 million in 2023. The year-over-year increase in cash used was mainly driven by cash received from a term loan in connection with the Evoqua acquisition in 2023 that was repaid in 2024 and higher dividend payments. These increased outflows were partially offset by the repayment of a receivable securitization program in 2023 that did not recur in the current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and Liquidity Strategy</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generated operating cash flow sufficient to fund our primary cash needs</w:t>
      </w:r>
      <w:r>
        <w:rPr>
          <w:rFonts w:ascii="Times New Roman" w:cs="Times New Roman" w:eastAsia="Times New Roman" w:hAnsi="Times New Roman"/>
          <w:sz w:val="21"/>
          <w:szCs w:val="21"/>
          <w:color w:val="auto"/>
        </w:rPr>
        <w:t>.</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15, "Credit Facilities and Debt", of our consolidated financial statements for a description of limitations on obtaining additional funding.</w:t>
      </w:r>
    </w:p>
    <w:p>
      <w:pPr>
        <w:spacing w:after="0" w:line="7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over the next twelve months. Currently, we have available liquidity of approximately $2.1 billion, consisting of $1.1 billion of cash and $1 billion of available credit facilities as disclosed in Note 15, "Credit Facilities and Debt", of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Material contractual obligations arising in the normal course of business primarily consist of debt obligations and related interest payments, lease obligations and unconditional purchase obligations. Refer Note 15, “Credit Facilities and Debt” and Note 11, “Leases” of the consolidated financial statements for related to these matters.</w:t>
      </w:r>
    </w:p>
    <w:p>
      <w:pPr>
        <w:spacing w:after="0" w:line="6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Company has future unconditional purchase commitments which are legally binding and that specify all significant terms including price and/or quantity. Total future commitments within the next twelve months for these obligations is $664 million, excluding contracts that can be canceled without penalty.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Long-Term Contractual Commitments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See Note 15, "Credit Facilities and Debt" of our consolidated financial statements for a description of our credit facilities and long-term debt.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 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a party to certain off-balance sheet arrangements including certain guarantees. For discussion of these arrangements, see Note 20, “Commitments and Contingencies” of the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 and expenses and the disclosure of contingent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Significant accounting policies used in the preparation of the consolidated financial statements are discussed in Note 1, “Summary of Significant Accounting Policies,” of the consolidated financial statements. Accounting estimates and assumptions discussed in this section are those that we consider most critical to an understanding of our financial statements because they are inherently uncertain, involve significant judgments and include areas where different estimates reasonably could have been used, and because changes in such estimates that are reasonably possible could materially impact the financial statements. Management believes that the accounting estimates employed and the resulting balances are reasonable; however, actual results in these areas could differ from management’s estimates under different assumptions or conditions.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Xylem recognizes revenue in a manner that depicts the transfer of promised goods and services to customers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pattern of revenue recognition.</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the risks and rewards, possession, and title have transferred to the customer, which usually occurs at the point of delivery.</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the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The transaction price is adjusted for our estimate of variable consideration,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61" w:name="page62"/>
    <w:bookmarkEnd w:id="61"/>
    <w:p>
      <w:pPr>
        <w:ind w:right="240"/>
        <w:spacing w:after="0" w:line="259" w:lineRule="auto"/>
        <w:rPr>
          <w:sz w:val="20"/>
          <w:szCs w:val="20"/>
          <w:color w:val="auto"/>
        </w:rPr>
      </w:pPr>
      <w:r>
        <w:rPr>
          <w:rFonts w:ascii="Arial" w:cs="Arial" w:eastAsia="Arial" w:hAnsi="Arial"/>
          <w:sz w:val="18"/>
          <w:szCs w:val="18"/>
          <w:color w:val="auto"/>
        </w:rPr>
        <w:t>which may include a right of return, discounts, rebates, penalties and retainage. To estimate variable consideration, we apply the expected value method or the most likely amount method, based on whichever method most appropriately predicts the amount of consideration we expect to be entitled to.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tax assets and liabilities are determined based on temporary differences between the financial reporting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bases of assets and liabilities, applying enacted tax rates in effect for the year in which we expect the differences will reverse. Based on the evaluation of available evidence, we recognize future tax benefits, such as net operating loss carryforwards, to the extent that we believe it is more likely than not we will realize these benefits. We periodically assess the likelihood that we will be able to recover our deferred tax assets and reflect any changes to our estimate of the amount we are more likely than not to realize in the valuation allowance, with a corresponding adjustment to earnings or other comprehensive income, as appropriate.</w:t>
      </w:r>
    </w:p>
    <w:p>
      <w:pPr>
        <w:spacing w:after="0" w:line="74"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assessing the need for a valuation allowance, we look to the future reversal of existing taxable temporary differences, taxable income in carryback years and the feasibility of tax planning strategies and estimated future taxable income. The valuation allowance can be affected by changes to tax laws, changes to statutory tax rates and changes to future taxable income estimates.</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in a multitude of jurisdictions across our global operations. We recognize potential liabilities and record tax liabilities for anticipated tax audit issues in the U.S. and other tax jurisdictions based on our estimate of whether, and the extent to which, additional taxes will be due. Furthermore, we recognize the tax benefit from an uncertain tax position only if based on the technical merits of the position it is more likely than not that the tax position will be sustained on examination by the taxing authorities or upon completion of the litigation process. The tax benefits recognized in the financial statements from such a position are measured based on the largest benefit that has a greater than 50% likelihood of being realized upon ultimate resolution.</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adjust our liability for uncertain tax positions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tax expense would result. If a payment of these amounts ultimately proves to be less than the recorded amounts, the reversal of the liabilities would result in tax benefits being recognized in the period when we determine the liabilities are no longer necessary.</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We record acquisitions using the purchase method of accounting. All of the assets acquired, liabilities assumed,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contingencies and contingent consideration is recorded at fair value as of the acquisition date. The excess of the purchase price over the estimated fair values of the net tangible and intangible assets acquired is recorded as goodwill.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These assumptions and estimates include a market participant’s use of the asset and the appropriate discount rates for a market participant. Our estimates are based on historical experience, information obtained from the management of the acquired companies and, when appropriate, includes assistance from independent third-party appraisal firms. Significant assumptions and estimates include, but are not limited to, the cash flows that an asset is expected to generate in the future, the cost to build/recreate certain technology, the appropriate weighted-average cost of capital, and the cost savings expected to be derived from acquiring an asset. These estimates are inherently uncertain and unpredictable. In addition, unanticipated events and circumstances may occur which may affect the accuracy or validity of such estimates.</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We review goodwill and indefinite-lived intangible assets for impairment annually and whenever events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circumstances indicate the carrying value of an asset may not be recoverable. We also review the carrying value of our finite-lived intangible assets for potential impairment when impairment indicators arise. We conduct our annual impairment test as of the first day of the fourth quarter. For goodwill, the estimated fair value of each reporting unit is compared to the carrying value of the net assets assigned to that reporting unit. If the estimated fair value of the reporting unit exceeds its carrying value, goodwill is not impaired. If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2" w:name="page63"/>
    <w:bookmarkEnd w:id="62"/>
    <w:p>
      <w:pPr>
        <w:ind w:right="80"/>
        <w:spacing w:after="0" w:line="254" w:lineRule="auto"/>
        <w:rPr>
          <w:sz w:val="20"/>
          <w:szCs w:val="20"/>
          <w:color w:val="auto"/>
        </w:rPr>
      </w:pPr>
      <w:r>
        <w:rPr>
          <w:rFonts w:ascii="Arial" w:cs="Arial" w:eastAsia="Arial" w:hAnsi="Arial"/>
          <w:sz w:val="18"/>
          <w:szCs w:val="18"/>
          <w:color w:val="auto"/>
        </w:rPr>
        <w:t>the carrying value of the reporting unit exceeds its estimated fair value, then an impairment charge is recognized for that excess up to the amount of recorded goodwill. We estimate the fair value of our reporting units using both the income approach and market approach. Weighting is equally attributed to both the market and income approaches in arriving at the fair value of the reporting units. To determine the reasonableness of the calculated fair values, we review the assumptions to ensure that neither the income approach nor the market approach yielded significantly different valuations. Our projected cash flows are discounted using weighted costs of capital and are derived using revenue growth rates and operating margin estimates, taking into consideration industry and market conditions. In instances where we have completed an acquisition shortly before our annual impairment assessment we perform a qualitative assessment to determine if a quantitative assessment is necessary.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Determining the fair value of a reporting unit or an indefinite-lived intangible asset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assumed royalty rates, future economic and market conditions and identification of appropriate market comparable data. In addition, the identification of reporting units and the allocation of assets and liabilities to the reporting units when determining the carrying value of each reporting unit also require judgment. Goodwill is tested for impairment at either the operating segment level identified in Note 21, “Segment and Geographic Data,” of the consolidated financial statements, or one level below. The fair values of our reporting units and indefinite-lived intangible assets are based on estimates and assumptions that are believed to be reasonable. Significant changes to these estimates and assumptions could adversely impact our conclusions. Actual future results may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risks around impairment of our assets are included in our risk factor disclosures referenced under “Item 1A. Risk Factors".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fourth quarter of 2024, we performed our annual impairment assessment and determined that the estimated fair values of our goodwill reporting units were substantially in excess of each of their carrying values. However, future goodwill impairment tests could result in a charge to earnings. We will continue to evaluate goodwill on an annual basis as of the beginning of our fourth quarter and whenever events and changes in circumstances require us to do so. We determined that no material impairment of the indefinite-lived intangibles existed as of the measurement date in 2024. However, future indefinite-lived intangible impairment tests could result in a charge to earnings. We will continue to evaluate indefinite-lived intangibles on an annual basis as of the beginning of our fourth quarter and whenever events and changes in circumstances indicate there may be a potential impairment.</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Post-retirement Benefit Plans. </w:t>
      </w:r>
      <w:r>
        <w:rPr>
          <w:rFonts w:ascii="Arial" w:cs="Arial" w:eastAsia="Arial" w:hAnsi="Arial"/>
          <w:sz w:val="18"/>
          <w:szCs w:val="18"/>
          <w:color w:val="auto"/>
        </w:rPr>
        <w:t>Company employees around the world participate in numerous defined benefit plans. The determination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projected benefit obligations and the recognition of expenses related to these plans are dependent on various assumptions. These assumptions primarily relate to discount rates, expected long-term rates of return on plan assets, rate of future compensation increases, mortality, years of service and other factors (some of which are disclosed in Note 16, “Post-retirement Benefit Plans,” of the consolidated financial statements). Actual results that differ from our assumptions are accumulated and amortized on a straight-line basis only to the extent they exceed 10% of the higher of the market-related value or projected benefit obligation, over the average remaining service period of active plan participants, or for plans with all or substantially all inactive participants, over the average remaining life expectancy.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such plans exist. All assumptions are reviewed annually with third-party consultants and are adjusted as necessary. The table below provides the weighted average assumptions used to estimate our defined benefit pension obligations and costs as of and for the years ended 2024 and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120" w:type="dxa"/>
            <w:vAlign w:val="bottom"/>
            <w:tcBorders>
              <w:bottom w:val="single" w:sz="8" w:color="auto"/>
            </w:tcBorders>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w w:val="95"/>
              </w:rPr>
              <w:t>U.S.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Int’l</w:t>
            </w:r>
          </w:p>
        </w:tc>
        <w:tc>
          <w:tcPr>
            <w:tcW w:w="19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Int’l</w:t>
            </w: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5.65 %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3.55 %</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Assumptions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6.00 %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5.85 %</w:t>
            </w: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r>
    </w:tbl>
    <w:p>
      <w:pPr>
        <w:spacing w:after="0" w:line="188" w:lineRule="exact"/>
        <w:rPr>
          <w:sz w:val="20"/>
          <w:szCs w:val="20"/>
          <w:color w:val="auto"/>
        </w:rPr>
      </w:pPr>
    </w:p>
    <w:p>
      <w:pPr>
        <w:ind w:left="600" w:right="460" w:hanging="485"/>
        <w:spacing w:after="0" w:line="286"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4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determine the expected long-term rate of return on plan assets by evaluating both historical returns and estimates of future returns. Specifically, the Company analyzes the estimated future returns based on independent estimates of asset class returns and evaluates historical broad market returns over long-term timeframes based on the strategic asset allocation, which is detailed in Note 16, “Post-retirement Benefit Plans” of the consolidated financial statements.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recognition of net periodic pension cost, the calculation of the expected return on plan assets is generally derived by applying the expected long-term rate of return to the market-related value of plan assets. The market-related value of plan assets is based on average asset values at the measurement date over the last five years. The use of fair value, rather than a calculated value, could materially affect net periodic pension cost. The weighted average expected long-term rate of return for all of our plan assets to be used in determining net periodic benefit costs for 2025 is estimated at 5.70%. We estimate that every 25 basis point change in the expected return on plan assets impacts the expense by less than $1 million.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discount rate reflects our expectation of the present value of expected future cash payments for benefits at the measurement date. A decrease in the discount rate increases the present value of benefit obligations and increases pension expense. We base the discount rate assumption on current investment yields of high-quality fixed income investments during the retirement benefits maturity period. The pension discount rate was determined by considering an interest rate yield curve comprising AAA/AA bonds, with maturities between zero and 30 years, developed by the plan’s actuaries. Annual benefit payments are then discounted to present value using this yield curve to develop a single-point discount rate matching the plan’s characteristics. Our weighted average discount rate for all pension plans effective January 1, 2025, is 3.97%. We estimate that every 25 basis point change in the discount rate impacts the expense by less than $1 million.</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rate of future compensation increase assumption reflects our long-term actual experience and future and near-term outlook. Effective January 1, 2025, our expected rate of future compensation increase is 2.99% for all pension plans. The estimated impact of a 25 basis point change in the expected rate of future compensation is less than $1 million.</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currently anticipate making contributions to our pension and post-retirement benefit plans in the range of $17 million to $23 million during 2025. Approximately $5 million of contributions are expected to be made in the first quarter.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Funded status is derived by subtracting the respective year-end values of the projected benefit obligations from the fair value of plan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every 25 basis point change in the discount rate impacts the funded status by approximately $11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Plan Assets</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plan assets of our pension plans comprise a broad range of investments, including domestic and foreign equity securities, interests in hedge funds, fixed income investments, insurance contracts, and cash and cash equivalents.</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portion of our pension benefit plan assets portfolio comprises investments in hedge funds that are generally measured at net asset value. However, in certain instances, the values reported by the asset managers were not current at the measurement date. Accordingly, we made estimate adjustments to the last reported value where necessary to measure the assets at fair value at the measurement date. These adjustments consider information received from the asset managers, as well as general market information. The adjustment recorded at December 31, 2024 and 2023 for these assets represented less than 1% of total plan assets in each respective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64" w:name="page65"/>
    <w:bookmarkEnd w:id="64"/>
    <w:p>
      <w:pPr>
        <w:ind w:right="120"/>
        <w:spacing w:after="0" w:line="287" w:lineRule="auto"/>
        <w:rPr>
          <w:sz w:val="20"/>
          <w:szCs w:val="20"/>
          <w:color w:val="auto"/>
        </w:rPr>
      </w:pPr>
      <w:r>
        <w:rPr>
          <w:rFonts w:ascii="Arial" w:cs="Arial" w:eastAsia="Arial" w:hAnsi="Arial"/>
          <w:sz w:val="18"/>
          <w:szCs w:val="18"/>
          <w:color w:val="auto"/>
        </w:rPr>
        <w:t>year. Asset values for other positions were generally measured using market observable prices. We estimate that a 5.00% change in asset values will impact funded status by approximately $11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See Note 2, “Recently Issued Accounting Pronouncements,” of the consolidated financial statements for a complete discussion of recent accounting pronouncements.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Business Outlook</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anticipate total revenue growth of up to 2% in 2025, with organic revenue growth anticipated to be in the range of 3% to 4%. Our outlook reflects our current visibility and expectations based on the current market environment and other factors. Our ability to meet our expectations is subject to a number of risks, including, but not limited to, those described in "Item 1A. Risk Factors."</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January 28, 2025, at the delegation of the Company’s Board of Directors, management committed to a restructuring plan. The plan consists of workforce reductions across all of our businesses and functions. Inclusive of these actions, we expect to incur between $90 million and $110 million in restructuring and realignment charges in 2025. Associated with these actions we expect to realize between $75 million and $95 million in incremental savings during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sectPr>
      </w:pPr>
    </w:p>
    <w:bookmarkStart w:id="65" w:name="page66"/>
    <w:bookmarkEnd w:id="65"/>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 primarily related to foreign currency exchange rates and interest rates. These exposures are actively monitored by management. Our exposure to foreign exchange rate risk is due to certain costs, revenue and borrowings being denominated in currencies other than one of our subsidiaries' functional currency. Similarly, we are exposed to market risk as a result of changes in interest rates which may affect the cost of our financing. It is our policy and practice to use derivative financial instruments only to the extent necessary to manage exposures.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43% of our 2024 revenues were from customers in various locations outside the U.S.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economic foreign currency risk primarily relates to receipts from customers, payments to suppliers and intercompany transactions denominated in foreign currencies. We may use derivative financial instruments to offset risk related to receipts from customers and payments to suppliers, when it is believed that the exposure will not be limited by our normal operating and financing activities. We enter into currency forward contracts periodically in order to manage the exchange rate fluctuation risk on certain intercompany transactions associated with third-party sales and purchases. These risks are also mitigated by natural hedges including the presence of manufacturing facilities outside the U.S., global sourcing and other spending which occurs in foreign countries. Our principal foreign currency transaction exposures primarily relate to the Euro, Swedish Krona, British Pound, Canadian Dollar, Australian Dollar, and Polish Zloty. We estimate that a hypothetical 10% movement in foreign currency exchange rates would not have a material economic impact to Xylem’s financial position and results of operations.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we are subject to foreign exchange translation risk due to changes in the value of foreign currencies in relation to our reporting currency, the U.S. Dollar. The translation risk is primarily concentrated in the exchange rate between the U.S. Dollar and the Euro, British Pound, Chinese Yuan, Canadian Dollar, Australian Dollar, Swedish Krona, and Indian Rupee. As the U.S. Dollar strengthens against other currencies in which we transact business, revenue and income will generally be negatively impacted, and if the U.S. Dollar weakens, revenue and income will generally be positively impacted. We expect to continue to generate significant revenue from non-U.S. operations and we expect the cash generated from that revenue to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it is cost effective to do so, though we continually review our domestic and foreign cash profile, expected future cash generation and investment opportunities and reassess whether there is a need to repatriate funds held internationally to support our U.S. operations. We also hedge our investment in certain foreign subsidiaries via the use of cross-currency swaps. Accordingly, we estimate that a 10% movement of the U.S. Dollar to various foreign currency exchange rates we translate from, in aggregate would not have a material economic impact on our financial position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As of December 31, 2024, our long-term debt portfolio is primarily comprised of four series of fixed-rate senior notes that total approximately $1.9 billion. The senior notes are not exposed to interest rate risk as the bonds are at a fixed rate until maturity. In addition to the senior notes, we also have $74 million in equipment financings with fixed interest rates. Our long-term debt portfolio also includes $32 million of variable rate debt, comprised entirely of the $32 million for equipment financings. We estimate that a 10% movement in interest rates would not have a material economic impact on our financial position and results of operations. Based on the current interest rate market we do not anticipate material risk associated with our debt refinancing within the target time frame of maturity.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Exposures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risks relating to commodity prices, refer to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47"/>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80" w:type="dxa"/>
            <w:vAlign w:val="bottom"/>
            <w:gridSpan w:val="24"/>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80" w:type="dxa"/>
            <w:vAlign w:val="bottom"/>
            <w:gridSpan w:val="15"/>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gridSpan w:val="4"/>
          </w:tcPr>
          <w:p>
            <w:pPr>
              <w:jc w:val="center"/>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85"/>
        </w:trPr>
        <w:tc>
          <w:tcPr>
            <w:tcW w:w="10520" w:type="dxa"/>
            <w:vAlign w:val="bottom"/>
            <w:gridSpan w:val="26"/>
            <w:vMerge w:val="restart"/>
          </w:tcPr>
          <w:p>
            <w:pPr>
              <w:ind w:left="20"/>
              <w:spacing w:after="0"/>
              <w:rPr>
                <w:sz w:val="20"/>
                <w:szCs w:val="20"/>
                <w:color w:val="auto"/>
              </w:rPr>
            </w:pPr>
            <w:r>
              <w:rPr>
                <w:rFonts w:ascii="Arial" w:cs="Arial" w:eastAsia="Arial" w:hAnsi="Arial"/>
                <w:sz w:val="18"/>
                <w:szCs w:val="18"/>
                <w:color w:val="auto"/>
              </w:rPr>
              <w:t>Audited Consolidated Financial Statements:</w:t>
            </w:r>
          </w:p>
        </w:tc>
        <w:tc>
          <w:tcPr>
            <w:tcW w:w="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4"/>
        </w:trPr>
        <w:tc>
          <w:tcPr>
            <w:tcW w:w="10520" w:type="dxa"/>
            <w:vAlign w:val="bottom"/>
            <w:gridSpan w:val="26"/>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300" w:type="dxa"/>
            <w:vAlign w:val="bottom"/>
            <w:gridSpan w:val="25"/>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68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Consolidated Income Statements for the Years Ended December 31, 2024, 2023 and 2022</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0000FF"/>
                <w:w w:val="99"/>
              </w:rPr>
              <w:t>Consolidated Statements of Comprehensive Income for the Years Ended December 31, 2024, 2023 and 2022</w:t>
            </w: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40" w:type="dxa"/>
            <w:vAlign w:val="bottom"/>
            <w:gridSpan w:val="20"/>
          </w:tcPr>
          <w:p>
            <w:pPr>
              <w:spacing w:after="0"/>
              <w:rPr>
                <w:sz w:val="20"/>
                <w:szCs w:val="20"/>
                <w:color w:val="auto"/>
              </w:rPr>
            </w:pPr>
            <w:r>
              <w:rPr>
                <w:rFonts w:ascii="Arial" w:cs="Arial" w:eastAsia="Arial" w:hAnsi="Arial"/>
                <w:sz w:val="18"/>
                <w:szCs w:val="18"/>
                <w:color w:val="0000FF"/>
                <w:w w:val="99"/>
              </w:rPr>
              <w:t>Consolidated Balance Sheets as of December 31, 2024 and 2023</w:t>
            </w:r>
          </w:p>
        </w:tc>
        <w:tc>
          <w:tcPr>
            <w:tcW w:w="350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780" w:type="dxa"/>
            <w:vAlign w:val="bottom"/>
            <w:gridSpan w:val="22"/>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2024, 2023 and 2022</w:t>
            </w:r>
          </w:p>
        </w:tc>
        <w:tc>
          <w:tcPr>
            <w:tcW w:w="2520" w:type="dxa"/>
            <w:vAlign w:val="bottom"/>
            <w:gridSpan w:val="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2024, 2023 and 2022</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520" w:type="dxa"/>
            <w:vAlign w:val="bottom"/>
            <w:gridSpan w:val="26"/>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0300" w:type="dxa"/>
            <w:vAlign w:val="bottom"/>
            <w:gridSpan w:val="25"/>
          </w:tcPr>
          <w:p>
            <w:pPr>
              <w:spacing w:after="0" w:line="195" w:lineRule="exact"/>
              <w:rPr>
                <w:sz w:val="20"/>
                <w:szCs w:val="20"/>
                <w:color w:val="auto"/>
              </w:rPr>
            </w:pPr>
            <w:r>
              <w:rPr>
                <w:rFonts w:ascii="Arial" w:cs="Arial" w:eastAsia="Arial" w:hAnsi="Arial"/>
                <w:sz w:val="18"/>
                <w:szCs w:val="18"/>
                <w:color w:val="0000FF"/>
              </w:rPr>
              <w:t>Note 1 Summary of Significant Accounting Policies</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0000FF"/>
                <w:w w:val="98"/>
              </w:rPr>
              <w:t>Note 2 Recently Issued Accounting Pronouncements</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0000FF"/>
              </w:rPr>
              <w:t>Note 3 Acquisitions and Divestitures</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0000FF"/>
              </w:rPr>
              <w:t>Note 4 Revenue</w:t>
            </w:r>
          </w:p>
        </w:tc>
        <w:tc>
          <w:tcPr>
            <w:tcW w:w="7420" w:type="dxa"/>
            <w:vAlign w:val="bottom"/>
            <w:gridSpan w:val="1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5 Restructuring and Asset Impairment Charges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0000FF"/>
              </w:rPr>
              <w:t>Note 6 Other Non-Operating Income, Net</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8"/>
                <w:szCs w:val="18"/>
                <w:color w:val="0000FF"/>
                <w:w w:val="98"/>
              </w:rPr>
              <w:t>Note 7 Income Taxes</w:t>
            </w:r>
          </w:p>
        </w:tc>
        <w:tc>
          <w:tcPr>
            <w:tcW w:w="1540" w:type="dxa"/>
            <w:vAlign w:val="bottom"/>
            <w:gridSpan w:val="8"/>
          </w:tcPr>
          <w:p>
            <w:pPr>
              <w:spacing w:after="0"/>
              <w:rPr>
                <w:sz w:val="18"/>
                <w:szCs w:val="18"/>
                <w:color w:val="auto"/>
              </w:rPr>
            </w:pPr>
          </w:p>
        </w:tc>
        <w:tc>
          <w:tcPr>
            <w:tcW w:w="706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0000FF"/>
                <w:w w:val="99"/>
              </w:rPr>
              <w:t>Note 8 Earnings Per Share</w:t>
            </w:r>
          </w:p>
        </w:tc>
        <w:tc>
          <w:tcPr>
            <w:tcW w:w="8140" w:type="dxa"/>
            <w:vAlign w:val="bottom"/>
            <w:gridSpan w:val="19"/>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0000FF"/>
              </w:rPr>
              <w:t>Note 9 Inventories</w:t>
            </w:r>
          </w:p>
        </w:tc>
        <w:tc>
          <w:tcPr>
            <w:tcW w:w="8140" w:type="dxa"/>
            <w:vAlign w:val="bottom"/>
            <w:gridSpan w:val="19"/>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10 Property, Plant and Equipment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w w:val="96"/>
              </w:rPr>
              <w:t>Note 11 Leases</w:t>
            </w:r>
          </w:p>
        </w:tc>
        <w:tc>
          <w:tcPr>
            <w:tcW w:w="1860" w:type="dxa"/>
            <w:vAlign w:val="bottom"/>
            <w:gridSpan w:val="9"/>
          </w:tcPr>
          <w:p>
            <w:pPr>
              <w:spacing w:after="0"/>
              <w:rPr>
                <w:sz w:val="18"/>
                <w:szCs w:val="18"/>
                <w:color w:val="auto"/>
              </w:rPr>
            </w:pPr>
          </w:p>
        </w:tc>
        <w:tc>
          <w:tcPr>
            <w:tcW w:w="7180" w:type="dxa"/>
            <w:vAlign w:val="bottom"/>
            <w:gridSpan w:val="1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640" w:type="dxa"/>
            <w:vAlign w:val="bottom"/>
            <w:gridSpan w:val="14"/>
          </w:tcPr>
          <w:p>
            <w:pPr>
              <w:spacing w:after="0"/>
              <w:rPr>
                <w:sz w:val="20"/>
                <w:szCs w:val="20"/>
                <w:color w:val="auto"/>
              </w:rPr>
            </w:pPr>
            <w:r>
              <w:rPr>
                <w:rFonts w:ascii="Arial" w:cs="Arial" w:eastAsia="Arial" w:hAnsi="Arial"/>
                <w:sz w:val="18"/>
                <w:szCs w:val="18"/>
                <w:color w:val="0000FF"/>
                <w:w w:val="98"/>
              </w:rPr>
              <w:t>Note 12 Goodwill and Other Intangible Assets</w:t>
            </w:r>
          </w:p>
        </w:tc>
        <w:tc>
          <w:tcPr>
            <w:tcW w:w="66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40" w:type="dxa"/>
            <w:vAlign w:val="bottom"/>
            <w:gridSpan w:val="14"/>
          </w:tcPr>
          <w:p>
            <w:pPr>
              <w:spacing w:after="0"/>
              <w:rPr>
                <w:sz w:val="20"/>
                <w:szCs w:val="20"/>
                <w:color w:val="auto"/>
              </w:rPr>
            </w:pPr>
            <w:r>
              <w:rPr>
                <w:rFonts w:ascii="Arial" w:cs="Arial" w:eastAsia="Arial" w:hAnsi="Arial"/>
                <w:sz w:val="18"/>
                <w:szCs w:val="18"/>
                <w:color w:val="0000FF"/>
              </w:rPr>
              <w:t>Note 13 Derivative Financial Instruments</w:t>
            </w:r>
          </w:p>
        </w:tc>
        <w:tc>
          <w:tcPr>
            <w:tcW w:w="66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40" w:type="dxa"/>
            <w:vAlign w:val="bottom"/>
            <w:gridSpan w:val="14"/>
          </w:tcPr>
          <w:p>
            <w:pPr>
              <w:spacing w:after="0"/>
              <w:rPr>
                <w:sz w:val="20"/>
                <w:szCs w:val="20"/>
                <w:color w:val="auto"/>
              </w:rPr>
            </w:pPr>
            <w:r>
              <w:rPr>
                <w:rFonts w:ascii="Arial" w:cs="Arial" w:eastAsia="Arial" w:hAnsi="Arial"/>
                <w:sz w:val="18"/>
                <w:szCs w:val="18"/>
                <w:color w:val="0000FF"/>
                <w:w w:val="99"/>
              </w:rPr>
              <w:t>Note 14 Accrued and Other Current Liabilities</w:t>
            </w:r>
          </w:p>
        </w:tc>
        <w:tc>
          <w:tcPr>
            <w:tcW w:w="66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Arial" w:cs="Arial" w:eastAsia="Arial" w:hAnsi="Arial"/>
                <w:sz w:val="18"/>
                <w:szCs w:val="18"/>
                <w:color w:val="0000FF"/>
                <w:w w:val="99"/>
              </w:rPr>
              <w:t>Note 15 Credit Facilities and Debt</w:t>
            </w:r>
          </w:p>
        </w:tc>
        <w:tc>
          <w:tcPr>
            <w:tcW w:w="940" w:type="dxa"/>
            <w:vAlign w:val="bottom"/>
            <w:gridSpan w:val="6"/>
          </w:tcPr>
          <w:p>
            <w:pPr>
              <w:spacing w:after="0"/>
              <w:rPr>
                <w:sz w:val="18"/>
                <w:szCs w:val="18"/>
                <w:color w:val="auto"/>
              </w:rPr>
            </w:pPr>
          </w:p>
        </w:tc>
        <w:tc>
          <w:tcPr>
            <w:tcW w:w="66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16 Post-retirement Benefit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17 Share-Based Compensation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440" w:type="dxa"/>
            <w:vAlign w:val="bottom"/>
            <w:gridSpan w:val="13"/>
          </w:tcPr>
          <w:p>
            <w:pPr>
              <w:spacing w:after="0"/>
              <w:rPr>
                <w:sz w:val="20"/>
                <w:szCs w:val="20"/>
                <w:color w:val="auto"/>
              </w:rPr>
            </w:pPr>
            <w:r>
              <w:rPr>
                <w:rFonts w:ascii="Arial" w:cs="Arial" w:eastAsia="Arial" w:hAnsi="Arial"/>
                <w:sz w:val="18"/>
                <w:szCs w:val="18"/>
                <w:color w:val="0000FF"/>
              </w:rPr>
              <w:t>Note 18 Capital Stock</w:t>
            </w:r>
          </w:p>
        </w:tc>
        <w:tc>
          <w:tcPr>
            <w:tcW w:w="6860" w:type="dxa"/>
            <w:vAlign w:val="bottom"/>
            <w:gridSpan w:val="1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19 Accumulated Other Comprehensive Income (Loss)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720" w:type="dxa"/>
            <w:vAlign w:val="bottom"/>
            <w:gridSpan w:val="19"/>
          </w:tcPr>
          <w:p>
            <w:pPr>
              <w:spacing w:after="0"/>
              <w:rPr>
                <w:sz w:val="20"/>
                <w:szCs w:val="20"/>
                <w:color w:val="auto"/>
              </w:rPr>
            </w:pPr>
            <w:r>
              <w:rPr>
                <w:rFonts w:ascii="Arial" w:cs="Arial" w:eastAsia="Arial" w:hAnsi="Arial"/>
                <w:sz w:val="18"/>
                <w:szCs w:val="18"/>
                <w:color w:val="0000FF"/>
              </w:rPr>
              <w:t>Note 20 Commitment and Contingencies</w:t>
            </w:r>
          </w:p>
        </w:tc>
        <w:tc>
          <w:tcPr>
            <w:tcW w:w="5580" w:type="dxa"/>
            <w:vAlign w:val="bottom"/>
            <w:gridSpan w:val="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240" w:type="dxa"/>
            <w:vAlign w:val="bottom"/>
            <w:gridSpan w:val="12"/>
          </w:tcPr>
          <w:p>
            <w:pPr>
              <w:spacing w:after="0"/>
              <w:rPr>
                <w:sz w:val="20"/>
                <w:szCs w:val="20"/>
                <w:color w:val="auto"/>
              </w:rPr>
            </w:pPr>
            <w:r>
              <w:rPr>
                <w:rFonts w:ascii="Arial" w:cs="Arial" w:eastAsia="Arial" w:hAnsi="Arial"/>
                <w:sz w:val="18"/>
                <w:szCs w:val="18"/>
                <w:color w:val="0000FF"/>
              </w:rPr>
              <w:t>Note 21 Segment and Geographic Data</w:t>
            </w:r>
          </w:p>
        </w:tc>
        <w:tc>
          <w:tcPr>
            <w:tcW w:w="706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300" w:type="dxa"/>
            <w:vAlign w:val="bottom"/>
            <w:gridSpan w:val="25"/>
          </w:tcPr>
          <w:p>
            <w:pPr>
              <w:spacing w:after="0"/>
              <w:rPr>
                <w:sz w:val="20"/>
                <w:szCs w:val="20"/>
                <w:color w:val="auto"/>
              </w:rPr>
            </w:pPr>
            <w:r>
              <w:rPr>
                <w:rFonts w:ascii="Arial" w:cs="Arial" w:eastAsia="Arial" w:hAnsi="Arial"/>
                <w:sz w:val="18"/>
                <w:szCs w:val="18"/>
                <w:color w:val="0000FF"/>
              </w:rPr>
              <w:t>Note 22 Redeemable Non-controlling Interests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1460" w:type="dxa"/>
            <w:vAlign w:val="bottom"/>
            <w:gridSpan w:val="8"/>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700" w:type="dxa"/>
            <w:vAlign w:val="bottom"/>
            <w:gridSpan w:val="15"/>
          </w:tcPr>
          <w:p>
            <w:pPr>
              <w:spacing w:after="0"/>
              <w:rPr>
                <w:sz w:val="20"/>
                <w:szCs w:val="20"/>
                <w:color w:val="auto"/>
              </w:rPr>
            </w:pPr>
            <w:r>
              <w:rPr>
                <w:rFonts w:ascii="Arial" w:cs="Arial" w:eastAsia="Arial" w:hAnsi="Arial"/>
                <w:sz w:val="18"/>
                <w:szCs w:val="18"/>
                <w:color w:val="0000FF"/>
              </w:rPr>
              <w:t>Note 23 Subsequent Events</w:t>
            </w:r>
          </w:p>
        </w:tc>
        <w:tc>
          <w:tcPr>
            <w:tcW w:w="660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Xylem Inc. and subsidiaries (the "Company") as of December 31, 2024 and 2023, the related consolidated statements of income, comprehensive income, changes in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74"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March 3, 2025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71"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auto"/>
        </w:rPr>
        <w:t>Goodwill — Annual impairment test for one Reporting Unit within Water Solutions and Services Segment — Refer to Note 12 to the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evaluation of goodwill for impairment involves the comparison of the fair value of each reporting unit to its carrying value. The goodwill balance was $ 7.9 billion as of December 31, 2024, of which $2.5 billion related to one reporting unit within the Water Solutions and Services segment. The fair value of the Company’s reporting units exceeded their carrying value as of the 2024 measurement date and, therefore, no impairment was recognized.</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determine the fair value of the Company’s reporting units, the Company used an average of fair values derived from the income and market approaches. Under the income approach, the fair value of the reporting units was based on the discounted value of the estimated cash flows that the reporting unit is expected to generate. Projections were based on management’s estimates of revenue growth rates and the selection of the discount rate, taking into consideration industry and market conditions. The discount rate was based on the weighted average cost of capital appropriate for the reporting units. The determination of the fair value using the market approach requires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68" w:name="page69"/>
    <w:bookmarkEnd w:id="68"/>
    <w:p>
      <w:pPr>
        <w:ind w:right="280"/>
        <w:spacing w:after="0" w:line="287" w:lineRule="auto"/>
        <w:rPr>
          <w:sz w:val="20"/>
          <w:szCs w:val="20"/>
          <w:color w:val="auto"/>
        </w:rPr>
      </w:pPr>
      <w:r>
        <w:rPr>
          <w:rFonts w:ascii="Arial" w:cs="Arial" w:eastAsia="Arial" w:hAnsi="Arial"/>
          <w:sz w:val="18"/>
          <w:szCs w:val="18"/>
          <w:color w:val="auto"/>
        </w:rPr>
        <w:t>management to make significant assumptions related to market multiples of earnings derived from comparable publicly traded companies with similar operating and investment characteristics as the reporting units.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identified the Company’s goodwill impairment assessment for $2.5 billion of goodwill related to the one reporting unit within the Water Solutions and Services segment as a critical audit matter because of the significant judgments made by management to estimate the fair value of the reporting unit, performing audit procedures to evaluate the reasonableness of management’s estimates and assumptions related to the selection of the discount rate and forecasts of future revenue, as well as multiples of earnings for the market approach required a high degree of auditor judgment and an increased extent of effort, including the need to involve our fair value specialists.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Our audit procedures related to forecasts of future revenue, selection of the discount rate, and selection of the multiples in the market approach for the one reporting unit within the Water Solutions and Services segment included the following, among others:</w:t>
      </w:r>
    </w:p>
    <w:p>
      <w:pPr>
        <w:spacing w:after="0" w:line="45" w:lineRule="exact"/>
        <w:rPr>
          <w:sz w:val="20"/>
          <w:szCs w:val="20"/>
          <w:color w:val="auto"/>
        </w:rPr>
      </w:pPr>
    </w:p>
    <w:p>
      <w:pPr>
        <w:ind w:left="740" w:right="220" w:hanging="327"/>
        <w:spacing w:after="0" w:line="268"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the reporting unit, such as controls related to management’s forecasts of future revenue and the selection of the discount rate for the income approach, and determination of multiples of earnings for the market approach.</w:t>
      </w:r>
    </w:p>
    <w:p>
      <w:pPr>
        <w:spacing w:after="0" w:line="62" w:lineRule="exact"/>
        <w:rPr>
          <w:rFonts w:ascii="Arial" w:cs="Arial" w:eastAsia="Arial" w:hAnsi="Arial"/>
          <w:sz w:val="18"/>
          <w:szCs w:val="18"/>
          <w:color w:val="auto"/>
        </w:rPr>
      </w:pPr>
    </w:p>
    <w:p>
      <w:pPr>
        <w:ind w:left="740" w:right="620" w:hanging="327"/>
        <w:spacing w:after="0" w:line="287" w:lineRule="auto"/>
        <w:tabs>
          <w:tab w:leader="none" w:pos="7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assessed the reasonableness of management’s revenue forecasts by comparing the projections to historical results and certain peer companies and information included in industry reports.</w:t>
      </w:r>
    </w:p>
    <w:p>
      <w:pPr>
        <w:spacing w:after="0" w:line="44" w:lineRule="exact"/>
        <w:rPr>
          <w:rFonts w:ascii="Arial" w:cs="Arial" w:eastAsia="Arial" w:hAnsi="Arial"/>
          <w:sz w:val="18"/>
          <w:szCs w:val="18"/>
          <w:color w:val="auto"/>
        </w:rPr>
      </w:pPr>
    </w:p>
    <w:p>
      <w:pPr>
        <w:ind w:left="740" w:right="260" w:hanging="327"/>
        <w:spacing w:after="0" w:line="278" w:lineRule="auto"/>
        <w:tabs>
          <w:tab w:leader="none" w:pos="7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(2) discount rate,(3) long-term revenue growth rate, including testing the source information underlying the determination of the discount rate and long-term revenue growth rate, testing the mathematical accuracy of the calculation, and developing a range of independent estimates and comparing those to the discount rate selected by management and (4) evaluated the multiples of earnings in the market approach, including testing the underlying source information and mathematical accuracy of the calculations.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Cost of revenue from products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pension settlement expense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Gain on remeasurement of previously held equity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Gain on sale of businesses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1"/>
        </w:trPr>
        <w:tc>
          <w:tcPr>
            <w:tcW w:w="668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890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Amount of loss reclassified into 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Amortization of net actuarial loss (gain) into 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U.K. pension settlement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related to other comprehensive 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184"/>
        </w:trPr>
        <w:tc>
          <w:tcPr>
            <w:tcW w:w="8220" w:type="dxa"/>
            <w:vAlign w:val="bottom"/>
          </w:tcPr>
          <w:p>
            <w:pPr>
              <w:ind w:left="220"/>
              <w:spacing w:after="0" w:line="183" w:lineRule="exact"/>
              <w:rPr>
                <w:sz w:val="20"/>
                <w:szCs w:val="20"/>
                <w:color w:val="auto"/>
              </w:rPr>
            </w:pPr>
            <w:r>
              <w:rPr>
                <w:rFonts w:ascii="Arial" w:cs="Arial" w:eastAsia="Arial" w:hAnsi="Arial"/>
                <w:sz w:val="18"/>
                <w:szCs w:val="18"/>
                <w:color w:val="auto"/>
              </w:rPr>
              <w:t>Receivables, less allowances for discounts, returns and credit losses of $59 and $56 in 2024 and</w:t>
            </w:r>
          </w:p>
        </w:tc>
        <w:tc>
          <w:tcPr>
            <w:tcW w:w="32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1,668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35"/>
        </w:trPr>
        <w:tc>
          <w:tcPr>
            <w:tcW w:w="8220" w:type="dxa"/>
            <w:vAlign w:val="bottom"/>
          </w:tcPr>
          <w:p>
            <w:pPr>
              <w:ind w:left="220"/>
              <w:spacing w:after="0"/>
              <w:rPr>
                <w:sz w:val="20"/>
                <w:szCs w:val="20"/>
                <w:color w:val="auto"/>
              </w:rPr>
            </w:pPr>
            <w:r>
              <w:rPr>
                <w:rFonts w:ascii="Arial" w:cs="Arial" w:eastAsia="Arial" w:hAnsi="Arial"/>
                <w:sz w:val="18"/>
                <w:szCs w:val="18"/>
                <w:color w:val="auto"/>
              </w:rPr>
              <w:t>2023, respectively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held for sale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Accrued post-retirement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non-current accrued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Commitment and Contingencies (Note 20)</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par value $0.01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Authorized 750.0 shares, issued 259.2 and 257.6 shares in 2024 and 2023, respectively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 at cost 16.2 shares and 16.0 shares in 2024 and 2023, respectively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XYLEM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color w:val="auto"/>
              </w:rPr>
              <w:t>2022</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Activities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5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890</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609</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30"/>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Depreciation</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30"/>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Amortization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Deferred income taxes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Share-based compensation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Restructuring and asset impairment charges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U.K. pension settlement expense</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Loss (gain) from sale of businesses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Gain on remeasurement of previously held equity interest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Other, net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restructuring</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9"/>
        </w:trPr>
        <w:tc>
          <w:tcPr>
            <w:tcW w:w="6580" w:type="dxa"/>
            <w:vAlign w:val="bottom"/>
          </w:tcPr>
          <w:p>
            <w:pPr>
              <w:ind w:left="220"/>
              <w:spacing w:after="0"/>
              <w:rPr>
                <w:sz w:val="20"/>
                <w:szCs w:val="20"/>
                <w:color w:val="auto"/>
              </w:rPr>
            </w:pPr>
            <w:r>
              <w:rPr>
                <w:rFonts w:ascii="Arial" w:cs="Arial" w:eastAsia="Arial" w:hAnsi="Arial"/>
                <w:sz w:val="17"/>
                <w:szCs w:val="17"/>
                <w:color w:val="auto"/>
              </w:rPr>
              <w:t>Contributions to post-retirement benefit plans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9"/>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 (net of acquisitions):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Changes in receivables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inventories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30"/>
        </w:trPr>
        <w:tc>
          <w:tcPr>
            <w:tcW w:w="6580" w:type="dxa"/>
            <w:vAlign w:val="bottom"/>
          </w:tcPr>
          <w:p>
            <w:pPr>
              <w:ind w:left="480"/>
              <w:spacing w:after="0"/>
              <w:rPr>
                <w:sz w:val="20"/>
                <w:szCs w:val="20"/>
                <w:color w:val="auto"/>
              </w:rPr>
            </w:pPr>
            <w:r>
              <w:rPr>
                <w:rFonts w:ascii="Arial" w:cs="Arial" w:eastAsia="Arial" w:hAnsi="Arial"/>
                <w:sz w:val="17"/>
                <w:szCs w:val="17"/>
                <w:color w:val="auto"/>
              </w:rPr>
              <w:t>Changes in accounts payable</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9"/>
        </w:trPr>
        <w:tc>
          <w:tcPr>
            <w:tcW w:w="65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Changes in accrued liabilities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9"/>
        </w:trPr>
        <w:tc>
          <w:tcPr>
            <w:tcW w:w="6580" w:type="dxa"/>
            <w:vAlign w:val="bottom"/>
          </w:tcPr>
          <w:p>
            <w:pPr>
              <w:ind w:left="480"/>
              <w:spacing w:after="0"/>
              <w:rPr>
                <w:sz w:val="20"/>
                <w:szCs w:val="20"/>
                <w:color w:val="auto"/>
              </w:rPr>
            </w:pPr>
            <w:r>
              <w:rPr>
                <w:rFonts w:ascii="Arial" w:cs="Arial" w:eastAsia="Arial" w:hAnsi="Arial"/>
                <w:sz w:val="17"/>
                <w:szCs w:val="17"/>
                <w:color w:val="auto"/>
              </w:rPr>
              <w:t>Changes in accrued and deferred taxes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0"/>
        </w:trPr>
        <w:tc>
          <w:tcPr>
            <w:tcW w:w="65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Net changes in other assets and liabilities</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Net Cash — Operating activities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w:t>
            </w:r>
          </w:p>
        </w:tc>
      </w:tr>
      <w:tr>
        <w:trPr>
          <w:trHeight w:val="223"/>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Investing Activities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the sale of property, plant and equipment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Acquisitions of businesses, net of cash acquired</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businesses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Cash received from investments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investments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Cash paid for equity investments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received from interest rate swaps</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Cash received from cross-currency swaps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of currency forward agreement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net</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Net Cash — Investing activities</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23"/>
        </w:trPr>
        <w:tc>
          <w:tcPr>
            <w:tcW w:w="6580" w:type="dxa"/>
            <w:vAlign w:val="bottom"/>
          </w:tcPr>
          <w:p>
            <w:pPr>
              <w:ind w:left="140"/>
              <w:spacing w:after="0"/>
              <w:rPr>
                <w:sz w:val="20"/>
                <w:szCs w:val="20"/>
                <w:color w:val="auto"/>
              </w:rPr>
            </w:pPr>
            <w:r>
              <w:rPr>
                <w:rFonts w:ascii="Arial" w:cs="Arial" w:eastAsia="Arial" w:hAnsi="Arial"/>
                <w:sz w:val="17"/>
                <w:szCs w:val="17"/>
                <w:b w:val="1"/>
                <w:bCs w:val="1"/>
                <w:color w:val="auto"/>
              </w:rPr>
              <w:t>Financing Activities</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debt repaid</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Long-term debt issued, net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 repaid, net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r>
      <w:tr>
        <w:trPr>
          <w:trHeight w:val="229"/>
        </w:trPr>
        <w:tc>
          <w:tcPr>
            <w:tcW w:w="6580" w:type="dxa"/>
            <w:vAlign w:val="bottom"/>
          </w:tcPr>
          <w:p>
            <w:pPr>
              <w:ind w:left="140"/>
              <w:spacing w:after="0"/>
              <w:rPr>
                <w:sz w:val="20"/>
                <w:szCs w:val="20"/>
                <w:color w:val="auto"/>
              </w:rPr>
            </w:pPr>
            <w:r>
              <w:rPr>
                <w:rFonts w:ascii="Arial" w:cs="Arial" w:eastAsia="Arial" w:hAnsi="Arial"/>
                <w:sz w:val="17"/>
                <w:szCs w:val="17"/>
                <w:color w:val="auto"/>
              </w:rPr>
              <w:t>Repurchase of common stock</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employee stock options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30"/>
        </w:trPr>
        <w:tc>
          <w:tcPr>
            <w:tcW w:w="6580" w:type="dxa"/>
            <w:vAlign w:val="bottom"/>
          </w:tcPr>
          <w:p>
            <w:pPr>
              <w:ind w:left="140"/>
              <w:spacing w:after="0"/>
              <w:rPr>
                <w:sz w:val="20"/>
                <w:szCs w:val="20"/>
                <w:color w:val="auto"/>
              </w:rPr>
            </w:pPr>
            <w:r>
              <w:rPr>
                <w:rFonts w:ascii="Arial" w:cs="Arial" w:eastAsia="Arial" w:hAnsi="Arial"/>
                <w:sz w:val="17"/>
                <w:szCs w:val="17"/>
                <w:color w:val="auto"/>
              </w:rPr>
              <w:t>Dividends paid</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29"/>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Net Cash — Financing activities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w:t>
            </w:r>
          </w:p>
        </w:tc>
      </w:tr>
      <w:tr>
        <w:trPr>
          <w:trHeight w:val="223"/>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Effect of exchange rate changes on cash</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Cash classified within assets held for sale</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change in cash and cash equivalents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r>
      <w:tr>
        <w:trPr>
          <w:trHeight w:val="230"/>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Cash and cash equivalents at beginning of year</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w:t>
            </w:r>
          </w:p>
        </w:tc>
      </w:tr>
      <w:tr>
        <w:trPr>
          <w:trHeight w:val="223"/>
        </w:trPr>
        <w:tc>
          <w:tcPr>
            <w:tcW w:w="6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Cash and cash equivalents at end of year</w:t>
            </w:r>
          </w:p>
        </w:tc>
        <w:tc>
          <w:tcPr>
            <w:tcW w:w="5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w:t>
            </w:r>
          </w:p>
        </w:tc>
      </w:tr>
      <w:tr>
        <w:trPr>
          <w:trHeight w:val="223"/>
        </w:trPr>
        <w:tc>
          <w:tcPr>
            <w:tcW w:w="6580" w:type="dxa"/>
            <w:vAlign w:val="bottom"/>
          </w:tcPr>
          <w:p>
            <w:pPr>
              <w:ind w:left="1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during the year for:</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580" w:type="dxa"/>
            <w:vAlign w:val="bottom"/>
          </w:tcPr>
          <w:p>
            <w:pPr>
              <w:ind w:left="220"/>
              <w:spacing w:after="0"/>
              <w:rPr>
                <w:sz w:val="20"/>
                <w:szCs w:val="20"/>
                <w:color w:val="auto"/>
              </w:rPr>
            </w:pPr>
            <w:r>
              <w:rPr>
                <w:rFonts w:ascii="Arial" w:cs="Arial" w:eastAsia="Arial" w:hAnsi="Arial"/>
                <w:sz w:val="17"/>
                <w:szCs w:val="17"/>
                <w:color w:val="auto"/>
              </w:rPr>
              <w:t>Interest</w:t>
            </w:r>
          </w:p>
        </w:tc>
        <w:tc>
          <w:tcPr>
            <w:tcW w:w="5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29"/>
        </w:trPr>
        <w:tc>
          <w:tcPr>
            <w:tcW w:w="6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(net of refunds received)</w:t>
            </w:r>
          </w:p>
        </w:tc>
        <w:tc>
          <w:tcPr>
            <w:tcW w:w="56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r>
    </w:tbl>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ind w:right="4760"/>
        <w:spacing w:after="0" w:line="266" w:lineRule="auto"/>
        <w:rPr>
          <w:sz w:val="20"/>
          <w:szCs w:val="20"/>
          <w:color w:val="auto"/>
        </w:rPr>
      </w:pPr>
      <w:r>
        <w:rPr>
          <w:rFonts w:ascii="Arial" w:cs="Arial" w:eastAsia="Arial" w:hAnsi="Arial"/>
          <w:sz w:val="18"/>
          <w:szCs w:val="18"/>
          <w:color w:val="auto"/>
        </w:rPr>
        <w:t>CONSOLIDATED STATEMENTS OF CHANGES IN STOCKHOLDERS’ EQUITY (In Millions,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color w:val="auto"/>
              </w:rPr>
              <w:t>Retained</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16"/>
                <w:szCs w:val="1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rPr>
              <w:t>Treasury</w:t>
            </w: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color w:val="auto"/>
              </w:rPr>
              <w:t>Non-Controlling</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9"/>
              </w:rPr>
              <w:t>Comprehensive</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($1.20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replacement equity awards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($1.32 per share)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2023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10,176</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890</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($1.44 per share)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(351)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Distributions to minority shareholders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activity</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w:t>
            </w:r>
          </w:p>
        </w:tc>
        <w:tc>
          <w:tcPr>
            <w:tcW w:w="1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10,647</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Xylem Inc. (“Xylem” or the “Company”) is a leading global water technology company. We design, manufacture and service engineered products and solutions across a wide variety of critical applications primarily in the water sector. Our broad portfolio of products, services and solutions addresses customer needs of scarcity, resilience, quality, and affordability across the water cycle, from the delivery, treatment, measurement and use of drinking water, to the collection, testing, analysis and treatment of wastewater, to the return of water to the environment.</w:t>
      </w:r>
    </w:p>
    <w:p>
      <w:pPr>
        <w:spacing w:after="0" w:line="71"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21, "Segment and Geographic Data," for further segment background information.</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Hereinafter, 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Evoqua</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On May 24, 2023, Xylem completed the acquisition of Evoqua Water Technologies Corp. (“Evoqua”). Refer to Note 3, "Acquisitions and Divestitures,"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reflect our financial position and results of operations in conformity with accounting principles generally accepted in the United States of America (“GAAP”). All intercompany transactions between our businesses have been eliminated. Certain prior year amounts have been conformed to the current year presentation.</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announced a change to its reportable segments effective January 1, 2024, and as a result, is now reporting the financial position and results of operations of its former Integrated Solutions and Services segment together with the dewatering business, previously within our Water Infrastructure segment, and the assessment services business, previously within our Measurement and Control Solutions segment, in a new segment that is referred to as Water Solutions and Services. The Company’s Water Infrastructure reportable segment no longer includes the results of the dewatering business, and the Company’s Measurement and Control Solutions reportable segment no longer includes the results of the assessment services business. The Company's Applied Water reportable segment remains unchanged. As a result of the change, the Company has recast prior period segment amounts to align with the new segment reporting. The recast financial information reflects depreciation, amortization and share-based compensation specifically identified to the segments that were previously reported within Corporate and other and Regional selling locations as part of an overall allocation. These changes have no impact on the Company’s historical consolidated financial position or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consolidate companies in which we have a controlling financial interest or when Xylem is considered the primary beneficiary of a variable interest entity. We account for investments under the equity method in companies over which we have the ability to exercise significant influence but do not hold a controlling financial interest, and we record our proportionate share of income or losses in the Consolidated Income Statements. Equity method investments are reviewed for impairment when events or circumstances indicate the investment may be other than temporarily impaired. This requires significant judgment, including an assessment of the investee’s financial condition, the possibility of subsequent rounds of financing, and the investee’s historical and projected results 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5" w:name="page76"/>
    <w:bookmarkEnd w:id="75"/>
    <w:p>
      <w:pPr>
        <w:ind w:right="180"/>
        <w:spacing w:after="0" w:line="287" w:lineRule="auto"/>
        <w:rPr>
          <w:sz w:val="20"/>
          <w:szCs w:val="20"/>
          <w:color w:val="auto"/>
        </w:rPr>
      </w:pPr>
      <w:r>
        <w:rPr>
          <w:rFonts w:ascii="Arial" w:cs="Arial" w:eastAsia="Arial" w:hAnsi="Arial"/>
          <w:sz w:val="18"/>
          <w:szCs w:val="18"/>
          <w:color w:val="auto"/>
        </w:rPr>
        <w:t>operations. If the actual results of operations for the investee are significantly different from projections, we may incur future charges for the impairment of these investments.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national currencies of our foreign companies are generally the functional currencies. Balance sheet accounts are translated at the exchange rate in effect at the end of each period; income statement accounts are translated at the average rates of exchange prevailing during the period. Gains and losses on foreign currency translations are reflected in the cumulative translation adjustments component of stockholders’ equity. Net gains or losses from foreign currency transactions are reported currently in selling, general and administrative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Xylem recognizes revenue in a manner that depicts the transfer of promised goods and services to customers in an 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 As a result of the Evoqua acquisition, we assessed our prior definition of service revenue and redefined service revenue for the combined company as revenue resulting from the satisfaction of performance obligations primarily related to outsourced water services, maintenance, repair, preventive and inspection services, software as a service ("SaaS") subscriptions, and spare parts sales related to these service offerings.</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pattern of revenue recognition.</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control is transferred which is determined based on when the risks and rewards, possession, and title have transferred to the customer, which usually occurs at the point of delivery.</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6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If shipping and handling activities are performed after a customer obtains control of a good, we account for the shipping and handling activities as activities to fulfill a promise to transfer a good. Shipping and handling related costs are accrued as revenue is recognized.</w:t>
      </w:r>
    </w:p>
    <w:p>
      <w:pPr>
        <w:spacing w:after="0" w:line="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the performance obligations if they are capable of being distinct and are distinct within the context of the contract. We base our allocation of the transaction price to the performance obligations on the relative stand-alone selling prices for the goods or services contained in a particular performance obligation. The stand-alone selling prices are determined first by reference to observable prices. In the event observable prices are not available, we estimate the stand-alone selling price by maximizing observable inputs and applying an adjusted market assessment approach, expected cost plus margin approach, or a residual approach in limited situations. Revenue in these instances is recognized on individual performance obligations within the same contract as they are satisfied.</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transaction price is adjusted for our estimate of variable consideration which may include a right of return, discounts, rebates, penalties, retainage, and warranties. To estimate variable consideration, we apply the expected value or the most likely amount method, based on whichever method most appropriately predicts the amount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6" w:name="page77"/>
    <w:bookmarkEnd w:id="76"/>
    <w:p>
      <w:pPr>
        <w:ind w:right="220"/>
        <w:spacing w:after="0" w:line="268" w:lineRule="auto"/>
        <w:rPr>
          <w:sz w:val="20"/>
          <w:szCs w:val="20"/>
          <w:color w:val="auto"/>
        </w:rPr>
      </w:pPr>
      <w:r>
        <w:rPr>
          <w:rFonts w:ascii="Arial" w:cs="Arial" w:eastAsia="Arial" w:hAnsi="Arial"/>
          <w:sz w:val="18"/>
          <w:szCs w:val="18"/>
          <w:color w:val="auto"/>
        </w:rPr>
        <w:t>consideration we expect to receive.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63"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exclude from the measurement of the transaction price all taxes assessed by a governmental authority that are both imposed on and concurrent with a specific revenue-producing transaction and collected from a customer, for example sales, use, value added and some excise taxes.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all contracts with customers, payment received for our products and services may not necessarily follow the same pattern of revenue recognition to which it relates and are dictated by the terms and conditions of our contracts with customers. Payments received for product sales typically occur following delivery and the satisfaction of the performance obligations based upon the terms outlined in the contracts. Payments received for services typically occur following the services being rendered. For long-term construction-type projects, payments are typically made throughout the contract as progress is made.</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limited situations, contracts with customers include financing components where payment terms exceed one year; however, we believe that the financing effects are not significant to Xylem. In addition, we apply a practical expedient and do not adjust the promised amount of consideration in a contract for the effects of significant financing components when we expect payment terms to be one year or less from the time the goods or services are transferred until ultimate payment.</w:t>
      </w:r>
    </w:p>
    <w:p>
      <w:pPr>
        <w:spacing w:after="0" w:line="6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offer standard warranties for our products to enable compliance with agreed-upon specifications in our contracts. Standard warranties do not give rise to performance obligations and represent assurance-type warranties. In certain instances, product warranty terms are adjusted to account for the specific nature of the contract. In these instances, we assess the warranties to determine whether they represent service-type warranties, and should be accounted for as a separate performance obligation in the contract.</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Costs to obtain a contract include incremental costs that the Company has incurred that it expects to recover. Incremental costs only include costs that the Company would not have incurred had the contract not been obtained. Costs that would have been incurred regardless of whether or not the contract was obtained are expensed as incurred, unless they are explicitly chargeable to the customer whether or not the contract is obtained.</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Costs to obtain contracts are capitalized when incurred, and are then amortized in a manner that is consistent with the pattern of transfer of the related goods or services provided in the contract. The Company elects to apply the practical expedient to expense costs to obtain contracts when the associated amortization period of those costs would be one year or less.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recorded as a component of cost of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Share-based awards issued to employees include non-qualified stock options, restricted stock units and performance share units. Share-based awards issued to members of the Board of Directors include restricted stock units. Compensation costs resulting from share-based payment transactions are recognized primarily at fair value over the requisite service period (typically three years), on a straight-line basis, within selling, general and administrative expenses. The calculated compensation cost is adjusted based on an estimate of awards ultimately expected to vest. The fair value of a non-qualified stock option is determined on the date of grant using a binomial lattice pricing model incorporating multiple and variable assumptions over time, including assumptions such as employee exercise patterns, stock price volatility and changes in dividends. The fair value of restricted stock unit awards is determined using the closing price of our common stock on date of grant. The fair value of Return on Invested Capital ("ROIC"), Revenue, and adjusted EBITDA performance share units at 100% target is determined using the closing price of our common stock on date of grant. The calculated compensation cost is adjusted based on an estimate of awards ultimately expected to vest and our assessment of the probable outcome of the performance condition. The fair value of Total Shareholder Return ("TSR") performance share units is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research and development activities, which consist primarily of the development of new products, product applications, and manufacturing processes. To the extent these activities involve developing software that is sold to our customers, we capitalize the applicable development costs. All other research and development costs are charged to expense as incurred.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periodically initiate management-approved restructuring activities to achieve cost savings through reduced operational redundancies and to position ourselves strategically in the market in response to prevailing economic conditions and associated customer demand. Costs associated with restructuring actions can include severance, acceleration of share-based compensation expense due to "double trigger" change in control provisions, infrastructure charges to vacate facilities or consolidate operations, contract termination costs and other related charges. For involuntary separation plans, a liability is recognized when it is probable and reasonably estimable. For voluntary separation plans, a liability is recognized when the employee irrevocably accepts the voluntary termination. For one-time termination benefits, such as additional severance pay or benefit payouts and other exit costs, the liability is measured and recognized initially at fair value in the period in which the liability is incurred, with subsequent changes to the liability recognized as adjustments in the period of change.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Deferred financing costs represent costs incurred in conjunction with our debt financing activities and are capitalized in long-term debt and amortized over the life of the related financing arrangements. If the debt is retired early, the related unamortized deferred financing costs are recorded within the results of operations under the caption “interest expense” in the period the debt is retired.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Income taxes are calculated using the asset and liability method. 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asset will not be realized. In determining whether a valuation allowance is warranted, we consider all positive and negative evidence and all sources of taxable income such as prior earnings history, expected future earnings, carryback and carryforward periods and tax strategies to estimate if sufficient future taxable income will be generated to realize the deferred tax asset. The assessment of the adequacy of our valuation allowance is based on our estimates of taxable income by the jurisdiction in which we operate and the period over which our deferred tax assets will be recoverable. If actual results differ from these estimates, or we adjust these estimates in future periods for current trends or expected changes in our estimating assumptions, we may need to modify the level of valuation allowance that could materially impact our business, financial condition and results of operations.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Tax benefits are recognized for an uncertain tax position when, based on the technical merits of the position it is more likely than not that the position will be sustained upon examination by a taxing authority or upon completion of the litigation process.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in the period in which they are identified. The effective tax rate includes the net impact of changes in the liability for unrecognized tax benefits and subsequent adjustments as considered appropriate by management. While it is often difficult to predict the final outcome or the timing of resolution of any particular tax matter, we believe our liability for unrecognized tax benefits is adequate. We classify interest relating to unrecognized tax benefits as a component of other non-operating income, net and tax penalties as a component of income tax expense in our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present two calculations of earnings per share (“EPS”). “Basic” EPS equals net income divided by weighted average shares outstanding during the period. “Diluted” EPS equals net income divided by the sum of weighted average common shares outstanding during the period plus potentially dilutive shares. Potentially dilutive common shares that are anti-dilutive are excluded from diluted EPS.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three months or less to be cash equivalents.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Allowance for Credit Losses and Discounts</w:t>
      </w:r>
    </w:p>
    <w:p>
      <w:pPr>
        <w:spacing w:after="0" w:line="11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Receivables are primarily comprised of uncollected amounts owed to us from transactions with customers and are presented net of allowances for credit losses, returns and early payment discounts.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determine our allowance for credit losses using a combination of factors to reduce our trade receivable balances to the net amount expected to be collected. We maintain an allowance for credit losses based on a variety of factors, including the length of time receivables were past due, macro-economic trends and conditions, significant one-time events, historical experience, and current and future expectations of economic conditions. In addition, we record an allowance for individual accounts when we become aware of specific customer circumstances, such as in the case of bankruptcy filings or deterioration in the customer’s operating results or financial position. The past due or delinquency status of a receivable is based on the contractual payment terms of the receivable. If circumstances related to the specific customer change, we adjust estimates of the recoverability of receivables as appropriate. We determine our allowance for early payment discounts primarily based on historical experience with customers.</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Credit risk with respect to accounts receivable is generally diversified due to the large number of entities comprising our customer base and their dispersion across many different geographical regions. We evaluate the financial condition of our third-party distributors, resellers and other customers and require collateral, such as letters of credit and bank guarantees, in certain circumstances. As of December 31, 2024 and 2023 we do not believe we have any significant concentrations of credit risk.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Inventories, which include the costs of material, labor and overhead, are stated at the lower of cost or net realizable value. Estimated losses from obsolete and slow-moving inventories are recorded to reduce inventory values to their estimated net realizable value. Our manufacturing operations recognize costs of sales using standard costs with full overhead absorption, which generally approximates actual cost.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assets are recorded at historical cost and are depreciated using the straight-line method of depreciation over the estimated useful lives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Life</w:t>
            </w:r>
          </w:p>
        </w:tc>
      </w:tr>
      <w:tr>
        <w:trPr>
          <w:trHeight w:val="224"/>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to 40 years</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to 7 years</w:t>
            </w:r>
          </w:p>
        </w:tc>
      </w:tr>
      <w:tr>
        <w:trPr>
          <w:trHeight w:val="239"/>
        </w:trPr>
        <w:tc>
          <w:tcPr>
            <w:tcW w:w="9240" w:type="dxa"/>
            <w:vAlign w:val="bottom"/>
          </w:tcPr>
          <w:p>
            <w:pPr>
              <w:ind w:left="20"/>
              <w:spacing w:after="0"/>
              <w:rPr>
                <w:sz w:val="20"/>
                <w:szCs w:val="20"/>
                <w:color w:val="auto"/>
              </w:rPr>
            </w:pPr>
            <w:r>
              <w:rPr>
                <w:rFonts w:ascii="Arial" w:cs="Arial" w:eastAsia="Arial" w:hAnsi="Arial"/>
                <w:sz w:val="18"/>
                <w:szCs w:val="18"/>
                <w:color w:val="auto"/>
              </w:rPr>
              <w:t>Equipment held for lease or rental</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bl>
    <w:p>
      <w:pPr>
        <w:spacing w:after="0" w:line="16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Leasehold improvements are depreciated over the shorter of their estimated useful life or the term of the lease. Costs related to maintenance and repairs that do not prolong the assets' useful lives are expensed as incurred.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determine if an arrangement is a lease at inception. We have recorded right of use (“ROU”) assets and liabilities for lease arrangements that are reasonably certain to extend beyond 12 months. ROU assets represent our right to use an underlying asset for the lease term and lease liabilities represent our obligation to make lease payments under the lease. ROU assets and liabilities are recognized at lease commencement date based on the present value of lease payments over the lease term. The implicit rate within our leases is generally not determinable, and we use our incremental borrowing rate at the lease commencement date to determine the net present value of lease payments. The determination of the appropriate incremental borrowing rate requires judgment. We determine the appropriate incremental borrowing rate for each lease using our current borrowing rate, adjusted for various factors including geographic region, level of collateralization and term, to align with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9" w:name="page80"/>
    <w:bookmarkEnd w:id="79"/>
    <w:p>
      <w:pPr>
        <w:spacing w:after="0" w:line="262" w:lineRule="auto"/>
        <w:rPr>
          <w:sz w:val="20"/>
          <w:szCs w:val="20"/>
          <w:color w:val="auto"/>
        </w:rPr>
      </w:pPr>
      <w:r>
        <w:rPr>
          <w:rFonts w:ascii="Arial" w:cs="Arial" w:eastAsia="Arial" w:hAnsi="Arial"/>
          <w:sz w:val="18"/>
          <w:szCs w:val="18"/>
          <w:color w:val="auto"/>
        </w:rPr>
        <w:t>Lease expense for lease payments is recognized on a straight-line basis over the lease term. Many of our leases are subject to payment adjustments to reflect annual changes in price indexes, such as the Consumer Price Index. While associated lease liabilities are not re-measured as a result of changes in the applicable price indexes, changes to required lease payments are treated as variable lease payments and recognized in the period in which the obligation for those payments was incurred.</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Leases with a lease term of 12 months or less, including renewal options that are reasonably certain to be exercised, that also do not include an option to purchase the underlying asset that is reasonably certain of exercise, are not recorded on the Consolidated Balance Sheets. Instead, lease payments for these leases are recognized as a lease cost on a straight-line basis over the lease term.</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elected the package of practical expedients, which among other things, does not require reassessment of lease classification. Additionally, we have made an accounting policy election whereby we chose not to separate non-lease components from lease components in agreements in all leases which we are the lessee.</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manufacturing and selling equipment, we also lease equipment to customers in exchange for consideration. These arrangements are generally short term in nature and predominantly involve the rental of pumps and accessories within the Water Solutions and Services segment. Short term rental arrangements generally do not provide the customer the right to purchase the equipment as Xylem’s strategy is to rent these items over their useful lives. Customers may be billed based on daily, weekly or monthly rates depending on the expected rental period. We assessed that these arrangements constitute a lease under ASC 842, and have recognized them as operating leases. In situations where arrangements contain both the sale of products and a leasing component, contract consideration is allocated based on relative standalone selling price.</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also generates revenue through the lease of its water treatment equipment and systems to customers within the Water Solutions and Services segment. At the time of contract inception, the Company determines if an arrangement is or contains a lease. These contracts generally contain both lease and non-lease components, including installation, maintenance, and monitoring services of the Company-owned equipment. In situations where arrangements contain multiple elements, contract consideration is allocated based on relative standalone selling price.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Intangible assets include customer relationships, proprietary technology, brands and trademarks, patents, software and other intangible assets. Intangible assets with a finite life are amortized on a straight-line basis over an estimated economic useful life which ranges from 1 to 40 years and is included in cost of revenue or selling, general and administrative expenses. Certain of our intangible assets, namely certain brands and trademarks, as well as FCC licenses, have an indefinite life and are not amortized.</w:t>
      </w:r>
    </w:p>
    <w:p>
      <w:pPr>
        <w:spacing w:after="0" w:line="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Goodwill and indefinite-lived intangible assets are not amortized, but rather are tested for impairment annually (or more frequently if impairment indicators arise, such as changes to the reporting unit structure, significant adverse changes in the business or business climate or an adverse action or assessment by a regulator). We conduct our annual impairment testing as of the beginning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In assessing goodwill for impairment, we estimate the fair value of our reporting units using both the income approach and market approach. Weighting is equally attributed to both the market and income approaches in arriving at the fair value of the reporting units. To determine the reasonableness of the calculated fair values, we review the assumptions to ensure that neither the income approach nor the market approach yielded significantly different valuations.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Long-lived assets, including intangible assets with finite lives, are amortized and tested for impairment whenever events or changes in circumstances indicate their carrying value may not be recoverable. We assess the recoverability of long-lived assets based on the undiscounted future cash flow the assets are expected to generate and recognize an impairment loss when estimated undiscounted future cash flows expected to result from the use of the asset plus net proceeds expected from disposition of the asset, if any, are less than the carrying value of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0" w:name="page81"/>
    <w:bookmarkEnd w:id="80"/>
    <w:p>
      <w:pPr>
        <w:ind w:right="180"/>
        <w:spacing w:after="0" w:line="287" w:lineRule="auto"/>
        <w:rPr>
          <w:sz w:val="20"/>
          <w:szCs w:val="20"/>
          <w:color w:val="auto"/>
        </w:rPr>
      </w:pPr>
      <w:r>
        <w:rPr>
          <w:rFonts w:ascii="Arial" w:cs="Arial" w:eastAsia="Arial" w:hAnsi="Arial"/>
          <w:sz w:val="18"/>
          <w:szCs w:val="18"/>
          <w:color w:val="auto"/>
        </w:rPr>
        <w:t>asset. When an impairment is identified, we reduce the carrying amount of the asset to its estimated fair value based on a discounted cash flow approach or, when available and appropriate, to comparable market values.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assurance-type warranties, we accrue for the estimated cost of product warranties at the time revenue is recognized and record it as a component of cost of revenue. Our product warranty liability reflects our best estimate of probable liability under the terms and conditions of our product warranties offered to customers. We estimate the liability based on our standard warranty terms, the historical frequency of claims and the cost to replace or repair our products under warranty. Factors that impact our warranty liability include the number of units sold, the length of warranty term, historical and anticipated rates of warranty claims and cost per claim. We also record a warranty liability for specific matters. We assess the adequacy of our recorded warranty liabilities quarterly and adjust amounts as necessary.</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service-type warranties (i.e. non-standard warranties) costs incurred to fulfill the extended or service warranty are recognized/recorded as the costs are incurred.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1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determination of defined benefit pension and post-retirement plan obligations and their associated costs requires the use of actuarial computations to estimate participant plan benefits to which the employees will be entitled. The assumptions primarily relate to discount rates, expected long-term rates of return on plan assets, rate of future compensation increases, mortality, years of service and other factors. We develop each assumption using relevant company experience in conjunction with market-related data for each individual country in which such plans exist. All actuarial assumptions are reviewed annually with third-party consultants and adjusted as necessary. For the recognition of net periodic post-retirement cost, the calculation of the expected return on plan assets is generally derived by applying the expected long-term rate of return on the market-related value of plan assets. The market-related value of plan assets is based on average asset values at the measurement date over the last five years. Actual results that differ from our assumptions are accumulated and amortized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The fair value of plan assets is determined based on market prices or estimated fair value at the measurement date.</w:t>
      </w:r>
    </w:p>
    <w:p>
      <w:pPr>
        <w:spacing w:after="0" w:line="6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consider changes to a plan’s benefit formula that eliminate the accrual for future service but continue to allow for future salary increases (i.e. “soft freeze”) to be a curtailment.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allocate the purchase price of acquisitions to the tangible and intangible assets acquired, liabilities assumed, and non-controlling interests in the acquiree based on their estimated fair value at the acquisition date. The excess of the acquisition price over those estimated fair values is recorded as goodwill. Changes to the acquisition date provisional fair values prior to the expiration of the measurement period, a period not to exceed 12 months from date of acquisition, are recorded as an adjustment to the associated goodwill. Acquisition-related expenses and restructuring costs, if any, are recognized separately from the business combination and are expensed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 all derivatives on the Consolidated Balance Sheets at fair value. The accounting for changes in the fair value of derivatives depends on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are considered fair value hedges. Derivatives designated and qualifying as a hedge of the exposure to variability in expected future cash flows, including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hedge certain risks economically, even though hedge accounting does not apply or we elect not to apply hedge accounting.</w:t>
      </w:r>
    </w:p>
    <w:p>
      <w:pPr>
        <w:spacing w:after="0" w:line="7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Changes in the fair value of derivatives designated and that qualify as cash flow hedges of foreign exchange risk are recorded in Other Comprehensive Income (Loss) ("OCI/L") and are subsequently reclassified into either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81" w:name="page82"/>
    <w:bookmarkEnd w:id="81"/>
    <w:p>
      <w:pPr>
        <w:ind w:right="80"/>
        <w:spacing w:after="0" w:line="257" w:lineRule="auto"/>
        <w:rPr>
          <w:sz w:val="20"/>
          <w:szCs w:val="20"/>
          <w:color w:val="auto"/>
        </w:rPr>
      </w:pPr>
      <w:r>
        <w:rPr>
          <w:rFonts w:ascii="Arial" w:cs="Arial" w:eastAsia="Arial" w:hAnsi="Arial"/>
          <w:sz w:val="18"/>
          <w:szCs w:val="18"/>
          <w:color w:val="auto"/>
        </w:rPr>
        <w:t>revenue or cost of revenue (hedge of sales classified into revenue and hedge of purchases classified into cost of revenue) in the period that the hedged forecasted transaction affects earnings. Our policy is to de-designate cash flow hedges at the time forecasted transactions are recognized as assets or liabilities on a business unit’s balance sheet and report subsequent changes in fair value through selling, general and administrative expenses where the gain or loss due to movements in currency rates on the underlying asset or liability is revalued. If it becomes probable that the originally forecasted transaction will not occur, the gain or loss related to the hedge recorded within Accumulated Other Comprehensive Loss ("AOCL") is immediately recognized into net income.</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Effectiveness of derivatives designated as net investment hedges is assessed using the spot method. The changes in the fair value of these derivatives due to movements in spot exchange rates are recorded in OCI/L. Amounts in AOCL are reclassified into earnings at the time the hedged net investment is sold or substantially liquidated. Furthermore, we recognize interest income based on the interest rate differential embedded in the derivative instrument.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record accruals for commitments and loss contingencies for those which are both probable and for which the amount can be reasonably estimated. In addition, legal fees are accrued for cases where a loss is probable and the related fees can be reasonably estimated. Significant judgment is required to determine both probability and the estimated amount of loss. We review these accruals quarterly and adjust the accruals to reflect the impact of negotiations, settlements, rulings, advice of legal counsel, and other current information.</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estimated liability is reduced to reflect the anticipated participation of other potentially responsible parties in those instances where it is probable that such parties are legally responsible and financially capable of paying their respective shares of the relevant costs. These accruals are reviewed quarterly and are adjusted as assessment and remediation efforts progress, or as additional technical or legal information becomes available. Actual costs to be incurred at identified sites in future periods may vary from the estimates, given inherent uncertainties in evaluating environmental exposures. Accruals for environmental liabilities are primarily included in other non-current liabilities at undiscounted amounts.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derivative contracts and accounts receivable from trade customers. We maintain cash and cash equivalents and derivative contracts with various financial institutions. These financial institutions are located in many different geographical regions, and our policy is designed to limit exposure with any one institution. As part of our cash and risk management processes, we perform periodic evaluations of the relative credit standing of the financial institutions. We have not sustained any material credit losses during the previous three years from instruments held at financial institutions. We may utilize forward contracts to protect against the effects of foreign currency fluctuations. Such contracts involve the risk of non-performance by the counterparty. Credit risk with respect to accounts receivable is generally diversified due to the large number of entities comprising our customer base and their dispersion across many different industries and geographic regions. We perform ongoing credit evaluations of the financial condition of our third-party distributors, resellers and other customers and require collateral, such as letters of credit and bank guarantees, in certain circumstances.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the cash and cash equivalents, including foreign cash balances, at December 31, 2024 and 2023 were uninsured. Foreign cash balances at December 31, 2024 and 2023 were $741 million and $955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an orderly transaction between market participants at the measurement date. We use a hierarchical structure to prioritize the inputs to valuation techniques used to measure fair value into three broad levels defined as follows:</w:t>
      </w:r>
    </w:p>
    <w:p>
      <w:pPr>
        <w:spacing w:after="0" w:line="6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2" w:name="page83"/>
    <w:bookmarkEnd w:id="82"/>
    <w:p>
      <w:pPr>
        <w:ind w:right="20"/>
        <w:spacing w:after="0" w:line="318" w:lineRule="auto"/>
        <w:rPr>
          <w:sz w:val="20"/>
          <w:szCs w:val="20"/>
          <w:color w:val="auto"/>
        </w:rPr>
      </w:pPr>
      <w:r>
        <w:rPr>
          <w:rFonts w:ascii="Arial" w:cs="Arial" w:eastAsia="Arial" w:hAnsi="Arial"/>
          <w:sz w:val="17"/>
          <w:szCs w:val="17"/>
          <w:color w:val="auto"/>
        </w:rPr>
        <w:t>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w:t>
      </w:r>
    </w:p>
    <w:p>
      <w:pPr>
        <w:spacing w:after="0" w:line="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Certain investments which measure fair value using the net asset value (“NAV”) per share practical expedient are not classified within the fair value hierarchy and are separately disclosed.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Non-controlling interest that is redeemable upon the occurrence of an event that is not solely within the control of the issuer is classified as mezzanine equity in the Company’s consolidated balance sheets. Initial measurement is at acquisition date fair value and subsequent measurement is at the greater of the carrying value or the redemption value. Changes in the redemption value are recognized immediately as they occur and the carrying amount of the redeemable non-controlling interest is adjusted at the end of each reporting period. This method views the end of the reporting period as if it were also the redemption date for the instrument. Increases or decreases in the estimated redemption amount are recorded with corresponding adjustments against equity and are reflected in the computation of earnings per share.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Pronouncements Not Yet Adopted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2024, the Financial Accounting Standards Board (FASB) issued Accounting Standards Update (ASU) No. 2024-03, "</w:t>
      </w:r>
      <w:r>
        <w:rPr>
          <w:rFonts w:ascii="Arial" w:cs="Arial" w:eastAsia="Arial" w:hAnsi="Arial"/>
          <w:sz w:val="18"/>
          <w:szCs w:val="18"/>
          <w:i w:val="1"/>
          <w:iCs w:val="1"/>
          <w:color w:val="auto"/>
        </w:rPr>
        <w:t>Expense</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Disclosures (Subtopic 220-40): Disaggregation of Income Statement Expenses</w:t>
      </w:r>
      <w:r>
        <w:rPr>
          <w:rFonts w:ascii="Arial" w:cs="Arial" w:eastAsia="Arial" w:hAnsi="Arial"/>
          <w:sz w:val="18"/>
          <w:szCs w:val="18"/>
          <w:color w:val="auto"/>
        </w:rPr>
        <w:t>". This ASU requires a footnote disclosure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 each relevant expense caption on the face of the income statement that includes specific natural expense categories. In addition, the standard requires disclosure of selling expenses on an annual and interim basis. The standard is effective for fiscal years beginning after December 15, 2026, and interim periods within fiscal years beginning after December 15, 2027, with early adoption permitted. The standard is required to be adopted prospectively, but retrospective adoption is permitted. The Company is currently evaluating the method of adoption and the impacts of the guidance on our disclosures in future periods.</w:t>
      </w:r>
    </w:p>
    <w:p>
      <w:pPr>
        <w:spacing w:after="0" w:line="6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The ASU is intended to improve income tax disclosure requirements, primarily through additional disclosures about a reporting entity’s effective tax rate reconciliations as well as 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impacts of the guidance on our disclosures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This guidance requires disclosure information about significant segment expenses. The standard is effective for fiscal years beginning after December 15, 2023, and interim periods within fiscal years beginning after December 15, 2024. The standard is required to be applied on a retrospective basis to all periods presented in the consolidated financial statements. Refer to Note 21, "Segment and Geographic Data" for the disclosures related to our adoption of the standard.</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September 2022, the FASB issued ASU 2022-04, "</w:t>
      </w:r>
      <w:r>
        <w:rPr>
          <w:rFonts w:ascii="Arial" w:cs="Arial" w:eastAsia="Arial" w:hAnsi="Arial"/>
          <w:sz w:val="18"/>
          <w:szCs w:val="18"/>
          <w:i w:val="1"/>
          <w:iCs w:val="1"/>
          <w:color w:val="auto"/>
        </w:rPr>
        <w:t>Liabilities-Supplier Finance Programs (Subtopic 405 -50): Disclosure of Supplier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Finance Program Obligations</w:t>
      </w:r>
      <w:r>
        <w:rPr>
          <w:rFonts w:ascii="Arial" w:cs="Arial" w:eastAsia="Arial" w:hAnsi="Arial"/>
          <w:sz w:val="18"/>
          <w:szCs w:val="18"/>
          <w:color w:val="auto"/>
        </w:rPr>
        <w:t>." This guidance requires disclosure of the key terms of outstanding supplier finance programs and a rollforward</w:t>
      </w:r>
    </w:p>
    <w:p>
      <w:pPr>
        <w:spacing w:after="0" w:line="1"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of the related obligations. The standard does not affect the recognition, measurement, or financial statement presentation of supplier finance program obligations. The ASU became effective January 1, 2023, and the rollforward requirement became effective January 1, 2024. Refer to Note 14., "Current Liabilities" for the disclosures related to our adoption of the standard.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Omnium Idrica, S.L.</w:t>
      </w:r>
    </w:p>
    <w:p>
      <w:pPr>
        <w:spacing w:after="0" w:line="11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On April 26, 2023, we acquired a 25.1% equity interest in Global Omnium Idrica S.L. (“Idrica”), a global company specializing in digital transformation for the water industry, offering innovative services and technological solutions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3" w:name="page84"/>
    <w:bookmarkEnd w:id="83"/>
    <w:p>
      <w:pPr>
        <w:ind w:right="260"/>
        <w:spacing w:after="0" w:line="268" w:lineRule="auto"/>
        <w:rPr>
          <w:sz w:val="20"/>
          <w:szCs w:val="20"/>
          <w:color w:val="auto"/>
        </w:rPr>
      </w:pPr>
      <w:r>
        <w:rPr>
          <w:rFonts w:ascii="Arial" w:cs="Arial" w:eastAsia="Arial" w:hAnsi="Arial"/>
          <w:sz w:val="18"/>
          <w:szCs w:val="18"/>
          <w:color w:val="auto"/>
        </w:rPr>
        <w:t>for comprehensive water cycle management for $51 million. In connection with the transaction, the Company was granted the right to purchase a majority interest in Idrica from the joint venture partner at a fixed price. The investment was accounted for as an equity method investment as the Company had significant influence but did not have control over Idrica.</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10, 2024, we acquired an additional 35.9% equity interest in Idrica for $154 million ($150 million, net of cash received) by exercising our call right and now hold an aggregate ownership interest of 61.0% of Idrica. This was accounted for as a step acquisition where the Company has applied the acquisition method of accounting in accordance with ASC 805, Business Combinations (“ASC 805”). The fair value of our call right was included within the fair value of previously held equity interest and recognized as part of the consideration transferred and the gain on remeasurement of our call right was also included in the gain on remeasurement of previously held equity interest (as discussed below). The Company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spacing w:after="0" w:line="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total fair value of consideration transferred was $637 million, which includes cash paid to Idrica, the remeasurement to fair value of our previously held equity interest, the fair value of the redeemable non-controlling interest, and the settlement of a preexisting contractual relationship between the Company and Idrica. This relationship related to a distribution agreement which the Company had previously recognized in other non-current assets.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80" w:type="dxa"/>
            <w:vAlign w:val="bottom"/>
          </w:tcPr>
          <w:p>
            <w:pPr>
              <w:spacing w:after="0"/>
              <w:rPr>
                <w:sz w:val="20"/>
                <w:szCs w:val="20"/>
                <w:color w:val="auto"/>
              </w:rPr>
            </w:pPr>
            <w:r>
              <w:rPr>
                <w:rFonts w:ascii="Arial" w:cs="Arial" w:eastAsia="Arial" w:hAnsi="Arial"/>
                <w:sz w:val="18"/>
                <w:szCs w:val="18"/>
                <w:color w:val="auto"/>
              </w:rPr>
              <w:t>The acquisition-date fair value of the consideration consisted of the following:</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28"/>
        </w:trPr>
        <w:tc>
          <w:tcPr>
            <w:tcW w:w="86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4"/>
                <w:szCs w:val="24"/>
                <w:color w:val="auto"/>
              </w:rPr>
            </w:pPr>
          </w:p>
        </w:tc>
        <w:tc>
          <w:tcPr>
            <w:tcW w:w="23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 of Purchase</w:t>
            </w:r>
          </w:p>
        </w:tc>
      </w:tr>
      <w:tr>
        <w:trPr>
          <w:trHeight w:val="255"/>
        </w:trPr>
        <w:tc>
          <w:tcPr>
            <w:tcW w:w="86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Consideration</w:t>
            </w:r>
          </w:p>
        </w:tc>
      </w:tr>
      <w:tr>
        <w:trPr>
          <w:trHeight w:val="257"/>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8680" w:type="dxa"/>
            <w:vAlign w:val="bottom"/>
          </w:tcPr>
          <w:p>
            <w:pPr>
              <w:ind w:left="20"/>
              <w:spacing w:after="0"/>
              <w:rPr>
                <w:sz w:val="20"/>
                <w:szCs w:val="20"/>
                <w:color w:val="auto"/>
              </w:rPr>
            </w:pPr>
            <w:r>
              <w:rPr>
                <w:rFonts w:ascii="Arial" w:cs="Arial" w:eastAsia="Arial" w:hAnsi="Arial"/>
                <w:sz w:val="18"/>
                <w:szCs w:val="18"/>
                <w:color w:val="auto"/>
              </w:rPr>
              <w:t>Fair value of previously held equity interest</w:t>
            </w:r>
          </w:p>
        </w:tc>
        <w:tc>
          <w:tcPr>
            <w:tcW w:w="2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6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redeemable non-controlling interest</w:t>
            </w:r>
          </w:p>
        </w:tc>
        <w:tc>
          <w:tcPr>
            <w:tcW w:w="220" w:type="dxa"/>
            <w:vAlign w:val="bottom"/>
            <w:shd w:val="clear" w:color="auto" w:fill="CCEEFF"/>
          </w:tcPr>
          <w:p>
            <w:pPr>
              <w:spacing w:after="0"/>
              <w:rPr>
                <w:sz w:val="23"/>
                <w:szCs w:val="23"/>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50"/>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preexisting relationship</w:t>
            </w: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bl>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remeasured its previously held 25.1% equity interest in Idrica immediately prior to the completion of the acquisition to its estimated fair value of approximately $ 193 million. This fair value was derived by using the discounted cash flow method of the income approach, which considers future cash flows that are discounted to present value at a rate of return commensurate with the business and financial risks associated with the expected achievement of the projected cash flows. As a result of the remeasurement of its previously held equity interest, the Company recognized a gain of approximately $152 million in the fourth quarter of 2024. The gain reflects the excess of the estimated fair value of $193 million for the Company’s previously held 25.1% equity interest over its carrying value of approximately $41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4" w:name="page85"/>
    <w:bookmarkEnd w:id="84"/>
    <w:p>
      <w:pPr>
        <w:ind w:right="460"/>
        <w:spacing w:after="0" w:line="287" w:lineRule="auto"/>
        <w:rPr>
          <w:sz w:val="20"/>
          <w:szCs w:val="20"/>
          <w:color w:val="auto"/>
        </w:rPr>
      </w:pPr>
      <w:r>
        <w:rPr>
          <w:rFonts w:ascii="Arial" w:cs="Arial" w:eastAsia="Arial" w:hAnsi="Arial"/>
          <w:sz w:val="18"/>
          <w:szCs w:val="18"/>
          <w:color w:val="auto"/>
        </w:rPr>
        <w:t>The following table summarizes the preliminary acquisition date fair value of net tangible and intangible assets acquired, net of liabilities assumed from Idrica: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51"/>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borrowings and current maturities of long-term debt</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10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accrued liabilities</w:t>
            </w: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preliminary purchase price allocation is subject to further refinement and may require significant adjustments to arrive at the final purchase price allocation. The above fair values of assets acquired and liabilities assumed are preliminary. The fair values of the intangible assets acquired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revenue and net loss attributable to the Idrica for the year ended December 31, 2024 were not material. The $521 million of goodwill recognized, which is not deductible for U.S. income tax purposes, is primarily attributable to costs and revenue synergies and economies of scale expected from combining the operations of Idrica with Xylem.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Idrica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Useful Life (in years)</w:t>
            </w:r>
          </w:p>
        </w:tc>
        <w:tc>
          <w:tcPr>
            <w:tcW w:w="340" w:type="dxa"/>
            <w:vAlign w:val="bottom"/>
          </w:tcPr>
          <w:p>
            <w:pPr>
              <w:spacing w:after="0"/>
              <w:rPr>
                <w:sz w:val="18"/>
                <w:szCs w:val="18"/>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Fair Value</w:t>
            </w:r>
          </w:p>
        </w:tc>
      </w:tr>
      <w:tr>
        <w:trPr>
          <w:trHeight w:val="240"/>
        </w:trPr>
        <w:tc>
          <w:tcPr>
            <w:tcW w:w="7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34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(in millions)</w:t>
            </w:r>
          </w:p>
        </w:tc>
      </w:tr>
      <w:tr>
        <w:trPr>
          <w:trHeight w:val="22"/>
        </w:trPr>
        <w:tc>
          <w:tcPr>
            <w:tcW w:w="7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Backlog</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Under Construction</w:t>
            </w:r>
          </w:p>
        </w:tc>
        <w:tc>
          <w:tcPr>
            <w:tcW w:w="18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5"/>
        </w:trPr>
        <w:tc>
          <w:tcPr>
            <w:tcW w:w="75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Useful life approximates weighted average useful life.</w:t>
      </w:r>
    </w:p>
    <w:p>
      <w:pPr>
        <w:spacing w:after="0" w:line="117" w:lineRule="exact"/>
        <w:rPr>
          <w:sz w:val="20"/>
          <w:szCs w:val="20"/>
          <w:color w:val="auto"/>
        </w:rPr>
      </w:pPr>
    </w:p>
    <w:p>
      <w:pPr>
        <w:ind w:left="660" w:right="4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preliminary estimates of fair value of Idrica’s identifiable intangible assets were determined using a combination of the income and cost approaches. The fair value measurements were primarily based on significant inputs that are not observable in the market and thus, represent a Level 3 measurement of the fair value hierarchy as defined in ASC 820, Fair Value Measurements (“ASC 820”). Intangible assets consisting of the customer relationships, backlog, and trade name were valued using the multi-period excess earnings method (“MEEM”) or the relief from royalty (“RFR”) method, both of which are forms of the income approach. The intangible asset related to Idrica’s developed technology was valued using the replacement cost approach.</w:t>
      </w:r>
    </w:p>
    <w:p>
      <w:pPr>
        <w:spacing w:after="0" w:line="7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customer and backlog intangible assets were valued using the MEEM. The MEEM is an approach where the net earnings attributable to the asset being measured are isolated from other “contributory assets” over the intangible asset’s remaining economic life.</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85" w:name="page86"/>
    <w:bookmarkEnd w:id="85"/>
    <w:p>
      <w:pPr>
        <w:ind w:left="660" w:right="30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trade name intangible asset was valued using the RFR method. The RFR method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2"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developed technology intangible asset was valued using the replacement cost approach. The replacement cost approach is a valuation method that relies on estimating the replacement costs of assets based on the principle that an asset would not be purchased for a price higher than the cost to replace it with an asset of comparable utility.</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Pro forma results of operations have not been included, as the acquisition of Idrica was not material to our results of operations for any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Heusser</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December 5, 2024, we acquired all issued and outstanding shares of Heusser Water Solutions AG ("Heusser"), a leading distributor and provider of advanced pumping systems and treatment solutions in Switzerland, for $40 million ($35 million, net of cash received). Heusser, a privately-owned company headquartered in Cham, Switzerland, has approximately 90 employees. Our consolidated financial statements include Heusser's results of operations prospectively from December 5, 2024 primarily within the Water Infrastructure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Acquisitions and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Evoqua Water Technologies Corp.</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24, 2023, the Company completed the acquisition of 100% of the issued and outstanding shares of Evoqua, a leader in providing water and wastewater treatment solutions, offering a broad portfolio of products and services to support industrial, municipal, and recreational customers, pursuant to the Agreement and Plan of Merger dated January 22, 2023 (the “Merger Agreement”). The Merger Agreement provided that Fore Merger Sub, Inc., a wholly owned subsidiary of the Company, merge with and into Evoqua, with Evoqua surviving as a wholly owned subsidiary of Xylem (the “Merger”). Under the terms and conditions of the Merger Agreement, each share of Evoqua common stock issued and outstanding immediately prior to the effective time of the Merger (other than certain excluded shares as described in the Merger Agreement) was converted into the right to receive 0.48 (the “Exchange Ratio”) of a share of the common stock of Xylem. Upon the effectiveness of the Merger, legacy Evoqua stockholders owned approximately 25% and legacy Xylem shareholders owned approximately 75% of the combined company. The purchase price for purposes of the Merger consisted of an aggregate of $ 6,121 million of the Company’s common stock, $160 million in replacement equity awards, and $619 million to repay certain indebtedness of Evoqua (refer to Note 15, "Credit Facilities and Debt"). Acquisition costs for the year ended December 31, 2023 of $57 million have been recorded within Selling, general and administrative expense in our Consolidated Income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totaled $6,900 million, which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share amounts)</w:t>
            </w:r>
          </w:p>
        </w:tc>
        <w:tc>
          <w:tcPr>
            <w:tcW w:w="1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 of Purchase Consideration</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Xylem Common Stock issued to Evoqua stockholders (58,779,096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Estimated replacement equity awards</w:t>
            </w:r>
          </w:p>
        </w:tc>
        <w:tc>
          <w:tcPr>
            <w:tcW w:w="1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certain Evoqua indebtedness</w:t>
            </w:r>
          </w:p>
        </w:tc>
        <w:tc>
          <w:tcPr>
            <w:tcW w:w="14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6,900</w:t>
            </w:r>
          </w:p>
        </w:tc>
      </w:tr>
      <w:tr>
        <w:trPr>
          <w:trHeight w:val="21"/>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at their fair value as of the date of acquisition, with the excess purchase consideration recorded to goodwill. During the second quarter of 2024, the Company finalized the purchase price allocation.</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recorded measurement period adjustments as a result of refining certain assumptions that were based on facts and circumstances that existed as of the acquisition date, which did not have a material impact on our Consolidated Balance Sheets at December 31,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following table summarizes the acquisition date fair value of net tangible and intangible assets acquired, net of liabilities assumed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Evoqua: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10040" w:type="dxa"/>
            <w:vAlign w:val="bottom"/>
          </w:tcPr>
          <w:p>
            <w:pPr>
              <w:ind w:left="240"/>
              <w:spacing w:after="0"/>
              <w:rPr>
                <w:sz w:val="20"/>
                <w:szCs w:val="20"/>
                <w:color w:val="auto"/>
              </w:rPr>
            </w:pPr>
            <w:r>
              <w:rPr>
                <w:rFonts w:ascii="Arial" w:cs="Arial" w:eastAsia="Arial" w:hAnsi="Arial"/>
                <w:sz w:val="18"/>
                <w:szCs w:val="18"/>
                <w:color w:val="auto"/>
              </w:rPr>
              <w:t>Receivables (a)</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1004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04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r>
      <w:tr>
        <w:trPr>
          <w:trHeight w:val="230"/>
        </w:trPr>
        <w:tc>
          <w:tcPr>
            <w:tcW w:w="10040" w:type="dxa"/>
            <w:vAlign w:val="bottom"/>
          </w:tcPr>
          <w:p>
            <w:pPr>
              <w:ind w:left="24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29"/>
        </w:trPr>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10040" w:type="dxa"/>
            <w:vAlign w:val="bottom"/>
          </w:tcPr>
          <w:p>
            <w:pPr>
              <w:ind w:left="240"/>
              <w:spacing w:after="0"/>
              <w:rPr>
                <w:sz w:val="20"/>
                <w:szCs w:val="20"/>
                <w:color w:val="auto"/>
              </w:rPr>
            </w:pPr>
            <w:r>
              <w:rPr>
                <w:rFonts w:ascii="Arial" w:cs="Arial" w:eastAsia="Arial" w:hAnsi="Arial"/>
                <w:sz w:val="18"/>
                <w:szCs w:val="18"/>
                <w:color w:val="auto"/>
              </w:rPr>
              <w:t>Non-current assets held for sale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0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1004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maturities of long-term debt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1004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10040" w:type="dxa"/>
            <w:vAlign w:val="bottom"/>
          </w:tcPr>
          <w:p>
            <w:pPr>
              <w:ind w:left="240"/>
              <w:spacing w:after="0"/>
              <w:rPr>
                <w:sz w:val="20"/>
                <w:szCs w:val="20"/>
                <w:color w:val="auto"/>
              </w:rPr>
            </w:pPr>
            <w:r>
              <w:rPr>
                <w:rFonts w:ascii="Arial" w:cs="Arial" w:eastAsia="Arial" w:hAnsi="Arial"/>
                <w:sz w:val="18"/>
                <w:szCs w:val="18"/>
                <w:color w:val="auto"/>
              </w:rPr>
              <w:t>Other non-current accrued liabilities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10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liabilities held for sale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Including $320 million of receivables and $110 million of contract assets.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values of the assets acquired and liabilities assumed were determined using the income and cost approaches. In many cases, the determination of the fair values required estimates about discount rates, future expected cash flows and other future events that are judgmental and subject to change.</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 of receivables acquired is $320 million, with the gross contractual amount being $329 million. The Company expects $9 million to be uncollectible.</w:t>
      </w:r>
    </w:p>
    <w:p>
      <w:pPr>
        <w:spacing w:after="0" w:line="4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$4,801 million of goodwill recognized, which is not deductible for U.S. income tax purposes, is primarily attributable to synergies and economies of scale expected from combining the operations of Evoqua and Xylem, as well as the assembled workforce of Evoqua.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Evoqua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4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Useful Life (in years)</w:t>
            </w:r>
          </w:p>
        </w:tc>
        <w:tc>
          <w:tcPr>
            <w:tcW w:w="232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Useful Life Weighted</w:t>
            </w:r>
          </w:p>
        </w:tc>
        <w:tc>
          <w:tcPr>
            <w:tcW w:w="620" w:type="dxa"/>
            <w:vAlign w:val="bottom"/>
          </w:tcPr>
          <w:p>
            <w:pPr>
              <w:spacing w:after="0"/>
              <w:rPr>
                <w:sz w:val="19"/>
                <w:szCs w:val="19"/>
                <w:color w:val="auto"/>
              </w:rPr>
            </w:pPr>
          </w:p>
        </w:tc>
        <w:tc>
          <w:tcPr>
            <w:tcW w:w="2020" w:type="dxa"/>
            <w:vAlign w:val="bottom"/>
          </w:tcPr>
          <w:p>
            <w:pPr>
              <w:jc w:val="right"/>
              <w:ind w:right="73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vMerge w:val="continue"/>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2320" w:type="dxa"/>
            <w:vAlign w:val="bottom"/>
            <w:tcBorders>
              <w:bottom w:val="single" w:sz="8" w:color="auto"/>
            </w:tcBorders>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Average (in years)</w:t>
            </w:r>
          </w:p>
        </w:tc>
        <w:tc>
          <w:tcPr>
            <w:tcW w:w="6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5"/>
              </w:rPr>
              <w:t>6.0</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4 - 9</w:t>
            </w:r>
          </w:p>
        </w:tc>
        <w:tc>
          <w:tcPr>
            <w:tcW w:w="2320" w:type="dxa"/>
            <w:vAlign w:val="bottom"/>
          </w:tcPr>
          <w:p>
            <w:pPr>
              <w:jc w:val="center"/>
              <w:ind w:left="70"/>
              <w:spacing w:after="0"/>
              <w:rPr>
                <w:sz w:val="20"/>
                <w:szCs w:val="20"/>
                <w:color w:val="auto"/>
              </w:rPr>
            </w:pPr>
            <w:r>
              <w:rPr>
                <w:rFonts w:ascii="Arial" w:cs="Arial" w:eastAsia="Arial" w:hAnsi="Arial"/>
                <w:sz w:val="18"/>
                <w:szCs w:val="18"/>
                <w:color w:val="auto"/>
                <w:w w:val="95"/>
              </w:rPr>
              <w:t>7.1</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 relationships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6 - 20</w:t>
            </w:r>
          </w:p>
        </w:tc>
        <w:tc>
          <w:tcPr>
            <w:tcW w:w="2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17.9</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Backlog</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1 - 10</w:t>
            </w:r>
          </w:p>
        </w:tc>
        <w:tc>
          <w:tcPr>
            <w:tcW w:w="2320" w:type="dxa"/>
            <w:vAlign w:val="bottom"/>
          </w:tcPr>
          <w:p>
            <w:pPr>
              <w:jc w:val="center"/>
              <w:ind w:left="70"/>
              <w:spacing w:after="0"/>
              <w:rPr>
                <w:sz w:val="20"/>
                <w:szCs w:val="20"/>
                <w:color w:val="auto"/>
              </w:rPr>
            </w:pPr>
            <w:r>
              <w:rPr>
                <w:rFonts w:ascii="Arial" w:cs="Arial" w:eastAsia="Arial" w:hAnsi="Arial"/>
                <w:sz w:val="18"/>
                <w:szCs w:val="18"/>
                <w:color w:val="auto"/>
                <w:w w:val="95"/>
              </w:rPr>
              <w:t>5.4</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3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5"/>
              </w:rPr>
              <w:t>8.0</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2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1 - 13</w:t>
            </w:r>
          </w:p>
        </w:tc>
        <w:tc>
          <w:tcPr>
            <w:tcW w:w="23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5"/>
              </w:rPr>
              <w:t>2.3</w:t>
            </w: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rPr>
              <w:t>15.4</w:t>
            </w:r>
          </w:p>
        </w:tc>
        <w:tc>
          <w:tcPr>
            <w:tcW w:w="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fair value of Evoqua’s identifiable intangible assets was determined primarily using the “income approach,” which requires a forecast of all of the expected future cash flows either through the use of the MEEM method or the RFR method. The fair value measurements were primarily based on significant inputs that are not observable in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7" w:name="page88"/>
    <w:bookmarkEnd w:id="87"/>
    <w:p>
      <w:pPr>
        <w:ind w:right="80"/>
        <w:spacing w:after="0" w:line="262" w:lineRule="auto"/>
        <w:rPr>
          <w:sz w:val="20"/>
          <w:szCs w:val="20"/>
          <w:color w:val="auto"/>
        </w:rPr>
      </w:pPr>
      <w:r>
        <w:rPr>
          <w:rFonts w:ascii="Arial" w:cs="Arial" w:eastAsia="Arial" w:hAnsi="Arial"/>
          <w:sz w:val="18"/>
          <w:szCs w:val="18"/>
          <w:color w:val="auto"/>
        </w:rPr>
        <w:t>market and thus represent a Level 3 measurement of the fair value hierarchy as defined in ASC 820. Intangible assets consisting of the Evoqua tradename, technology, customer relationships, backlog, and permits were valued using the MEEM method, the RFR method, or the with and without method, which are all forms of the income approach. Intangible assets related to Evoqua software were valued using the cost approach.</w:t>
      </w:r>
    </w:p>
    <w:p>
      <w:pPr>
        <w:spacing w:after="0" w:line="6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Trademarks and proprietary technology intangible assets were valued using the RFR method as described above.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and distributor relationships and backlog intangible assets were valued using the MEEM method as described above.</w:t>
      </w:r>
    </w:p>
    <w:p>
      <w:pPr>
        <w:spacing w:after="0" w:line="117" w:lineRule="exact"/>
        <w:rPr>
          <w:rFonts w:ascii="Arial" w:cs="Arial" w:eastAsia="Arial" w:hAnsi="Arial"/>
          <w:sz w:val="18"/>
          <w:szCs w:val="18"/>
          <w:color w:val="auto"/>
        </w:rPr>
      </w:pPr>
    </w:p>
    <w:p>
      <w:pPr>
        <w:ind w:left="660" w:right="200" w:hanging="328"/>
        <w:spacing w:after="0" w:line="31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Permits intangible asset was valued using the with and without method. The with and without method of valuation is an approach that considers the hypothetical impact to the projected cash flows of the business if the intangible asset was not in place.</w:t>
      </w:r>
    </w:p>
    <w:p>
      <w:pPr>
        <w:spacing w:after="0" w:line="21"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Software intangible asset was valued using the replacement cost approach as described above.</w:t>
      </w:r>
    </w:p>
    <w:p>
      <w:pPr>
        <w:spacing w:after="0" w:line="117" w:lineRule="exact"/>
        <w:rPr>
          <w:rFonts w:ascii="Arial" w:cs="Arial" w:eastAsia="Arial" w:hAnsi="Arial"/>
          <w:sz w:val="18"/>
          <w:szCs w:val="18"/>
          <w:color w:val="auto"/>
        </w:rPr>
      </w:pPr>
    </w:p>
    <w:p>
      <w:pPr>
        <w:ind w:left="660" w:right="40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was estimated using the comparative sales method, which quantifies the fair value of inventory based on the expected sales price of the subject inventory (when complete), reduced for: (i) all costs expected to be incurred in its completion and disposition efforts and (ii) a profit on those value-added completion and disposition costs.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Merger, each outstanding and issued option, restricted stock unit (“RSU”), performance stock unit (“PSU”) and cash-settled stock appreciation right (“SAR”) was converted into the Xylem equivalent, with outstanding PSUs being converted into Xylem RSUs. As a result, Xylem issued 2 million replacement equity options and 707 thousand RSU awards (of which 330 thousand were converted PSUs.) The portion of the fair value related to pre-combination services of $160 million was included in the purchase price, and $ 56 million will be recognized over the remaining service periods. As of December 31, 2024, the future unrecognized expense related to the outstanding RSUs was approximately $2 million. The future unrecognized expense related to RSUs will be recognized over a weighted-average service period of one year. SARs and options are immaterial.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on an unaudited pro forma basis, the condensed combined results of operations of the Company for the year ended December 31, 2023 and 2022, assuming the acquisition had occurred on January 1,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1400" w:type="dxa"/>
            <w:vAlign w:val="bottom"/>
          </w:tcPr>
          <w:p>
            <w:pPr>
              <w:spacing w:after="0"/>
              <w:rPr>
                <w:sz w:val="18"/>
                <w:szCs w:val="18"/>
                <w:color w:val="auto"/>
              </w:rPr>
            </w:pPr>
          </w:p>
        </w:tc>
      </w:tr>
      <w:tr>
        <w:trPr>
          <w:trHeight w:val="243"/>
        </w:trPr>
        <w:tc>
          <w:tcPr>
            <w:tcW w:w="69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Borders>
              <w:bottom w:val="single" w:sz="8" w:color="auto"/>
            </w:tcBorders>
          </w:tcPr>
          <w:p>
            <w:pPr>
              <w:spacing w:after="0"/>
              <w:rPr>
                <w:sz w:val="21"/>
                <w:szCs w:val="2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2022</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8,146</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7,329</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foregoing unaudited pro forma results are for informational purposes only and are not necessarily indicative of the actual results of operations that might have occurred had the acquisition occurred on January 1, 2022, nor are they necessarily indicative of future results. The unaudited pro-forma information for all periods presented includes the following adjustments, where applicable, for business combination accounting effects resulting from the acquisition: (i) amortization of the fair value step up in inventory, (ii) additional amortization expense related to finite-lived intangible assets acquired, (iii) repayment of Evoqua’s term loan and revolver and the settlement of the related interest rate swap, (iv) additional interest expense related to financing for the acquisition (refer to Note 15, "Credit Facilities and Debt"), (v) depreciation expense on property, plant and equipment, (vi) additional incremental share-based compensation expense for the replacement of Evoqua’s outstanding equity awards with Xylem’s replacement equity awards, and (vii) the related tax effects assuming that the business combination occurred on January 1, 2022.</w:t>
      </w:r>
    </w:p>
    <w:p>
      <w:pPr>
        <w:spacing w:after="0" w:line="7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significant non-recurring adjustments reflected in the unaudited pro-forma consolidated information above include the reclassification of the transaction costs to the earliest period presented and the reversal of the impacts related to the settlement of the interest rate swap, each net of tax.</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Divestitures</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third quarter ended September 30, 2023, Xylem sold the former Evoqua hemodialysis concentrates business for approximately $12 million.</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On June 15, 2023, Xylem sold the former Evoqua carbon reactivation and slurry operations to Desotec US LLC, a subsidiary of Desotec N.V., for approximately $91 million, a price equal to the fair value less costs to sell the business.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quarter ended December 31, 2024, the Company committed to a plan to sell the former Evoqua Magneto business, a part of the Water Infrastructure segment, within one year. The Magneto business focuses on development and manufacture of anodes for the electrochemical industry and refurbishment of electro chlorination cells for seawater electrolysis, with locations in Schiedam, the Netherlands and Suzhou, China.</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a result, assets and liabilities of the business were reclassified as held for sale as of December 31, 2024, and loss on assets held for sale of $40 million was recorded during the year ended December 31, 2024, because the carrying value of the magneto business is greater than its estimated fair value less cost to sell. The loss is presented within "(Loss) Gain on sale of businesses" on our Consolidated Income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7"/>
                <w:szCs w:val="17"/>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4"/>
                <w:szCs w:val="14"/>
                <w:color w:val="auto"/>
              </w:rPr>
              <w:t>(in millions)</w:t>
            </w:r>
          </w:p>
        </w:tc>
        <w:tc>
          <w:tcPr>
            <w:tcW w:w="3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320" w:type="dxa"/>
            <w:vAlign w:val="bottom"/>
          </w:tcPr>
          <w:p>
            <w:pPr>
              <w:jc w:val="right"/>
              <w:ind w:right="928"/>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8,273</w:t>
            </w:r>
          </w:p>
        </w:tc>
        <w:tc>
          <w:tcPr>
            <w:tcW w:w="60" w:type="dxa"/>
            <w:vAlign w:val="bottom"/>
            <w:tcBorders>
              <w:top w:val="single" w:sz="8" w:color="auto"/>
            </w:tcBorders>
            <w:gridSpan w:val="2"/>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Revenue</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w w:val="99"/>
              </w:rPr>
              <w:t>The following table reflects revenue from contracts with customers by application:</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6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120" w:type="dxa"/>
            <w:vAlign w:val="bottom"/>
            <w:gridSpan w:val="10"/>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Transport</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1,496</w:t>
            </w:r>
          </w:p>
        </w:tc>
        <w:tc>
          <w:tcPr>
            <w:tcW w:w="50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Treatment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Building Solutions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Industrial 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Smart Metering and Other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Analytics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Capital and Other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1,081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gridSpan w:val="2"/>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gridSpan w:val="2"/>
          </w:tcPr>
          <w:p>
            <w:pPr>
              <w:spacing w:after="0"/>
              <w:rPr>
                <w:sz w:val="23"/>
                <w:szCs w:val="23"/>
                <w:color w:val="auto"/>
              </w:rPr>
            </w:pPr>
          </w:p>
        </w:tc>
        <w:tc>
          <w:tcPr>
            <w:tcW w:w="380" w:type="dxa"/>
            <w:vAlign w:val="bottom"/>
            <w:tcBorders>
              <w:bottom w:val="single" w:sz="8" w:color="auto"/>
            </w:tcBorders>
            <w:gridSpan w:val="2"/>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8,273</w:t>
            </w: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type w:val="continuous"/>
        </w:sectPr>
      </w:pPr>
    </w:p>
    <w:bookmarkStart w:id="89" w:name="page90"/>
    <w:bookmarkEnd w:id="89"/>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100" w:type="dxa"/>
            <w:vAlign w:val="bottom"/>
            <w:gridSpan w:val="6"/>
            <w:shd w:val="clear" w:color="auto" w:fill="CCEEFF"/>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shd w:val="clear" w:color="auto" w:fill="CCEEFF"/>
          </w:tcPr>
          <w:p>
            <w:pPr>
              <w:spacing w:after="0"/>
              <w:rPr>
                <w:sz w:val="17"/>
                <w:szCs w:val="17"/>
                <w:color w:val="auto"/>
              </w:rPr>
            </w:pPr>
          </w:p>
        </w:tc>
      </w:tr>
      <w:tr>
        <w:trPr>
          <w:trHeight w:val="201"/>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1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891</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64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right="720" w:hanging="328"/>
        <w:spacing w:after="0" w:line="286"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Contract Balances</w:t>
      </w:r>
    </w:p>
    <w:p>
      <w:pPr>
        <w:spacing w:after="0" w:line="1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Contract Assets (a)</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Contract Liabilities (b)</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1/1/2023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Opening balance from the acquisition of Evoqua</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107</w:t>
            </w:r>
          </w:p>
        </w:tc>
      </w:tr>
      <w:tr>
        <w:trPr>
          <w:trHeight w:val="230"/>
        </w:trPr>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1/1/2024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265</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40"/>
        </w:trPr>
        <w:tc>
          <w:tcPr>
            <w:tcW w:w="7240" w:type="dxa"/>
            <w:vAlign w:val="bottom"/>
          </w:tcPr>
          <w:p>
            <w:pPr>
              <w:ind w:left="20"/>
              <w:spacing w:after="0"/>
              <w:rPr>
                <w:sz w:val="20"/>
                <w:szCs w:val="20"/>
                <w:color w:val="auto"/>
              </w:rPr>
            </w:pPr>
            <w:r>
              <w:rPr>
                <w:rFonts w:ascii="Arial" w:cs="Arial" w:eastAsia="Arial" w:hAnsi="Arial"/>
                <w:sz w:val="18"/>
                <w:szCs w:val="18"/>
                <w:color w:val="auto"/>
              </w:rPr>
              <w:t>Balance at 12/31/2024</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322</w:t>
            </w:r>
          </w:p>
        </w:tc>
      </w:tr>
    </w:tbl>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 assets are included in either receivables or other non-current assets on the Consolidated Balance Sheets.</w:t>
      </w:r>
    </w:p>
    <w:p>
      <w:pPr>
        <w:spacing w:after="0" w:line="3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 liabilities are included in either accrued and other current liabilities or other non-current liabilities on the Consolidated Balance Sheets.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December 31, 2024, the aggregate amount of the transaction price allocated to performance obligations that are unsatisfied or partially unsatisfied for contracts with performance obligations, amount to $1,709 million, of which $1,170 million was obtained through the Evoqua acquisition. We expect to recognize 81% of revenue upon the completion of satisfying these performance obligations in the following 60 months and the balance thereafter. The Company elects to apply the practical expedient to exclude from this disclosure revenue related to performance obligations that are part of a contract whose original expected duration is less than one year.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During 2024, we incurred restructuring costs of $55 million. We incurred these charges primarily related to actions taken to further streamline our organization in order to strengthen our competitive positioning and the ability to better serve our customers. The charges were incurred across all of our segments.</w:t>
      </w:r>
    </w:p>
    <w:p>
      <w:pPr>
        <w:spacing w:after="0" w:line="6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During 2023, we incurred restructuring costs of $ 72 million. We incurred these charges primarily as a result of our acquisition of Evoqua. Approximately $27 million of the charges related to share-based compensation expense due to acceleration clauses in Evoqua's equity compensation agreements. Approximately $15 million of the charges represented the reduction of headcount related to the integration of Evoqua. Additionally, during 2023 we incurred $30 million of charges related to our efforts to reposition our businesses to optimize our cost structure, improve our operational efficiency and effectiveness, strengthen our competitive positioning and better serve our customers. The charges were incurred across all of our segments.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91" w:name="page92"/>
    <w:bookmarkEnd w:id="91"/>
    <w:p>
      <w:pPr>
        <w:ind w:right="280"/>
        <w:spacing w:after="0" w:line="279" w:lineRule="auto"/>
        <w:rPr>
          <w:sz w:val="20"/>
          <w:szCs w:val="20"/>
          <w:color w:val="auto"/>
        </w:rPr>
      </w:pPr>
      <w:r>
        <w:rPr>
          <w:rFonts w:ascii="Arial" w:cs="Arial" w:eastAsia="Arial" w:hAnsi="Arial"/>
          <w:sz w:val="18"/>
          <w:szCs w:val="18"/>
          <w:color w:val="auto"/>
        </w:rPr>
        <w:t>The following table presents the components of restructuring expense and asset impairment charges incurred during each of the previous three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r>
      <w:tr>
        <w:trPr>
          <w:trHeight w:val="212"/>
        </w:trPr>
        <w:tc>
          <w:tcPr>
            <w:tcW w:w="6700" w:type="dxa"/>
            <w:vAlign w:val="bottom"/>
          </w:tcPr>
          <w:p>
            <w:pPr>
              <w:ind w:left="20"/>
              <w:spacing w:after="0"/>
              <w:rPr>
                <w:sz w:val="20"/>
                <w:szCs w:val="20"/>
                <w:color w:val="auto"/>
              </w:rPr>
            </w:pPr>
            <w:r>
              <w:rPr>
                <w:rFonts w:ascii="Arial" w:cs="Arial" w:eastAsia="Arial" w:hAnsi="Arial"/>
                <w:sz w:val="18"/>
                <w:szCs w:val="18"/>
                <w:color w:val="auto"/>
              </w:rPr>
              <w:t>By component: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 and other charges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Reversal of restructuring accruals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costs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displays a roll-forward of the restructuring accruals, presented on our Consolidated Balance Sheets within "accrued and other current liabilities" and "other non-current accrued liabilities," for the years ended December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2023</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 included within AOCL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660" w:right="220" w:hanging="328"/>
        <w:spacing w:after="0" w:line="304" w:lineRule="auto"/>
        <w:tabs>
          <w:tab w:leader="none" w:pos="714"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2" w:name="page93"/>
    <w:bookmarkEnd w:id="92"/>
    <w:p>
      <w:pPr>
        <w:ind w:right="180"/>
        <w:spacing w:after="0" w:line="271"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2024, 2023 and 2022 restructuring actions: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w:t>
            </w:r>
          </w:p>
        </w:tc>
        <w:tc>
          <w:tcPr>
            <w:tcW w:w="132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Water Solutions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2"/>
                <w:szCs w:val="12"/>
                <w:color w:val="auto"/>
              </w:rPr>
            </w:pPr>
          </w:p>
        </w:tc>
        <w:tc>
          <w:tcPr>
            <w:tcW w:w="12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rPr>
              <w:t>and Control</w:t>
            </w:r>
          </w:p>
        </w:tc>
        <w:tc>
          <w:tcPr>
            <w:tcW w:w="1320" w:type="dxa"/>
            <w:vAlign w:val="bottom"/>
            <w:gridSpan w:val="3"/>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2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Solutions</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and Services</w:t>
            </w:r>
          </w:p>
        </w:tc>
        <w:tc>
          <w:tcPr>
            <w:tcW w:w="2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2024:</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2024</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2024</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2022</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2024</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actions commenced in 2024 consist primarily of severance and asset impairment charges. The actions within the Applied Water and Water Solutions and Services segments are expected to continue through the end of 2025.</w:t>
      </w:r>
    </w:p>
    <w:p>
      <w:pPr>
        <w:spacing w:after="0" w:line="15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During the third quarter of 2024, we recognized $3 million in fixed asset impairment charges due to restructuring actions within our Water Solutions and Services segment.</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Through the second quarter of 2024, we recognized $16 million in impairment charges primarily related to customer relationships and trademarks due to restructuring actions within our Water Solutions and Services segment. Refer to Note 12, "Goodwill and Other Intangible Assets," for additional information.</w:t>
      </w:r>
    </w:p>
    <w:p>
      <w:pPr>
        <w:spacing w:after="0" w:line="1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actions commenced in 2023 consist primarily of severance charges. The actions within Water Infrastructure are expected to continue through the end of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actions commenced in 2022 consist primarily of severance charges. The actions commenced in 2022 are complete.</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2022, we also incurred charges of $1 million within the Measurement and Control Solutions segment, related to actions commenced prior to 2020.</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fourth quarter of 2024, we recognized an impairment charge of $6 million related to certain leases and leasehold improvements within our Measurement and Control Solutions and Water Infrastructure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and fourth quarters of 2023, we determined that internally developed in-process software within our Measurement and Control Solutions segment was impaired as a result of actions taken to prioritize strategic investments and we therefore recognized an impairment charge of $2 million and $1 million, respectively.</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third quarter of 2023, we recognized a $1 million impairment charge for certain fixed assets within our Measurement and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ind w:right="280"/>
        <w:spacing w:after="0" w:line="287" w:lineRule="auto"/>
        <w:rPr>
          <w:sz w:val="20"/>
          <w:szCs w:val="20"/>
          <w:color w:val="auto"/>
        </w:rPr>
      </w:pPr>
      <w:r>
        <w:rPr>
          <w:rFonts w:ascii="Arial" w:cs="Arial" w:eastAsia="Arial" w:hAnsi="Arial"/>
          <w:sz w:val="18"/>
          <w:szCs w:val="18"/>
          <w:color w:val="auto"/>
        </w:rPr>
        <w:t>During the third quarter of 2022, we determined that certain assets including software and customer relationships within our Measurement and Control Solutions segment were impaired. Accordingly, we recognized an impairment charge of $14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12,"Goodwill and Other Intangible Assets," for additional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Non-Operating Income,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non-operating income, net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8"/>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Expense from equity method investments</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 net</w:t>
            </w: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Total other non-operating income, net</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Note 7. Income Taxes</w:t>
            </w: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6"/>
        </w:trPr>
        <w:tc>
          <w:tcPr>
            <w:tcW w:w="45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780" w:type="dxa"/>
            <w:vAlign w:val="bottom"/>
            <w:gridSpan w:val="5"/>
          </w:tcPr>
          <w:p>
            <w:pPr>
              <w:spacing w:after="0"/>
              <w:rPr>
                <w:sz w:val="20"/>
                <w:szCs w:val="20"/>
                <w:color w:val="auto"/>
              </w:rPr>
            </w:pPr>
            <w:r>
              <w:rPr>
                <w:rFonts w:ascii="Arial" w:cs="Arial" w:eastAsia="Arial" w:hAnsi="Arial"/>
                <w:sz w:val="18"/>
                <w:szCs w:val="18"/>
                <w:color w:val="auto"/>
              </w:rPr>
              <w:t>The source of pre-tax income and the components of income tax expense are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Arial" w:cs="Arial" w:eastAsia="Arial" w:hAnsi="Arial"/>
                <w:sz w:val="18"/>
                <w:szCs w:val="18"/>
                <w:color w:val="auto"/>
              </w:rPr>
              <w:t>Income components: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w:t>
            </w:r>
          </w:p>
        </w:tc>
        <w:tc>
          <w:tcPr>
            <w:tcW w:w="2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471</w:t>
            </w:r>
          </w:p>
        </w:tc>
        <w:tc>
          <w:tcPr>
            <w:tcW w:w="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616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1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1,087</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 (income) components:</w:t>
            </w:r>
          </w:p>
        </w:tc>
        <w:tc>
          <w:tcPr>
            <w:tcW w:w="1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0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Domestic – federal</w:t>
            </w:r>
          </w:p>
        </w:tc>
        <w:tc>
          <w:tcPr>
            <w:tcW w:w="2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108</w:t>
            </w:r>
          </w:p>
        </w:tc>
        <w:tc>
          <w:tcPr>
            <w:tcW w:w="4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state and local</w:t>
            </w: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8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federal</w:t>
            </w:r>
          </w:p>
        </w:tc>
        <w:tc>
          <w:tcPr>
            <w:tcW w:w="2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4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Domestic – state and local</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8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1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18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8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18.1 %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60" w:type="dxa"/>
            <w:vAlign w:val="bottom"/>
            <w:vMerge w:val="restart"/>
          </w:tcPr>
          <w:p>
            <w:pPr>
              <w:jc w:val="right"/>
              <w:ind w:right="552"/>
              <w:spacing w:after="0"/>
              <w:rPr>
                <w:sz w:val="20"/>
                <w:szCs w:val="20"/>
                <w:color w:val="auto"/>
              </w:rPr>
            </w:pPr>
            <w:r>
              <w:rPr>
                <w:rFonts w:ascii="Arial" w:cs="Arial" w:eastAsia="Arial" w:hAnsi="Arial"/>
                <w:sz w:val="16"/>
                <w:szCs w:val="16"/>
                <w:color w:val="auto"/>
              </w:rPr>
              <w:t>94</w:t>
            </w: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4"/>
        </w:trPr>
        <w:tc>
          <w:tcPr>
            <w:tcW w:w="45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4" w:name="page95"/>
    <w:bookmarkEnd w:id="94"/>
    <w:p>
      <w:pPr>
        <w:ind w:right="20"/>
        <w:spacing w:after="0" w:line="287" w:lineRule="auto"/>
        <w:rPr>
          <w:sz w:val="20"/>
          <w:szCs w:val="20"/>
          <w:color w:val="auto"/>
        </w:rPr>
      </w:pPr>
      <w:r>
        <w:rPr>
          <w:rFonts w:ascii="Arial" w:cs="Arial" w:eastAsia="Arial" w:hAnsi="Arial"/>
          <w:sz w:val="18"/>
          <w:szCs w:val="18"/>
          <w:color w:val="auto"/>
        </w:rPr>
        <w:t>Reconciliations between taxes at the U.S. federal income tax rate and taxes at our effective income tax rate on earnings before income taxes are as follows:</w:t>
      </w:r>
    </w:p>
    <w:p>
      <w:pPr>
        <w:spacing w:after="0" w:line="19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2023</w:t>
            </w: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color w:val="auto"/>
              </w:rPr>
              <w:t>2022</w:t>
            </w:r>
          </w:p>
        </w:tc>
      </w:tr>
      <w:tr>
        <w:trPr>
          <w:trHeight w:val="225"/>
        </w:trPr>
        <w:tc>
          <w:tcPr>
            <w:tcW w:w="6380" w:type="dxa"/>
            <w:vAlign w:val="bottom"/>
          </w:tcPr>
          <w:p>
            <w:pPr>
              <w:ind w:left="20"/>
              <w:spacing w:after="0"/>
              <w:rPr>
                <w:sz w:val="20"/>
                <w:szCs w:val="20"/>
                <w:color w:val="auto"/>
              </w:rPr>
            </w:pPr>
            <w:r>
              <w:rPr>
                <w:rFonts w:ascii="Arial" w:cs="Arial" w:eastAsia="Arial" w:hAnsi="Arial"/>
                <w:sz w:val="18"/>
                <w:szCs w:val="18"/>
                <w:color w:val="auto"/>
              </w:rPr>
              <w:t>Tax provision at U.S. statutory rate</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21.0 %</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tax rate resulting from:</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State income taxes</w:t>
            </w:r>
          </w:p>
        </w:tc>
        <w:tc>
          <w:tcPr>
            <w:tcW w:w="600" w:type="dxa"/>
            <w:vAlign w:val="bottom"/>
          </w:tcPr>
          <w:p>
            <w:pPr>
              <w:jc w:val="right"/>
              <w:ind w:right="151"/>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1.2</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Uncertain tax positions</w:t>
            </w:r>
          </w:p>
        </w:tc>
        <w:tc>
          <w:tcPr>
            <w:tcW w:w="164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Net interest deductions</w:t>
            </w:r>
          </w:p>
        </w:tc>
        <w:tc>
          <w:tcPr>
            <w:tcW w:w="1640" w:type="dxa"/>
            <w:vAlign w:val="bottom"/>
            <w:gridSpan w:val="3"/>
          </w:tcPr>
          <w:p>
            <w:pPr>
              <w:jc w:val="right"/>
              <w:ind w:right="1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(1.8)</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tax on foreign earnings</w:t>
            </w:r>
          </w:p>
        </w:tc>
        <w:tc>
          <w:tcPr>
            <w:tcW w:w="6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Tax incentives</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(4.4)</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6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Gain on remeasurement of previously held equity interest</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change</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r>
      <w:tr>
        <w:trPr>
          <w:trHeight w:val="230"/>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Federal R&amp;D tax credit</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(0.7)</w:t>
            </w:r>
          </w:p>
        </w:tc>
      </w:tr>
      <w:tr>
        <w:trPr>
          <w:trHeight w:val="229"/>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U.S. foreign derived intangible income tax benefit</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(1.3)</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on distribution of foreign earnings</w:t>
            </w:r>
          </w:p>
        </w:tc>
        <w:tc>
          <w:tcPr>
            <w:tcW w:w="6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Non-deductible compensation</w:t>
            </w:r>
          </w:p>
        </w:tc>
        <w:tc>
          <w:tcPr>
            <w:tcW w:w="600" w:type="dxa"/>
            <w:vAlign w:val="bottom"/>
          </w:tcPr>
          <w:p>
            <w:pPr>
              <w:jc w:val="right"/>
              <w:ind w:right="151"/>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0.7</w:t>
            </w:r>
          </w:p>
        </w:tc>
      </w:tr>
      <w:tr>
        <w:trPr>
          <w:trHeight w:val="230"/>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tax credits</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gridSpan w:val="2"/>
          </w:tcPr>
          <w:p>
            <w:pPr>
              <w:ind w:left="140"/>
              <w:spacing w:after="0"/>
              <w:rPr>
                <w:sz w:val="20"/>
                <w:szCs w:val="20"/>
                <w:color w:val="auto"/>
              </w:rPr>
            </w:pPr>
            <w:r>
              <w:rPr>
                <w:rFonts w:ascii="Arial" w:cs="Arial" w:eastAsia="Arial" w:hAnsi="Arial"/>
                <w:sz w:val="18"/>
                <w:szCs w:val="18"/>
                <w:color w:val="auto"/>
              </w:rPr>
              <w:t>Other – net</w:t>
            </w:r>
          </w:p>
        </w:tc>
        <w:tc>
          <w:tcPr>
            <w:tcW w:w="600" w:type="dxa"/>
            <w:vAlign w:val="bottom"/>
          </w:tcPr>
          <w:p>
            <w:pPr>
              <w:jc w:val="right"/>
              <w:ind w:right="91"/>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48"/>
        </w:trPr>
        <w:tc>
          <w:tcPr>
            <w:tcW w:w="6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The following is a summary of the components of the net deferred tax assets and liabilities recognized in the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R&amp;D capitalization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Investment in foreign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Management assesses all available positive and negative evidence, including prudent and feasible tax planning strategies, and estimates if sufficient future taxable income will be generated to realize existing deferred tax assets. On the basis of this evaluation, as of December 31, 2024, a valuation allowance of $189 million has been established to reduce the deferred income tax asset related to certain U.S. and foreign net operating losses and U.S. and foreign capital loss carryforwards.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valuation allowance on deferred tax assets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Change in assessment (a)</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 (b)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720" w:hanging="388"/>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valuation allowance in 2023 is primarily attributable to changes in realization on deferred tax assets in various foreign jurisdictions.</w:t>
      </w:r>
    </w:p>
    <w:p>
      <w:pPr>
        <w:spacing w:after="0" w:line="113" w:lineRule="exact"/>
        <w:rPr>
          <w:rFonts w:ascii="Arial" w:cs="Arial" w:eastAsia="Arial" w:hAnsi="Arial"/>
          <w:sz w:val="16"/>
          <w:szCs w:val="16"/>
          <w:color w:val="auto"/>
        </w:rPr>
      </w:pPr>
    </w:p>
    <w:p>
      <w:pPr>
        <w:ind w:left="580" w:hanging="248"/>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in valuation allowance in 2024 is primarily attributed to foreign exchange movement impacting foreign balances.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Deferred taxes are classified in the Consolidated Balance Sheets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2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(497)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(557)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Tax attributes available to reduce future taxable income begin to expire as follows:</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4"/>
                <w:szCs w:val="24"/>
                <w:color w:val="auto"/>
              </w:rPr>
            </w:pPr>
          </w:p>
        </w:tc>
        <w:tc>
          <w:tcPr>
            <w:tcW w:w="20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 2024</w:t>
            </w:r>
          </w:p>
        </w:tc>
        <w:tc>
          <w:tcPr>
            <w:tcW w:w="2180" w:type="dxa"/>
            <w:vAlign w:val="bottom"/>
            <w:gridSpan w:val="4"/>
          </w:tcPr>
          <w:p>
            <w:pPr>
              <w:ind w:left="180"/>
              <w:spacing w:after="0"/>
              <w:rPr>
                <w:sz w:val="20"/>
                <w:szCs w:val="20"/>
                <w:color w:val="auto"/>
              </w:rPr>
            </w:pPr>
            <w:r>
              <w:rPr>
                <w:rFonts w:ascii="Arial" w:cs="Arial" w:eastAsia="Arial" w:hAnsi="Arial"/>
                <w:sz w:val="14"/>
                <w:szCs w:val="14"/>
                <w:b w:val="1"/>
                <w:bCs w:val="1"/>
                <w:color w:val="auto"/>
              </w:rPr>
              <w:t>First Year of Expiration</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net operating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18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State net operating loss</w:t>
            </w: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tcPr>
          <w:p>
            <w:pPr>
              <w:ind w:left="180"/>
              <w:spacing w:after="0"/>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tax credits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December 31, 2032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State excess interest expense</w:t>
            </w: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250"/>
              <w:spacing w:after="0"/>
              <w:rPr>
                <w:sz w:val="20"/>
                <w:szCs w:val="20"/>
                <w:color w:val="auto"/>
              </w:rPr>
            </w:pPr>
            <w:r>
              <w:rPr>
                <w:rFonts w:ascii="Arial" w:cs="Arial" w:eastAsia="Arial" w:hAnsi="Arial"/>
                <w:sz w:val="18"/>
                <w:szCs w:val="18"/>
                <w:color w:val="auto"/>
              </w:rPr>
              <w:t>Indefinite</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net operating loss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22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ind w:left="180"/>
              <w:spacing w:after="0"/>
              <w:rPr>
                <w:sz w:val="20"/>
                <w:szCs w:val="20"/>
                <w:color w:val="auto"/>
              </w:rPr>
            </w:pPr>
            <w:r>
              <w:rPr>
                <w:rFonts w:ascii="Arial" w:cs="Arial" w:eastAsia="Arial" w:hAnsi="Arial"/>
                <w:sz w:val="18"/>
                <w:szCs w:val="18"/>
                <w:color w:val="auto"/>
              </w:rPr>
              <w:t>December 31, 2030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As of December 31, 2024, the Company has provided a deferred tax liability of $6 million for net foreign withholding taxes on $451 million of foreign earnings expected to be repatriated to the U.S. parent as deemed necessary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upon the completion of the litigation process, based on the technical merits of the position. The tax benefits recognized in the consolidated financial statements from such positions are measured based on the largest benefit that has a greater than 50% likelihood of being realized upon ultimate resolution.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Gross Increases - Current year tax positions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Increases - Prior year tax positions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Gross Decreases - Prior year tax positions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of Statute of Limitations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unrecognized tax benefits at December 31, 2024 is $37 million, which, if ultimately recognized, will reduce our effective tax rate. Changes in tax laws, regulations, administrative practices, principles, and interpretations may impact our unrecognized tax benefits. The timing of the resolution of income tax controversies is highly uncertain, and the amounts ultimately paid, if any, upon resolution of the issues raised by the taxing authorities may differ from the amounts accrued. It is reasonably possible that within the next twelve months we will receive additional assessments by various tax authorities or possibly reach resolution of income tax controversies in one or more jurisdictions. These assessments or settlements could result in changes to our unrecognized tax benefits related to positions on prior years’ tax filings. The actual amount of any change could vary significantly depending on the ultimate timing and nature of any settlements. We cannot currently provide an estimate of the range of possible outcomes.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classify interest relating to unrecognized tax benefits as a component of other non-operating (expense) income, net and tax penalties as a component of income tax expense in our Consolidated Income Statements. The amount of accrued interest relating to unrecognized tax benefits as of December 31, 2024 and 2023 was $7 million and $5 million,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97" w:name="page98"/>
    <w:bookmarkEnd w:id="97"/>
    <w:p>
      <w:pPr>
        <w:ind w:right="20"/>
        <w:spacing w:after="0" w:line="253" w:lineRule="auto"/>
        <w:rPr>
          <w:sz w:val="20"/>
          <w:szCs w:val="20"/>
          <w:color w:val="auto"/>
        </w:rPr>
      </w:pPr>
      <w:r>
        <w:rPr>
          <w:rFonts w:ascii="Arial" w:cs="Arial" w:eastAsia="Arial" w:hAnsi="Arial"/>
          <w:sz w:val="18"/>
          <w:szCs w:val="18"/>
          <w:color w:val="auto"/>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$76 million USD),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June 2024, the STA filed a notice of appeal of this decision to the Supreme Administrative Court (the “Court”). The parties await the Court’s decision as to whether it will hear the STA’s appeal, and the trial court has stayed the proceeding on the issue on remand until the Court's decision.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December 31, 2024, we have not recorded any unrecognized tax benefits related to this uncertain tax position.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earliest open tax years by major jurisdiction: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6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Earliest Open Year</w:t>
            </w:r>
          </w:p>
        </w:tc>
      </w:tr>
      <w:tr>
        <w:trPr>
          <w:trHeight w:val="224"/>
        </w:trPr>
        <w:tc>
          <w:tcPr>
            <w:tcW w:w="8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2020</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Sweden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2013</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2016</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2016</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8.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EPS: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Net income (in millions)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4"/>
        </w:trPr>
        <w:tc>
          <w:tcPr>
            <w:tcW w:w="666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(in thousands):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242,557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180,189</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Participating securities (a)</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242,583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180,217</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incremental shares from assumed conversions: (b)</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Dilutive effect of stock options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180,979</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right="640" w:hanging="328"/>
        <w:spacing w:after="0" w:line="304"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shareholders are considered participating securities for purposes of computing EPS.</w:t>
      </w:r>
    </w:p>
    <w:p>
      <w:pPr>
        <w:spacing w:after="0" w:line="33" w:lineRule="exact"/>
        <w:rPr>
          <w:rFonts w:ascii="Arial" w:cs="Arial" w:eastAsia="Arial" w:hAnsi="Arial"/>
          <w:sz w:val="16"/>
          <w:szCs w:val="16"/>
          <w:color w:val="auto"/>
        </w:rPr>
      </w:pPr>
    </w:p>
    <w:p>
      <w:pPr>
        <w:ind w:left="660" w:right="100" w:hanging="328"/>
        <w:spacing w:after="0" w:line="259"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are included in the treasury stock calculation of diluted earnings per share based upon achievement of underlying performance and market conditions at the end of the reporting period, as applicable. See Note 17, "Share-Based Compensation Plans" for further detail on the performance share units.</w:t>
      </w: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tcBorders>
              <w:bottom w:val="single" w:sz="8" w:color="auto"/>
            </w:tcBorders>
          </w:tcPr>
          <w:p>
            <w:pPr>
              <w:spacing w:after="0"/>
              <w:rPr>
                <w:sz w:val="17"/>
                <w:szCs w:val="17"/>
                <w:color w:val="auto"/>
              </w:rPr>
            </w:pPr>
          </w:p>
        </w:tc>
      </w:tr>
      <w:tr>
        <w:trPr>
          <w:trHeight w:val="197"/>
        </w:trPr>
        <w:tc>
          <w:tcPr>
            <w:tcW w:w="5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tcPr>
          <w:p>
            <w:pPr>
              <w:jc w:val="right"/>
              <w:ind w:right="641"/>
              <w:spacing w:after="0"/>
              <w:rPr>
                <w:sz w:val="20"/>
                <w:szCs w:val="20"/>
                <w:color w:val="auto"/>
              </w:rPr>
            </w:pPr>
            <w:r>
              <w:rPr>
                <w:rFonts w:ascii="Arial" w:cs="Arial" w:eastAsia="Arial" w:hAnsi="Arial"/>
                <w:sz w:val="14"/>
                <w:szCs w:val="14"/>
                <w:b w:val="1"/>
                <w:bCs w:val="1"/>
                <w:color w:val="auto"/>
              </w:rPr>
              <w:t>2024</w:t>
            </w:r>
          </w:p>
        </w:tc>
        <w:tc>
          <w:tcPr>
            <w:tcW w:w="1860" w:type="dxa"/>
            <w:vAlign w:val="bottom"/>
            <w:gridSpan w:val="2"/>
          </w:tcPr>
          <w:p>
            <w:pPr>
              <w:jc w:val="right"/>
              <w:ind w:right="63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580" w:type="dxa"/>
            <w:vAlign w:val="bottom"/>
          </w:tcPr>
          <w:p>
            <w:pPr>
              <w:jc w:val="right"/>
              <w:ind w:right="561"/>
              <w:spacing w:after="0"/>
              <w:rPr>
                <w:sz w:val="20"/>
                <w:szCs w:val="20"/>
                <w:color w:val="auto"/>
              </w:rPr>
            </w:pPr>
            <w:r>
              <w:rPr>
                <w:rFonts w:ascii="Arial" w:cs="Arial" w:eastAsia="Arial" w:hAnsi="Arial"/>
                <w:sz w:val="14"/>
                <w:szCs w:val="14"/>
                <w:color w:val="auto"/>
              </w:rPr>
              <w:t>2022</w:t>
            </w: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951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1,453</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760" w:type="dxa"/>
            <w:vAlign w:val="bottom"/>
          </w:tcPr>
          <w:p>
            <w:pPr>
              <w:jc w:val="right"/>
              <w:ind w:right="1"/>
              <w:spacing w:after="0"/>
              <w:rPr>
                <w:sz w:val="20"/>
                <w:szCs w:val="20"/>
                <w:color w:val="auto"/>
              </w:rPr>
            </w:pPr>
            <w:r>
              <w:rPr>
                <w:rFonts w:ascii="Arial" w:cs="Arial" w:eastAsia="Arial" w:hAnsi="Arial"/>
                <w:sz w:val="16"/>
                <w:szCs w:val="16"/>
                <w:b w:val="1"/>
                <w:bCs w:val="1"/>
                <w:color w:val="auto"/>
              </w:rPr>
              <w:t>404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353</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1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inventories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2023</w:t>
            </w:r>
          </w:p>
        </w:tc>
      </w:tr>
      <w:tr>
        <w:trPr>
          <w:trHeight w:val="225"/>
        </w:trPr>
        <w:tc>
          <w:tcPr>
            <w:tcW w:w="882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8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property, plant and equipment, net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25"/>
        </w:trPr>
        <w:tc>
          <w:tcPr>
            <w:tcW w:w="8220" w:type="dxa"/>
            <w:vAlign w:val="bottom"/>
          </w:tcPr>
          <w:p>
            <w:pPr>
              <w:ind w:left="140"/>
              <w:spacing w:after="0"/>
              <w:rPr>
                <w:sz w:val="20"/>
                <w:szCs w:val="20"/>
                <w:color w:val="auto"/>
              </w:rPr>
            </w:pPr>
            <w:r>
              <w:rPr>
                <w:rFonts w:ascii="Arial" w:cs="Arial" w:eastAsia="Arial" w:hAnsi="Arial"/>
                <w:sz w:val="18"/>
                <w:szCs w:val="18"/>
                <w:color w:val="auto"/>
              </w:rPr>
              <w:t>Land, buildings and improvements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Equipment held for lease or rental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Depreciation expense related to property, plant and equipment was $230 million, $177 million, and $111 million for 2024, 2023, and 2022,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lease certain offices, manufacturing buildings, transportation equipment, machinery, computers and other equipment. Our most significant lease liabilities relate to real estate leases. These leases include renewal, termination or purchase options, and we have assessed these to determine whether it is reasonably certain for us to exercise any of the previously mentioned options. All periods relating to options that are reasonably certain to be exercised have been included in the lease term of the respective leases.</w:t>
      </w:r>
    </w:p>
    <w:p>
      <w:pPr>
        <w:spacing w:after="0" w:line="13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did not identify any events or conditions during the 12-month period ended December 31, 2024 to indicate that a reassessment or re-measurement of our existing leases was required. Accordingly, we recognized a ROU asset impairment of approximately $ 5 million for the 12-month period ended December 31, 2024 as a result of strategic decisions to close certain locations and to impair office locations that were no longer being used as intended or weren't able to be subleased.</w:t>
      </w:r>
    </w:p>
    <w:p>
      <w:pPr>
        <w:spacing w:after="0" w:line="14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current operating lease liabilities of $82 million and $84 million are included in "accrued and other current liabilities" as of December 31, 2024 and 2023, respectively. Our non-current operating lease liabilities of $242 million and $ 272 million are included in "Other non-current accrued liabilities" as of December 31, 2024 and 2023, respectively. Our net operating lease ROU asset balances of $309 million and $348 million are included in "other non-current assets" as of December 31, 2024 and 2023, respectively.</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current finance lease liabilities of $27 million and $22 million are included in accrued and other current liabilities as of December 31, 2024 and 2023, respectively. Our non-current finance lease liabilities of $76 million and $64 million are included in "other non-current accrued liabilities" as of December 31, 2024 and 2023, respectively. Our net finance lease ROU asset balances of $97 million and $85 million are included in "other non-current assets"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ROU assets</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The supplemental cash flow information related to leases are as follows:</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6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Information relating to the lease term and discount rate are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5 Years</w:t>
            </w:r>
          </w:p>
        </w:tc>
        <w:tc>
          <w:tcPr>
            <w:tcW w:w="320" w:type="dxa"/>
            <w:vAlign w:val="bottom"/>
          </w:tcPr>
          <w:p>
            <w:pPr>
              <w:spacing w:after="0"/>
              <w:rPr>
                <w:sz w:val="19"/>
                <w:szCs w:val="19"/>
                <w:color w:val="auto"/>
              </w:rPr>
            </w:pPr>
          </w:p>
        </w:tc>
        <w:tc>
          <w:tcPr>
            <w:tcW w:w="1120" w:type="dxa"/>
            <w:vAlign w:val="bottom"/>
          </w:tcPr>
          <w:p>
            <w:pPr>
              <w:jc w:val="center"/>
              <w:ind w:right="232"/>
              <w:spacing w:after="0"/>
              <w:rPr>
                <w:sz w:val="20"/>
                <w:szCs w:val="20"/>
                <w:color w:val="auto"/>
              </w:rPr>
            </w:pPr>
            <w:r>
              <w:rPr>
                <w:rFonts w:ascii="Arial" w:cs="Arial" w:eastAsia="Arial" w:hAnsi="Arial"/>
                <w:sz w:val="18"/>
                <w:szCs w:val="18"/>
                <w:color w:val="auto"/>
                <w:w w:val="96"/>
              </w:rPr>
              <w:t>6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6"/>
              </w:rPr>
              <w:t>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As of December 31, 2024, the maturities of finance lease liabilities were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9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As of December 31, 2024, the maturities of operating lease liabilities were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9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2028</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9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9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4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gross assets available for rent were $328 million and $457 million as of December 31, 2024 and 2023, respectively. The accumulated amortization related to our gross assets was $193 million and $203 million as of December 31, 2024 and 2023, respectively. Depreciation expense for these assets was $38 million, $58 million and $27 million for the 12 month period ended December 31, 2024, 2023 and 2022, respectively. Total revenue from lease arrangements was $289 million, $401 million and $228 million for the years ended December 31, 2024, 2023 and 2022,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Other Intangible Assets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the change in reportable segments disclosed in Note 1, "Summary of Significant Accounting Policies," goodwill was reallocated amongst segments. This reallocation and changes in the carrying value of goodwill by reportable segment during the years ended December 31, 2024 and 2023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Applied Water</w:t>
            </w:r>
          </w:p>
        </w:tc>
        <w:tc>
          <w:tcPr>
            <w:tcW w:w="1360" w:type="dxa"/>
            <w:vAlign w:val="bottom"/>
            <w:gridSpan w:val="3"/>
          </w:tcPr>
          <w:p>
            <w:pPr>
              <w:jc w:val="center"/>
              <w:ind w:right="80"/>
              <w:spacing w:after="0"/>
              <w:rPr>
                <w:sz w:val="20"/>
                <w:szCs w:val="20"/>
                <w:color w:val="auto"/>
              </w:rPr>
            </w:pPr>
            <w:r>
              <w:rPr>
                <w:rFonts w:ascii="Arial" w:cs="Arial" w:eastAsia="Arial" w:hAnsi="Arial"/>
                <w:sz w:val="14"/>
                <w:szCs w:val="14"/>
                <w:color w:val="auto"/>
              </w:rPr>
              <w:t>Measurement and</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Water Solutions</w:t>
            </w: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4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rPr>
              <w:t>Control Solutions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and Services</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Activity in 2023</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Acquisitions/divestitures (a)</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Reallocation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2024</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Activity in 2024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(a)</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720" w:hanging="388"/>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7"/>
          <w:szCs w:val="17"/>
          <w:color w:val="auto"/>
        </w:rPr>
        <w:t>Note 3, Acquisitions and Divestitures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and 2023, goodwill included accumulated impairment losses $206 million, within the Water Solutions and Services.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of Evoqua at their fair value as of the date of acquisition, with the excess purchase consideration recorded to goodwill. We have allocated goodwill to segments of the Company that are expected to benefit from the synergies of the acquisition.</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fourth quarter of 2024, we performed our annual impairment assessment and determined that the estimated fair values of our goodwill reporting units were in excess of each of their carrying values. However, future goodwill impairment tests could result in a charge to earnings. We will continue to evaluate goodwill on an annual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2" w:name="page103"/>
    <w:bookmarkEnd w:id="102"/>
    <w:p>
      <w:pPr>
        <w:ind w:right="720"/>
        <w:spacing w:after="0" w:line="287" w:lineRule="auto"/>
        <w:rPr>
          <w:sz w:val="20"/>
          <w:szCs w:val="20"/>
          <w:color w:val="auto"/>
        </w:rPr>
      </w:pPr>
      <w:r>
        <w:rPr>
          <w:rFonts w:ascii="Arial" w:cs="Arial" w:eastAsia="Arial" w:hAnsi="Arial"/>
          <w:sz w:val="18"/>
          <w:szCs w:val="18"/>
          <w:color w:val="auto"/>
        </w:rPr>
        <w:t>basis as of the beginning of our fourth quarter and whenever events and changes in circumstances indicate there may be a potential impairment.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 2024</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December 31, 2023</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96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30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2"/>
                <w:szCs w:val="12"/>
                <w:color w:val="auto"/>
              </w:rPr>
            </w:pPr>
          </w:p>
        </w:tc>
        <w:tc>
          <w:tcPr>
            <w:tcW w:w="116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Carrying</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1120" w:type="dxa"/>
            <w:vAlign w:val="bottom"/>
          </w:tcPr>
          <w:p>
            <w:pPr>
              <w:jc w:val="right"/>
              <w:ind w:right="474"/>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Intangibles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5"/>
        </w:trPr>
        <w:tc>
          <w:tcPr>
            <w:tcW w:w="300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color w:val="auto"/>
              </w:rPr>
              <w:t>Customer and distributor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2,151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1,575</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6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Proprietary technology and patents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determined that no impairment of the indefinite-lived intangibles existed as of the measurement date of our impairment assessment in 2024. Future impairment tests could result in a charge to earnings. We will continue to evaluate the indefinite-lived intangible assets on an annual basis as of the beginning of our fourth quarter and whenever events and changes in circumstances indicate there may be a potential impairment.</w:t>
      </w:r>
    </w:p>
    <w:p>
      <w:pPr>
        <w:spacing w:after="0" w:line="6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2024, we recognized $13 million in impairment charges primarily related to customer relationships and trademarks due to restructuring actions within our Water Solutions and Services segment. We also recognized a $1 million impairment charge for internally developed software within Corporate.</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2023, the Company assessed whether the carrying amounts of long-lived assets in the Measurement and Control Solutions segment may not be recoverable based on the updated forecast of future cash flows, and therefore impaired. Our assessment resulted in an impairment charge of $3 million, primarily related to software. The charge was calculated using an income approach, which is considered a Level 3 input for fair value measurement, and is reflected in “Restructuring and asset impairment charges” in our Consolidated Income Statements.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2022, the Company assessed whether the carrying amounts of long-lived assets in the Measurement and Control Solutions segment may not be recoverable based on the updated forecast of future cash flows, and therefore impaired. Our assessment resulted in an impairment charge of $14 million, primarily related to software and customer relationships. The charge was calculated using an income approach, which is considered a Level 3 input for fair value measurement, and is reflected in “Restructuring and asset impairment charges” in our Consolidated Income Statements.</w:t>
      </w:r>
    </w:p>
    <w:p>
      <w:pPr>
        <w:spacing w:after="0" w:line="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Customer and distributor relationships, proprietary technology and patents, trademarks, software and other are amortized over weighted average lives of approximately 17 years, 10 years, 11 years, 4 years and 5 years,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intangible assets was $304 million, $243 million, and $125 million for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Estimated amortization expense for each of the five succeeding years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2025</w:t>
            </w:r>
          </w:p>
        </w:tc>
        <w:tc>
          <w:tcPr>
            <w:tcW w:w="5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2027</w:t>
            </w:r>
          </w:p>
        </w:tc>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2029</w:t>
            </w:r>
          </w:p>
        </w:tc>
        <w:tc>
          <w:tcPr>
            <w:tcW w:w="5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7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As a result of Evoqua terminating their interest rate swaps prior to the Company completing the acquisition, the Company received $38 million in proceeds during the second quarter of 2023 from the termination of the interest rate swaps.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Australian Dollar, and Polish Zloty. We had foreign exchange contracts with purchase notional amounts totaling $ 657 million and $29 million as of December 31, 2024 and 2023, respectively. As of December 31, 2024,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$258 million, $169 million, $90 million, $42 million, $40 million, $34 million, and $24 million, respectively. As of December 31, 2023, our most significant foreign currency derivatives included contracts to purchase U.S. Dollar and sell Chinese Yuan and purchase Canadian Dollar and sell U.S. Dollar. The purchased notional amounts associated with these currency derivatives are $19 million and $10 million, respectively.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69"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second quarter of 2021, third quarter of 2022, and fourth quarter of 2024, we entered into additional cross-currency swaps. The total notional amount of derivative instruments designated as net investment hedges was $2,181 million and $1,691 million as of December 31, 2024 and 2023,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 of Foreign Exchange Risk</w:t>
      </w:r>
    </w:p>
    <w:p>
      <w:pPr>
        <w:spacing w:after="0" w:line="1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de-designation of our 2.250% Senior Notes of €500 million resulted in exposure to fluctuations in the Euro-U.S. Dollar exchange rate. We use currency forward agreements to manage our exposure to fluctuations in the Euro-U.S. Dollar exchange rate. Currency forward agreements involve fixing the foreign currency exchange rate for delivery of a specified amount of foreign currency on a specified date.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June 2, 2022, we entered into a currency forward agreement with a total notional amount of €500 million, designating the agreement as a fair value hedge of our Euro denominated notes. On December 12, 2022 the currency forward agreement matured.</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effectiveness of derivatives designated as fair value hedges is assessed using the spot method. The changes in the fair value of these derivatives due to movements in spot exchange rates are recorded in Selling, general and administrative expenses. Changes in the fair value of the 2.250% Senior Notes of €500 million related to spot exchange rates are also recorded in Selling, general and administrative expenses. Changes in the spot-forward differential and counterparty non-performance risk of the derivatives are excluded from the assessment of hedge effectiveness and are recognized in AOCL. Amounts in AOCL are recognized in earnings, specifically Interest expense, using a systematic and rational method over the life of the hedging instrument.</w:t>
      </w:r>
    </w:p>
    <w:p>
      <w:pPr>
        <w:spacing w:after="0" w:line="12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 table below presents the effect of our derivative financial instruments on the Consolidated Income Statements and Consolidated Statements of Comprehensive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r>
      <w:tr>
        <w:trPr>
          <w:trHeight w:val="19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2022</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reclassified from OCI/L into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OCI/L into cost of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Net Investment Hedges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Amount of gain recognized in OCI/L</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7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recognized in Selling, general and administrative expenses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recognized in Interest expense</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As of December 31, 2024, $14 million of net losses on cash flow hedges are expected to be reclassified into earnings in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no gains or losses on the net investment hedges are expected to be reclassified into earnings over their duration.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w:t>
            </w:r>
          </w:p>
        </w:tc>
        <w:tc>
          <w:tcPr>
            <w:tcW w:w="2080" w:type="dxa"/>
            <w:vAlign w:val="bottom"/>
            <w:gridSpan w:val="4"/>
          </w:tcPr>
          <w:p>
            <w:pPr>
              <w:jc w:val="right"/>
              <w:ind w:right="74"/>
              <w:spacing w:after="0"/>
              <w:rPr>
                <w:sz w:val="20"/>
                <w:szCs w:val="20"/>
                <w:color w:val="auto"/>
              </w:rPr>
            </w:pPr>
            <w:r>
              <w:rPr>
                <w:rFonts w:ascii="Arial" w:cs="Arial" w:eastAsia="Arial" w:hAnsi="Arial"/>
                <w:sz w:val="18"/>
                <w:szCs w:val="18"/>
                <w:color w:val="auto"/>
              </w:rPr>
              <w:t>are determined through</w:t>
            </w:r>
          </w:p>
        </w:tc>
      </w:tr>
      <w:tr>
        <w:trPr>
          <w:trHeight w:val="239"/>
        </w:trPr>
        <w:tc>
          <w:tcPr>
            <w:tcW w:w="9140" w:type="dxa"/>
            <w:vAlign w:val="bottom"/>
            <w:gridSpan w:val="2"/>
          </w:tcPr>
          <w:p>
            <w:pPr>
              <w:spacing w:after="0"/>
              <w:rPr>
                <w:sz w:val="20"/>
                <w:szCs w:val="20"/>
                <w:color w:val="auto"/>
              </w:rPr>
            </w:pPr>
            <w:r>
              <w:rPr>
                <w:rFonts w:ascii="Arial" w:cs="Arial" w:eastAsia="Arial" w:hAnsi="Arial"/>
                <w:sz w:val="18"/>
                <w:szCs w:val="18"/>
                <w:color w:val="auto"/>
              </w:rPr>
              <w:t>the use of models that consider various assumptions including yield curves, time value and other measurements.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8"/>
        </w:trPr>
        <w:tc>
          <w:tcPr>
            <w:tcW w:w="8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2023</w:t>
            </w: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920" w:type="dxa"/>
            <w:vAlign w:val="bottom"/>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920" w:type="dxa"/>
            <w:vAlign w:val="bottom"/>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14.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25"/>
        </w:trPr>
        <w:tc>
          <w:tcPr>
            <w:tcW w:w="8220" w:type="dxa"/>
            <w:vAlign w:val="bottom"/>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Customer-related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warranty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$250 million and $176 million as of December 31, 2024 and 2023,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the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2024</w:t>
            </w:r>
          </w:p>
        </w:tc>
      </w:tr>
      <w:tr>
        <w:trPr>
          <w:trHeight w:val="257"/>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r>
      <w:tr>
        <w:trPr>
          <w:trHeight w:val="257"/>
        </w:trPr>
        <w:tc>
          <w:tcPr>
            <w:tcW w:w="840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680" w:type="dxa"/>
            <w:vAlign w:val="bottom"/>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1,053</w:t>
            </w:r>
          </w:p>
        </w:tc>
      </w:tr>
      <w:tr>
        <w:trPr>
          <w:trHeight w:val="256"/>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r>
      <w:tr>
        <w:trPr>
          <w:trHeight w:val="257"/>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December 31</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15.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25"/>
        </w:trPr>
        <w:tc>
          <w:tcPr>
            <w:tcW w:w="8220" w:type="dxa"/>
            <w:vAlign w:val="bottom"/>
          </w:tcPr>
          <w:p>
            <w:pPr>
              <w:ind w:left="360"/>
              <w:spacing w:after="0"/>
              <w:rPr>
                <w:sz w:val="20"/>
                <w:szCs w:val="20"/>
                <w:color w:val="auto"/>
              </w:rPr>
            </w:pPr>
            <w:r>
              <w:rPr>
                <w:rFonts w:ascii="Arial" w:cs="Arial" w:eastAsia="Arial" w:hAnsi="Arial"/>
                <w:sz w:val="18"/>
                <w:szCs w:val="18"/>
                <w:color w:val="auto"/>
              </w:rPr>
              <w:t>3.250% Senior Notes due 2026 (a)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1.950% Senior Notes due 2028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2.250% Senior Notes due 2031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4.375% Senior Notes due 2046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Equipment Financing due 2025 to 2032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line="265"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$488 million and $482 million as of December 31, 2024 and 2023, respectively. The fair value of our Senior Notes due 2028 was $459 million and $453 million as of December 31, 2024 and 2023, respectively. The fair value of our Senior Notes due 2031 was $427 million and $429 million as of December 31, 2024 and 2023 respectively. The fair value of our Senior Notes due 2046 was $327 million and $349 million as of December 31, 2024 and 2023, respectively.</w:t>
      </w:r>
    </w:p>
    <w:p>
      <w:pPr>
        <w:spacing w:after="0" w:line="64" w:lineRule="exact"/>
        <w:rPr>
          <w:rFonts w:ascii="Arial" w:cs="Arial" w:eastAsia="Arial" w:hAnsi="Arial"/>
          <w:sz w:val="16"/>
          <w:szCs w:val="16"/>
          <w:color w:val="auto"/>
        </w:rPr>
      </w:pPr>
    </w:p>
    <w:p>
      <w:pPr>
        <w:jc w:val="both"/>
        <w:ind w:left="660" w:right="500" w:hanging="328"/>
        <w:spacing w:after="0" w:line="275"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December 31, 2024,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8" w:name="page109"/>
    <w:bookmarkEnd w:id="108"/>
    <w:p>
      <w:pPr>
        <w:ind w:right="40"/>
        <w:spacing w:after="0" w:line="268" w:lineRule="auto"/>
        <w:rPr>
          <w:sz w:val="20"/>
          <w:szCs w:val="20"/>
          <w:color w:val="auto"/>
        </w:rPr>
      </w:pPr>
      <w:r>
        <w:rPr>
          <w:rFonts w:ascii="Arial" w:cs="Arial" w:eastAsia="Arial" w:hAnsi="Arial"/>
          <w:sz w:val="18"/>
          <w:szCs w:val="18"/>
          <w:color w:val="auto"/>
        </w:rPr>
        <w:t>Interest on the Senior Notes due 2023 is payable on March 11 of each year. Interest on the Senior Notes due 2026 and the Senior Notes due 2046 is payable on May 1 and November 1 of each year. As of December 31, 2024, we are in compliance with all covenants for the 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Xylem has the ability to designate subsidiaries that can borrow under the 2023 Credit Facility, subject to certain requirements and conditions set forth in the 2023 Credit Facility. As of December 31, 2024, the 2023 Credit Facility was undrawn, and we are in compliance with all revolver covenants. The 2023 Credit Facility has availability of $1 billion, comprised of the $1 billion aggregate principal as of December 31,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02"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On May 9, 2023, the Company’s subsidiary, Xylem Europe GmbH (the “Borrower”) entered into a 24-month €250 million (approximately $278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 and future obligations of the borrower under the Term Loan Agreement. The net cash proceeds were used to repay a portion of Evoqua’s indebtedness pursuant to the Merger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On April 19, 2024 our Term Loan Facility was settled with cash on hand for a total of €250 million ($268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result of the Evoqua acquisition, the Company has secured financing agreements that require providing a security interest in specified equipment and, in some cases, the underlying contract and related receivables. As of December 31, 2024, the gross and net amounts of those assets are included on the Consolidated Balance Sheets as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5"/>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Gross</w:t>
            </w: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2024, the future maturities of our debt were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b w:val="1"/>
                <w:bCs w:val="1"/>
                <w:color w:val="auto"/>
              </w:rPr>
              <w:t>Maturity</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2028</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Maturities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 and unamortized discount (a)</w:t>
            </w:r>
          </w:p>
        </w:tc>
        <w:tc>
          <w:tcPr>
            <w:tcW w:w="3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right="500" w:hanging="328"/>
        <w:spacing w:after="0" w:line="27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December 31, 2024 and 2023, none of the Company's $600 million U.S. Dollar commercial paper program was outstanding. The net cash proceeds from issuance of commercial paper were used to repay a portion of Evoqua’s indebtedness pursuant to the Merger Agreement. We have the ability to continue borrowing under this program going forward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June 3, 2019, Xylem entered into a Euro commercial paper program with Citigroup., as administrative</w:t>
      </w:r>
    </w:p>
    <w:p>
      <w:pPr>
        <w:spacing w:after="0" w:line="27"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agent, and a syndicate of dealers. The Euro commercial paper program provides for a maximum issuing balance of up to €500 million (approximately $521 million) which may be denominated in a variety of currencies. The</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maximum issuing balance may be increased in accordance with the Dealer Agreement. As of December 31, 2024 and 2023,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Receivables Securitization Program</w:t>
      </w:r>
    </w:p>
    <w:p>
      <w:pPr>
        <w:spacing w:after="0" w:line="10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On April 1, 2021, Evoqua Finance LLC (“Evoqua Finance”), now an indirect wholly-owned subsidiary of the Company, entered into an accounts receivable securitization program (the “Receivables Securitization Program”) consisting of, among other agreements, (i) a Receivables Financing Agreement (as amended, the “Receivables Financing Agreement”) among Evoqua Finance, as the borrower, the lenders from time to time party thereto (the “Receivables Financing Lenders”), PNC Bank, National Association ("PNC"), as administrative agent, EWT LLC, as initial servicer, and PNC Capital Markets LLC, as structuring agent, pursuant to which the lenders have made available to Evoqua Finance a receivables finance facility in an amount up to $150 million, (ii) a Sale and Contribution Agreement (as amended, the</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“Sale and Contribution Agreement”) among Evoqua Finance, as purchaser, EWT LLC, as initial servicer and as an originator, and Neptune Benson, Inc., an indirectly wholly-owned subsidiary of the Company, as an originator (together with EWT LLC, the “Originators”), and (iii) a</w:t>
      </w:r>
    </w:p>
    <w:p>
      <w:pPr>
        <w:spacing w:after="0" w:line="1"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color w:val="auto"/>
        </w:rPr>
        <w:t>Performance Guaranty of Xylem Inc. dated as of May 24, 2023 (the “Performance Guaranty”) in favor of PNC and for the benefit of PNC and the other secured parties under the Receivables Financing Agreement that replaced the performance guaranty of EWT Holdings II Corp. and EWT Holdings III Corp dated as of April 1, 2021.</w:t>
      </w:r>
    </w:p>
    <w:p>
      <w:pPr>
        <w:spacing w:after="0" w:line="20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Receivables Securitization Program contains certain customary representations, warranties, affirmative covenants, and negative covenants, subject to certain cure periods in some cases, including the eligibility of the receivables being sold by the Originators and securing the loans made by the Receivables Financing Lenders, as well as customary reserve requirements, events of default, termination events, and servicer defaults.</w:t>
      </w:r>
    </w:p>
    <w:p>
      <w:pPr>
        <w:spacing w:after="0" w:line="20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On July 20, 2023, the Receivables Financing Agreement, the Sale and Contribution Agreement and the Performance Guaranty and the other transaction documents under the Receivables Financing Program were terminated and all outstanding obligations for principal, interest, and fees under the agreement were paid in full.</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Post-retirement Benefit Plans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Defined contribution plans </w:t>
      </w:r>
      <w:r>
        <w:rPr>
          <w:rFonts w:ascii="Arial" w:cs="Arial" w:eastAsia="Arial" w:hAnsi="Arial"/>
          <w:sz w:val="18"/>
          <w:szCs w:val="18"/>
          <w:color w:val="auto"/>
        </w:rPr>
        <w:t>– Xylem and certain of our subsidiaries maintain various defined contribution savings plans, which allow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contribute a portion of their pre-tax and/or after-tax income in accordance with specified guidelines. Several of the plans require us to match a percentage of the employee contributions up to certain limits, generally between 3.0% – 7.0% of employee eligible pay. Matching obligations, the majority of which were funded in cash in connection with the plans, and other company contributions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Defined Contribution</w:t>
            </w:r>
          </w:p>
        </w:tc>
      </w:tr>
      <w:tr>
        <w:trPr>
          <w:trHeight w:val="224"/>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bl>
    <w:p>
      <w:pPr>
        <w:spacing w:after="0" w:line="1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Xylem Stock Fund, an investment option under the defined contribution plan in which Company employees participate, is considered an Employee Stock Ownership Plan. As a result, participants in the Xylem Stock Fund may receive dividends in cash or may reinvest such dividends into the Xylem Stock Fund. Company employees held approximately 204 thousand and 231 thousand shares of Xylem Inc. common stock in the Xylem Stock Fund at December 31, 2024 and 2023, respectively.</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color w:val="auto"/>
        </w:rPr>
        <w:t xml:space="preserve">Defined benefit pension plans and other post-retirement plans </w:t>
      </w:r>
      <w:r>
        <w:rPr>
          <w:rFonts w:ascii="Arial" w:cs="Arial" w:eastAsia="Arial" w:hAnsi="Arial"/>
          <w:sz w:val="17"/>
          <w:szCs w:val="17"/>
          <w:color w:val="auto"/>
        </w:rPr>
        <w:t>– We historically have maintained qualified and non-qualified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retirement plans covering certain current and former employees, including hourly and union plans as well as salaried plans, which generally require up to 5 years of service to be vested and for which the benefits are determined based on years of credited service and either specified rates, final pay, or final average pay. The other post-retirement benefit plans are all unfunded plans in the U.S. and Canada.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During 2024 and 2023, no plan amendments had a material impact to the Company's financial statements.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initiated the process for a full buy-out of its largest defined benefit plan in the U.K. in 2019. During the first quarter of 2020, the Company purchased a bulk annuity policy as a plan asset to facilitate the termination and buy-out of the plan. The buyout was completed in September 2022, at which point the remaining benefit obligations were transferred to the insurer and we were relieved of any further obligation. As a result, we recorded a pension settlement charge of £123 million (approximately $140 million), primarily consisting of unrecognized actuarial losses.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Amounts recognized in the Consolidated Balance Sheets for pension and other employee-related benefit plans (collectively, "Post-retirement Plans") reflect the funded status of the post-retirement benefit plans. The following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1" w:name="page112"/>
    <w:bookmarkEnd w:id="111"/>
    <w:p>
      <w:pPr>
        <w:ind w:right="220"/>
        <w:spacing w:after="0" w:line="287" w:lineRule="auto"/>
        <w:rPr>
          <w:sz w:val="20"/>
          <w:szCs w:val="20"/>
          <w:color w:val="auto"/>
        </w:rPr>
      </w:pPr>
      <w:r>
        <w:rPr>
          <w:rFonts w:ascii="Arial" w:cs="Arial" w:eastAsia="Arial" w:hAnsi="Arial"/>
          <w:sz w:val="18"/>
          <w:szCs w:val="18"/>
          <w:color w:val="auto"/>
        </w:rPr>
        <w:t>table provides a summary of the funded status of our Post-retirement Plans, the presentation of such balances and a summary of amounts recorded within AOCL: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December 31, 2023</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color w:val="auto"/>
              </w:rPr>
              <w:t>Pension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7"/>
                <w:szCs w:val="17"/>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Funded status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Amounts recognized in the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post-retirement benefit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Accumulated other comprehensive</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Net actuarial losses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unrecognized amounts recorded in AOCL will be subsequently recognized as expense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Actuarial gains and losses incurred in future periods and not recognized as expense in those periods will initially be recognized as increases or decreases in other comprehensive income,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12" w:name="page113"/>
    <w:bookmarkEnd w:id="112"/>
    <w:p>
      <w:pPr>
        <w:ind w:right="500"/>
        <w:spacing w:after="0" w:line="287" w:lineRule="auto"/>
        <w:rPr>
          <w:sz w:val="20"/>
          <w:szCs w:val="20"/>
          <w:color w:val="auto"/>
        </w:rPr>
      </w:pPr>
      <w:r>
        <w:rPr>
          <w:rFonts w:ascii="Arial" w:cs="Arial" w:eastAsia="Arial" w:hAnsi="Arial"/>
          <w:sz w:val="18"/>
          <w:szCs w:val="18"/>
          <w:color w:val="auto"/>
        </w:rPr>
        <w:t>The benefit obligation, fair value of plan assets, funded status, and amounts recognized in the consolidated financial statements for our defined benefit domestic and international pension plans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gridSpan w:val="3"/>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Domestic Plans</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International Plans</w:t>
            </w:r>
          </w:p>
        </w:tc>
      </w:tr>
      <w:tr>
        <w:trPr>
          <w:trHeight w:val="195"/>
        </w:trPr>
        <w:tc>
          <w:tcPr>
            <w:tcW w:w="5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rPr>
              <w:t>2023</w:t>
            </w: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 loss (a)</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Plan amendments, settlements and curtailments</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 obligation at end of year</w:t>
            </w: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Actual return on plan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amendments, settlements and curtailments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12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Unfunded status of the plans</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line="286"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Actuarial gains for our qualified defined benefit pension plans in 2024 primarily reflect an increase in the discount rate in 2024 as compared to 2023, which decreased benefit obligations.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projected benefit obligation for the other post-retirement employee benefit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2023</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Benefit obligation at the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accumulated benefit obligation (“ABO”) for all the defined benefit pension plans was $518 million and $551 million at December 31, 2024 and 2023, respectively.</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defined benefit pension plans in which the ABO was in excess of the fair value of the plans’ assets, the projected benefit obligation, ABO and fair value of the plans’ assets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shd w:val="clear" w:color="auto" w:fill="CCEEFF"/>
          </w:tcPr>
          <w:p>
            <w:pPr>
              <w:spacing w:after="0"/>
              <w:rPr>
                <w:sz w:val="17"/>
                <w:szCs w:val="17"/>
                <w:color w:val="auto"/>
              </w:rPr>
            </w:pPr>
          </w:p>
        </w:tc>
      </w:tr>
      <w:tr>
        <w:trPr>
          <w:trHeight w:val="19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2023</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gridSpan w:val="6"/>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shd w:val="clear" w:color="auto" w:fill="CCEEFF"/>
          </w:tcPr>
          <w:p>
            <w:pPr>
              <w:spacing w:after="0"/>
              <w:rPr>
                <w:sz w:val="17"/>
                <w:szCs w:val="17"/>
                <w:color w:val="auto"/>
              </w:rPr>
            </w:pP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2022</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(gain) loss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U.K. pension settlement expense</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income, net" in the Consolidated Income Statements.</w:t>
      </w:r>
    </w:p>
    <w:p>
      <w:pPr>
        <w:spacing w:after="0" w:line="39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Other changes in plan assets and benefit obligations recognized in other comprehensive income (loss), as they pertain to our defined benefit pension plans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120" w:type="dxa"/>
            <w:vAlign w:val="bottom"/>
            <w:tcBorders>
              <w:bottom w:val="single" w:sz="8" w:color="auto"/>
            </w:tcBorders>
            <w:gridSpan w:val="9"/>
            <w:shd w:val="clear" w:color="auto" w:fill="CCEEFF"/>
          </w:tcPr>
          <w:p>
            <w:pPr>
              <w:jc w:val="center"/>
              <w:ind w:left="674"/>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color w:val="auto"/>
              </w:rPr>
              <w:t>2023</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gain (loss)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U.K. pension settlement expense</w:t>
            </w:r>
          </w:p>
        </w:tc>
        <w:tc>
          <w:tcPr>
            <w:tcW w:w="3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(gains) losses recognized in other 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(gains) losses recognized in comprehensive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7"/>
                <w:szCs w:val="17"/>
                <w:color w:val="auto"/>
              </w:rPr>
            </w:pPr>
          </w:p>
        </w:tc>
        <w:tc>
          <w:tcPr>
            <w:tcW w:w="460" w:type="dxa"/>
            <w:vAlign w:val="bottom"/>
            <w:tcBorders>
              <w:bottom w:val="single" w:sz="8" w:color="auto"/>
            </w:tcBorders>
            <w:gridSpan w:val="2"/>
          </w:tcPr>
          <w:p>
            <w:pPr>
              <w:jc w:val="right"/>
              <w:ind w:right="25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gridSpan w:val="2"/>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8680" w:type="dxa"/>
            <w:vAlign w:val="bottom"/>
            <w:gridSpan w:val="6"/>
          </w:tcPr>
          <w:p>
            <w:pPr>
              <w:spacing w:after="0"/>
              <w:rPr>
                <w:sz w:val="20"/>
                <w:szCs w:val="20"/>
                <w:color w:val="auto"/>
              </w:rPr>
            </w:pPr>
            <w:r>
              <w:rPr>
                <w:rFonts w:ascii="Arial" w:cs="Arial" w:eastAsia="Arial" w:hAnsi="Arial"/>
                <w:sz w:val="18"/>
                <w:szCs w:val="18"/>
                <w:color w:val="auto"/>
              </w:rPr>
              <w:t>The components of net periodic benefit cost for other post-retirement employee benefit plans are as follows: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left="674"/>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center"/>
              <w:ind w:left="854"/>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19"/>
                <w:szCs w:val="19"/>
                <w:color w:val="auto"/>
              </w:rPr>
            </w:pPr>
          </w:p>
        </w:tc>
        <w:tc>
          <w:tcPr>
            <w:tcW w:w="12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85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Net periodic benefit cost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gridSpan w:val="2"/>
          </w:tcPr>
          <w:p>
            <w:pPr>
              <w:jc w:val="center"/>
              <w:ind w:left="85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114" w:name="page115"/>
    <w:bookmarkEnd w:id="114"/>
    <w:p>
      <w:pPr>
        <w:ind w:right="360"/>
        <w:spacing w:after="0" w:line="287" w:lineRule="auto"/>
        <w:rPr>
          <w:sz w:val="20"/>
          <w:szCs w:val="20"/>
          <w:color w:val="auto"/>
        </w:rPr>
      </w:pPr>
      <w:r>
        <w:rPr>
          <w:rFonts w:ascii="Arial" w:cs="Arial" w:eastAsia="Arial" w:hAnsi="Arial"/>
          <w:sz w:val="18"/>
          <w:szCs w:val="18"/>
          <w:color w:val="auto"/>
        </w:rPr>
        <w:t>Other changes in benefit obligations recognized in other comprehensive income (loss), as they pertain to other post-retirement employee benefit plans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2022</w:t>
            </w:r>
          </w:p>
        </w:tc>
      </w:tr>
      <w:tr>
        <w:trPr>
          <w:trHeight w:val="224"/>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(gain)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center"/>
              <w:ind w:left="833"/>
              <w:spacing w:after="0"/>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(9)</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40" w:type="dxa"/>
            <w:vAlign w:val="bottom"/>
          </w:tcPr>
          <w:p>
            <w:pPr>
              <w:spacing w:after="0"/>
              <w:rPr>
                <w:sz w:val="19"/>
                <w:szCs w:val="19"/>
                <w:color w:val="auto"/>
              </w:rPr>
            </w:pPr>
          </w:p>
        </w:tc>
        <w:tc>
          <w:tcPr>
            <w:tcW w:w="1020" w:type="dxa"/>
            <w:vAlign w:val="bottom"/>
          </w:tcPr>
          <w:p>
            <w:pPr>
              <w:jc w:val="center"/>
              <w:ind w:left="833"/>
              <w:spacing w:after="0"/>
              <w:rPr>
                <w:sz w:val="20"/>
                <w:szCs w:val="20"/>
                <w:color w:val="auto"/>
              </w:rPr>
            </w:pPr>
            <w:r>
              <w:rPr>
                <w:rFonts w:ascii="Arial" w:cs="Arial" w:eastAsia="Arial" w:hAnsi="Arial"/>
                <w:sz w:val="18"/>
                <w:szCs w:val="18"/>
                <w:b w:val="1"/>
                <w:bCs w:val="1"/>
                <w:color w:val="auto"/>
                <w:w w:val="99"/>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753"/>
              <w:spacing w:after="0"/>
              <w:rPr>
                <w:sz w:val="20"/>
                <w:szCs w:val="20"/>
                <w:color w:val="auto"/>
              </w:rPr>
            </w:pPr>
            <w:r>
              <w:rPr>
                <w:rFonts w:ascii="Arial" w:cs="Arial" w:eastAsia="Arial" w:hAnsi="Arial"/>
                <w:sz w:val="18"/>
                <w:szCs w:val="18"/>
                <w:color w:val="auto"/>
                <w:w w:val="99"/>
              </w:rPr>
              <w:t>2</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733"/>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(1)</w:t>
            </w:r>
          </w:p>
        </w:tc>
      </w:tr>
      <w:tr>
        <w:trPr>
          <w:trHeight w:val="223"/>
        </w:trPr>
        <w:tc>
          <w:tcPr>
            <w:tcW w:w="6720" w:type="dxa"/>
            <w:vAlign w:val="bottom"/>
          </w:tcPr>
          <w:p>
            <w:pPr>
              <w:ind w:left="220"/>
              <w:spacing w:after="0"/>
              <w:rPr>
                <w:sz w:val="20"/>
                <w:szCs w:val="20"/>
                <w:color w:val="auto"/>
              </w:rPr>
            </w:pPr>
            <w:r>
              <w:rPr>
                <w:rFonts w:ascii="Arial" w:cs="Arial" w:eastAsia="Arial" w:hAnsi="Arial"/>
                <w:sz w:val="18"/>
                <w:szCs w:val="18"/>
                <w:color w:val="auto"/>
              </w:rPr>
              <w:t>Losses (gains) recognized in other comprehensive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center"/>
              <w:ind w:left="833"/>
              <w:spacing w:after="0"/>
              <w:rPr>
                <w:sz w:val="20"/>
                <w:szCs w:val="20"/>
                <w:color w:val="auto"/>
              </w:rPr>
            </w:pPr>
            <w:r>
              <w:rPr>
                <w:rFonts w:ascii="Arial" w:cs="Arial" w:eastAsia="Arial" w:hAnsi="Arial"/>
                <w:sz w:val="18"/>
                <w:szCs w:val="18"/>
                <w:b w:val="1"/>
                <w:bCs w:val="1"/>
                <w:color w:val="auto"/>
                <w:w w:val="99"/>
              </w:rPr>
              <w:t>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color w:val="auto"/>
                <w:w w:val="99"/>
              </w:rPr>
              <w:t>(8)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losses (gains) recognized in 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center"/>
              <w:ind w:left="833"/>
              <w:spacing w:after="0"/>
              <w:rPr>
                <w:sz w:val="20"/>
                <w:szCs w:val="20"/>
                <w:color w:val="auto"/>
              </w:rPr>
            </w:pPr>
            <w:r>
              <w:rPr>
                <w:rFonts w:ascii="Arial" w:cs="Arial" w:eastAsia="Arial" w:hAnsi="Arial"/>
                <w:sz w:val="18"/>
                <w:szCs w:val="18"/>
                <w:b w:val="1"/>
                <w:bCs w:val="1"/>
                <w:color w:val="auto"/>
                <w:w w:val="99"/>
              </w:rPr>
              <w:t>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753"/>
              <w:spacing w:after="0"/>
              <w:rPr>
                <w:sz w:val="20"/>
                <w:szCs w:val="20"/>
                <w:color w:val="auto"/>
              </w:rPr>
            </w:pPr>
            <w:r>
              <w:rPr>
                <w:rFonts w:ascii="Arial" w:cs="Arial" w:eastAsia="Arial" w:hAnsi="Arial"/>
                <w:sz w:val="18"/>
                <w:szCs w:val="18"/>
                <w:color w:val="auto"/>
                <w:w w:val="99"/>
              </w:rPr>
              <w:t>(8)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the weighted-average assumptions used to determine projected benefit obligations and net periodic benefit cost, as they pertain to our pension plans.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Int’l</w:t>
            </w: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Int’l</w:t>
            </w:r>
          </w:p>
        </w:tc>
        <w:tc>
          <w:tcPr>
            <w:tcW w:w="1640" w:type="dxa"/>
            <w:vAlign w:val="bottom"/>
            <w:gridSpan w:val="3"/>
          </w:tcPr>
          <w:p>
            <w:pPr>
              <w:jc w:val="right"/>
              <w:ind w:right="880"/>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413"/>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14"/>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5.65 %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Net Periodic Benefit Cost Assumptions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176"/>
        </w:trPr>
        <w:tc>
          <w:tcPr>
            <w:tcW w:w="3380" w:type="dxa"/>
            <w:vAlign w:val="bottom"/>
          </w:tcPr>
          <w:p>
            <w:pPr>
              <w:ind w:left="140"/>
              <w:spacing w:after="0" w:line="176" w:lineRule="exact"/>
              <w:rPr>
                <w:sz w:val="20"/>
                <w:szCs w:val="20"/>
                <w:color w:val="auto"/>
              </w:rPr>
            </w:pPr>
            <w:r>
              <w:rPr>
                <w:rFonts w:ascii="Arial" w:cs="Arial" w:eastAsia="Arial" w:hAnsi="Arial"/>
                <w:sz w:val="18"/>
                <w:szCs w:val="18"/>
                <w:color w:val="auto"/>
              </w:rPr>
              <w:t>Expected long-term return on plan</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5.78 %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5.85 %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43"/>
        </w:trPr>
        <w:tc>
          <w:tcPr>
            <w:tcW w:w="33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0" w:right="460" w:hanging="485"/>
        <w:spacing w:after="0" w:line="304"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2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plans exist. Assumptions are reviewed annually and adjusted as necessary.</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expected long-term rate of return on assets reflects the expected returns for each major asset class in which the plans hold investments, the weight of each asset class in the target mix, the correlations among asset classes and their expected volatilities. The assets of the pension plans are held by a number of independent trustees, managed by several investment institutions and are accounted for separately in the Company’s pension funds.</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expected return on plan assets is estimated by evaluating both historical returns and estimates of future returns. Specifically, we analyze the plans’ actual historical annual return on assets, net of fees, over the past 15, 20 and 25 years; we estimate future returns based on independent estimates of asset class returns; and we evaluate historical broad market returns over long-term timeframes based on our asset allocation range. For the U.S. Master Trust which has existed since 2011, historical returns were estimated using a constructed portfolio that reflects the Company’s strategic asset allocation and the historical compound geometric returns of each asset class for the longest time period available. Based on this approach, the weighted average expected long-term rate of return for all of our plan assets to be used in determining net periodic benefit costs for 2025 is estimated at 5.70%.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investment strategy for managing worldwide post-retirement benefit plan assets is to seek an optimal rate of return relative to an appropriate level of risk for each plan. Investment strategies vary by plan, depending on the specific characteristics of the plan, such as plan size and design, funded status, liability profile and legal requirements. In general, the plans are managed closely to their strategic allocations.</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following table provides the actual asset allocations of plan assets as of December 31, 2024 and 2023, and the related asset target allocation ranges by asset category: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44"/>
        </w:trPr>
        <w:tc>
          <w:tcPr>
            <w:tcW w:w="7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89"/>
        </w:trPr>
        <w:tc>
          <w:tcPr>
            <w:tcW w:w="7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Ranges</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45.2 %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Fixed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40.5 %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insurance contracts and 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measuring plan assets at fair value, the fair value hierarchy is applied which categorizes and prioritizes the inputs used to estimate fair value into three levels. See Note 1, "Summary of Significant Accounting Policies" for further detail on fair value hierarchy.</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certain instances, fair value is estimated using quoted market prices obtained from external pricing services. In obtaining such data from the pricing service, we have evaluated the methodologies used to develop the estimate of fair value in order to assess whether such valuations are representative of fair value, including NAV.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and inputs used to measure fair value for major categories of investments.</w:t>
      </w:r>
    </w:p>
    <w:p>
      <w:pPr>
        <w:spacing w:after="0" w:line="117" w:lineRule="exact"/>
        <w:rPr>
          <w:sz w:val="20"/>
          <w:szCs w:val="20"/>
          <w:color w:val="auto"/>
        </w:rPr>
      </w:pPr>
    </w:p>
    <w:p>
      <w:pPr>
        <w:ind w:left="380" w:right="120" w:hanging="332"/>
        <w:spacing w:after="0" w:line="259"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Equity securities — Equities (including common and preferred shares, domestic listed and foreign listed and closed end mutual funds) are generally valued at the closing price reported on the major market on which the individual securities are traded at the measurement date. Equity securities and mutual funds held by the Company that are publicly traded in active markets are classified within Level 1 of the fair value hierarchy. Those equities that are held in proprietary funds pooled with other investor accounts and collective trust funds measured at fair value using the NAV per share practical expedient are not classified in the fair value hierarchy.</w:t>
      </w:r>
    </w:p>
    <w:p>
      <w:pPr>
        <w:spacing w:after="0" w:line="71" w:lineRule="exact"/>
        <w:rPr>
          <w:rFonts w:ascii="Arial" w:cs="Arial" w:eastAsia="Arial" w:hAnsi="Arial"/>
          <w:sz w:val="18"/>
          <w:szCs w:val="18"/>
          <w:color w:val="auto"/>
        </w:rPr>
      </w:pPr>
    </w:p>
    <w:p>
      <w:pPr>
        <w:ind w:left="380" w:right="20" w:hanging="332"/>
        <w:spacing w:after="0" w:line="257"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Fixed income — Government securities are generally valued using quoted prices of securities with similar characteristics. Corporate bonds are generally valued by using pricing models, quoted prices of securities with similar characteristics or broker quotes and are classified in Level 2. Fixed income securities held in proprietary funds pooled with other investor accounts and collective trust funds measured at fair value using the NAV per share practical expedient are not classified in the fair value hierarchy. Hedging instruments are collateralized daily with either cash or government bonds, have daily liquidity and pricing based on observable inputs from over-the-counter markets, and are classified as Level 2.</w:t>
      </w:r>
    </w:p>
    <w:p>
      <w:pPr>
        <w:spacing w:after="0" w:line="74" w:lineRule="exact"/>
        <w:rPr>
          <w:rFonts w:ascii="Arial" w:cs="Arial" w:eastAsia="Arial" w:hAnsi="Arial"/>
          <w:sz w:val="18"/>
          <w:szCs w:val="18"/>
          <w:color w:val="auto"/>
        </w:rPr>
      </w:pPr>
    </w:p>
    <w:p>
      <w:pPr>
        <w:ind w:left="380" w:right="40" w:hanging="332"/>
        <w:spacing w:after="0" w:line="268"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Insurance contracts and other — Primarily comprised of insurance contracts held by foreign plans. Insurance contracts are valued on an insurer pricing basis calculated at purchase price adjusted for changes in discount rates and other actuarial assumptions or contract value, which approximates fair value. Insurance contracts are generally classified as Level 3.</w:t>
      </w:r>
    </w:p>
    <w:p>
      <w:pPr>
        <w:spacing w:after="0" w:line="62" w:lineRule="exact"/>
        <w:rPr>
          <w:rFonts w:ascii="Arial" w:cs="Arial" w:eastAsia="Arial" w:hAnsi="Arial"/>
          <w:sz w:val="18"/>
          <w:szCs w:val="18"/>
          <w:color w:val="auto"/>
        </w:rPr>
      </w:pPr>
    </w:p>
    <w:p>
      <w:pPr>
        <w:ind w:left="380" w:right="200" w:hanging="332"/>
        <w:spacing w:after="0" w:line="287"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 Cash and cash equivalents are held in accounts with brokers or custodians, available on demand, for liquidity and investment collateral and are classified as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The following table provides the fair value of plan assets held by our pension benefit plans by asset class: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2023</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color w:val="auto"/>
              </w:rPr>
              <w:t>Level 3</w:t>
            </w:r>
          </w:p>
        </w:tc>
        <w:tc>
          <w:tcPr>
            <w:tcW w:w="9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NAV Practical</w:t>
            </w:r>
          </w:p>
        </w:tc>
        <w:tc>
          <w:tcPr>
            <w:tcW w:w="200" w:type="dxa"/>
            <w:vAlign w:val="bottom"/>
          </w:tcPr>
          <w:p>
            <w:pPr>
              <w:spacing w:after="0"/>
              <w:rPr>
                <w:sz w:val="12"/>
                <w:szCs w:val="12"/>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2"/>
                <w:szCs w:val="12"/>
                <w:color w:val="auto"/>
              </w:rPr>
            </w:pPr>
          </w:p>
        </w:tc>
        <w:tc>
          <w:tcPr>
            <w:tcW w:w="640" w:type="dxa"/>
            <w:vAlign w:val="bottom"/>
            <w:vMerge w:val="restart"/>
          </w:tcPr>
          <w:p>
            <w:pPr>
              <w:jc w:val="right"/>
              <w:ind w:right="54"/>
              <w:spacing w:after="0"/>
              <w:rPr>
                <w:sz w:val="20"/>
                <w:szCs w:val="20"/>
                <w:color w:val="auto"/>
              </w:rPr>
            </w:pPr>
            <w:r>
              <w:rPr>
                <w:rFonts w:ascii="Arial" w:cs="Arial" w:eastAsia="Arial" w:hAnsi="Arial"/>
                <w:sz w:val="14"/>
                <w:szCs w:val="14"/>
                <w:color w:val="auto"/>
              </w:rPr>
              <w:t>Level 3</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NAV Practical</w:t>
            </w:r>
          </w:p>
        </w:tc>
        <w:tc>
          <w:tcPr>
            <w:tcW w:w="18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Expedient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Expedient</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20" w:type="dxa"/>
            <w:vAlign w:val="bottom"/>
          </w:tcPr>
          <w:p>
            <w:pPr>
              <w:ind w:left="140"/>
              <w:spacing w:after="0" w:line="204" w:lineRule="exact"/>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360"/>
              <w:spacing w:after="0" w:line="181" w:lineRule="exact"/>
              <w:rPr>
                <w:sz w:val="20"/>
                <w:szCs w:val="20"/>
                <w:color w:val="auto"/>
              </w:rPr>
            </w:pPr>
            <w:r>
              <w:rPr>
                <w:rFonts w:ascii="Arial" w:cs="Arial" w:eastAsia="Arial" w:hAnsi="Arial"/>
                <w:sz w:val="18"/>
                <w:szCs w:val="18"/>
                <w:color w:val="auto"/>
              </w:rPr>
              <w:t>Global stock</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122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funds/securities</w:t>
            </w:r>
          </w:p>
        </w:tc>
        <w:tc>
          <w:tcPr>
            <w:tcW w:w="16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Diversified growth and</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funds</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Insurance contracts and other</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2620" w:type="dxa"/>
            <w:vAlign w:val="bottom"/>
          </w:tcPr>
          <w:p>
            <w:pPr>
              <w:ind w:left="560"/>
              <w:spacing w:after="0" w:line="156" w:lineRule="exact"/>
              <w:rPr>
                <w:sz w:val="20"/>
                <w:szCs w:val="20"/>
                <w:color w:val="auto"/>
              </w:rPr>
            </w:pPr>
            <w:r>
              <w:rPr>
                <w:rFonts w:ascii="Arial" w:cs="Arial" w:eastAsia="Arial" w:hAnsi="Arial"/>
                <w:sz w:val="18"/>
                <w:szCs w:val="18"/>
                <w:color w:val="auto"/>
              </w:rPr>
              <w:t>Total plan assets subject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157</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301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1"/>
        </w:trPr>
        <w:tc>
          <w:tcPr>
            <w:tcW w:w="2620" w:type="dxa"/>
            <w:vAlign w:val="bottom"/>
          </w:tcPr>
          <w:p>
            <w:pPr>
              <w:ind w:left="560"/>
              <w:spacing w:after="0"/>
              <w:rPr>
                <w:sz w:val="20"/>
                <w:szCs w:val="20"/>
                <w:color w:val="auto"/>
              </w:rPr>
            </w:pPr>
            <w:r>
              <w:rPr>
                <w:rFonts w:ascii="Arial" w:cs="Arial" w:eastAsia="Arial" w:hAnsi="Arial"/>
                <w:sz w:val="18"/>
                <w:szCs w:val="18"/>
                <w:color w:val="auto"/>
              </w:rPr>
              <w:t>to leveling</w:t>
            </w: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presents a reconciliation of the beginning and ending balances of fair value measurement within our pension plans using significant unobservable inputs (Level 3):</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06374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2024</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 and Estimated Future Benefit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Insurance Contracts and</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Other</w:t>
      </w:r>
    </w:p>
    <w:p>
      <w:pPr>
        <w:spacing w:after="0" w:line="5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26</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234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00" w:lineRule="exact"/>
        <w:rPr>
          <w:sz w:val="20"/>
          <w:szCs w:val="20"/>
          <w:color w:val="auto"/>
        </w:rPr>
      </w:pPr>
    </w:p>
    <w:p>
      <w:pPr>
        <w:sectPr>
          <w:pgSz w:w="11900" w:h="16838" w:orient="portrait"/>
          <w:cols w:equalWidth="0" w:num="2">
            <w:col w:w="8480" w:space="720"/>
            <w:col w:w="2040"/>
          </w:cols>
          <w:pgMar w:left="320" w:top="998" w:right="339" w:bottom="1440" w:gutter="0" w:footer="0" w:header="0"/>
          <w:type w:val="continuous"/>
        </w:sectPr>
      </w:pPr>
    </w:p>
    <w:p>
      <w:pPr>
        <w:ind w:right="20"/>
        <w:spacing w:after="0" w:line="262" w:lineRule="auto"/>
        <w:rPr>
          <w:sz w:val="20"/>
          <w:szCs w:val="20"/>
          <w:color w:val="auto"/>
        </w:rPr>
      </w:pPr>
      <w:r>
        <w:rPr>
          <w:rFonts w:ascii="Arial" w:cs="Arial" w:eastAsia="Arial" w:hAnsi="Arial"/>
          <w:sz w:val="18"/>
          <w:szCs w:val="18"/>
          <w:color w:val="auto"/>
        </w:rPr>
        <w:t>Funding requirements under governmental regulations are a significant consideration in making contributions to our post-retirement plans. We made contributions of $ 25 million and $ 25 million to our post-retirement plans during 2024 and 2023, respectively. We currently anticipate making contributions to our post-retirement plans in the range of $17 million to $23 million during 2025, of which approximately $5 million is expected to be made in the first quarter.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Other Benefits</w:t>
            </w:r>
          </w:p>
        </w:tc>
      </w:tr>
      <w:tr>
        <w:trPr>
          <w:trHeight w:val="224"/>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Years 2030 - 2034</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Share-Based Compensation Plans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share-based compensation program is a broad-based program designed to attract and retain employees while also aligning employees’ interests with the interests of our shareholders. In addition, members of our Board of Directors participate in our share-based compensation program in connection with their service on our board. Share-based awards issued to employees include non-qualified stock options, restricted stock units and performance share units. Under the 2011 Omnibus Incentive Plan, the number of shares initially available for awards was 18 million. On November 18, 2022, there were an additional 3.2 million of shares registered for issuance under this plan, which do not increase the total pool of 18 million. On May 24, 2023, there were an additional 2.7 million shares registered for issuance. As of December 31, 2024, there were approximately 5.3 million shares of common stock available for future awards.</w:t>
      </w:r>
    </w:p>
    <w:p>
      <w:pPr>
        <w:spacing w:after="0" w:line="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Total share-based compensation expense recognized for 2024, 2023 and 2022 was $56 million, $60 million, and $ 37 million, respectively. The unamortized compensation expense at December 31, 2024 related to our stock options, restricted share units and performance share units was $7 million, $35 million and $ 14 million, respectively, and is expected to be recognized over a weighted average period of 2.0, 1.8 and 1.8 years, respectively. See Note 5, "Restructuring and Asset Impairment Charges" of our consolidated financial statements for discussion of certain restructuring charges related to share-based compensation expense.</w:t>
      </w:r>
    </w:p>
    <w:p>
      <w:pPr>
        <w:spacing w:after="0" w:line="58" w:lineRule="exact"/>
        <w:rPr>
          <w:sz w:val="20"/>
          <w:szCs w:val="20"/>
          <w:color w:val="auto"/>
        </w:rPr>
      </w:pPr>
    </w:p>
    <w:p>
      <w:pPr>
        <w:ind w:right="240"/>
        <w:spacing w:after="0" w:line="233" w:lineRule="auto"/>
        <w:rPr>
          <w:sz w:val="20"/>
          <w:szCs w:val="20"/>
          <w:color w:val="auto"/>
        </w:rPr>
      </w:pPr>
      <w:r>
        <w:rPr>
          <w:rFonts w:ascii="Arial" w:cs="Arial" w:eastAsia="Arial" w:hAnsi="Arial"/>
          <w:sz w:val="18"/>
          <w:szCs w:val="18"/>
          <w:color w:val="auto"/>
        </w:rPr>
        <w:t>The amount of cash received from the exercise of stock options was $67 million, $62 million and $8 million for 2024, 2023 and 2022 with a tax benefit of $19 million, $ 12 million and $3 million, respectively, realized associated with stock option exercises and vesting of restricted stock units. We classify as an operating activity the cash flows attributable to excess tax benefits arising from stock option exercises and restricted stock unit vestings.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Options are awarded with a contractual term of 10 years, generally vest over a three-year period and are exercisable within the contractual term, except in certain instances of termination due to death, retirement, disability and other limited circumstances in accordance with the terms of the grant agreements. The exercise price per share is the fair market value of the underlying common stock on the date each option is awarded. At December 31, 2024, there were options to purchase an aggregate of 1.2 million shares of common stock. The following is a summary of the changes in outstanding stock options for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1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2"/>
                <w:szCs w:val="12"/>
                <w:color w:val="auto"/>
              </w:rPr>
            </w:pPr>
          </w:p>
        </w:tc>
        <w:tc>
          <w:tcPr>
            <w:tcW w:w="11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(Years)</w:t>
            </w:r>
          </w:p>
        </w:tc>
        <w:tc>
          <w:tcPr>
            <w:tcW w:w="12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84.76</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Options exercisable at December 31, 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Vested and non-vested expected to vest as of December 31,</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83.70</w:t>
            </w:r>
          </w:p>
        </w:tc>
        <w:tc>
          <w:tcPr>
            <w:tcW w:w="1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amount of non-vested options outstanding was 0.4 million, 0.6 million and 0.6 million at a weighted average grant date share price of $111.88, $88.48 and $87.62 as of December 31, 2024, 2023 and 2022, respectively. The total intrinsic value of options exercised (which is the amount by which the stock price exceeded the exercise price of the options on the date of exercise) during 2024, 2023 and 2022 was $74 million, $140 million and $4 million, respectively.</w:t>
      </w:r>
    </w:p>
    <w:p>
      <w:pPr>
        <w:spacing w:after="0" w:line="6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used for 2024, 2023, and 2022 (excluding the valuation of options granted in conjunction with the Evoqua acquisition):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2022</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26.70 %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26.25 %</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option</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20.38</w:t>
            </w:r>
          </w:p>
        </w:tc>
      </w:tr>
    </w:tbl>
    <w:p>
      <w:pPr>
        <w:spacing w:after="0" w:line="18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Expected volatility is calculated based on an analysis of historic volatility measures for Xylem. We use historical data to estimate option exercise and employee termination behavior within the valuation model. The expected term represents an estimate of the period of time options are expected to remain outstanding. The risk-free rate is based on the U.S. Treasury yield curve in effect at the time of option grant.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Restricted stock units awarded to employees vest over a three-year period. Prior to the time a restricted stock unit becomes fully vested, the awardees cannot transfer, pledge or encumber such units. Prior to the time a restricted stock unit is fully vested, the awardees do not have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prior to vesting, a pro-rata portion of the restricted stock unit may vest in accordance with the terms of the applicable grant agreements. Restricted stock units awarded to member of our Board become fully vested upon the day prior to the next annual meeting. The fair value of the restricted stock unit awards is determined using the closing price of our common stock on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The following is a summary of the changes in outstanding restricted stock units for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2024</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2024</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111.33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Performance share units awarded under the long-term incentive plan vest based upon performance by the Company over a three-year period against targets approved by the Leadership Development &amp; Compensation Committee of the Company's Board of Directors prior to the grant date. For the performance periods, the performance share units were awarded at a target of 100% with actual payout contingent upon the achievement of a pre-set, three-year adjusted ROIC performance target for ROIC performance share units, pre-set, third-year adjusted EBITDA performance target for adjusted EBITDA performance share units, a pre-set third year revenue target for Revenue performance share units and a relative TSR performance for TSR performance share units. The calculated compensation cost for ROIC and Revenue performance share units is adjusted based on an estimate of awards ultimately expected to vest and our assessment of the probable outcome of the performance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ROIC and Adjusted EBITDA Performance Share Unit Grants</w:t>
      </w:r>
    </w:p>
    <w:p>
      <w:pPr>
        <w:spacing w:after="0" w:line="11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 following is a summary of the changes in outstanding ROIC and EBITDA performance share units for 2024. The fair value of the adjusted EBITDA performance share unit awards is determined using the closing price of our common stock on date of grant.: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4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rPr>
              <w:t>Share units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6"/>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2024</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29"/>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30"/>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105.02</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80" w:hanging="328"/>
        <w:spacing w:after="0" w:line="286"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performance condition achievement at the end of the performance period of such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48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48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40" w:type="dxa"/>
            <w:vAlign w:val="bottom"/>
            <w:tcBorders>
              <w:top w:val="single" w:sz="8" w:color="auto"/>
            </w:tcBorders>
            <w:shd w:val="clear" w:color="auto" w:fill="CCEEFF"/>
          </w:tcPr>
          <w:p>
            <w:pPr>
              <w:jc w:val="center"/>
              <w:ind w:left="1196"/>
              <w:spacing w:after="0"/>
              <w:rPr>
                <w:sz w:val="20"/>
                <w:szCs w:val="20"/>
                <w:color w:val="auto"/>
              </w:rPr>
            </w:pPr>
            <w:r>
              <w:rPr>
                <w:rFonts w:ascii="Arial" w:cs="Arial" w:eastAsia="Arial" w:hAnsi="Arial"/>
                <w:sz w:val="18"/>
                <w:szCs w:val="18"/>
                <w:color w:val="auto"/>
                <w:w w:val="99"/>
              </w:rPr>
              <w:t>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1196"/>
              <w:spacing w:after="0"/>
              <w:rPr>
                <w:sz w:val="20"/>
                <w:szCs w:val="20"/>
                <w:color w:val="auto"/>
              </w:rPr>
            </w:pPr>
            <w:r>
              <w:rPr>
                <w:rFonts w:ascii="Arial" w:cs="Arial" w:eastAsia="Arial" w:hAnsi="Arial"/>
                <w:sz w:val="18"/>
                <w:szCs w:val="18"/>
                <w:color w:val="auto"/>
                <w:w w:val="99"/>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center"/>
              <w:ind w:left="1196"/>
              <w:spacing w:after="0"/>
              <w:rPr>
                <w:sz w:val="20"/>
                <w:szCs w:val="20"/>
                <w:color w:val="auto"/>
              </w:rPr>
            </w:pPr>
            <w:r>
              <w:rPr>
                <w:rFonts w:ascii="Arial" w:cs="Arial" w:eastAsia="Arial" w:hAnsi="Arial"/>
                <w:sz w:val="18"/>
                <w:szCs w:val="18"/>
                <w:color w:val="auto"/>
                <w:w w:val="99"/>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Outstanding at December 31, 2024</w:t>
            </w:r>
          </w:p>
        </w:tc>
        <w:tc>
          <w:tcPr>
            <w:tcW w:w="1640" w:type="dxa"/>
            <w:vAlign w:val="bottom"/>
            <w:tcBorders>
              <w:bottom w:val="single" w:sz="8" w:color="auto"/>
            </w:tcBorders>
          </w:tcPr>
          <w:p>
            <w:pPr>
              <w:jc w:val="center"/>
              <w:ind w:left="1196"/>
              <w:spacing w:after="0"/>
              <w:rPr>
                <w:sz w:val="20"/>
                <w:szCs w:val="20"/>
                <w:color w:val="auto"/>
              </w:rPr>
            </w:pPr>
            <w:r>
              <w:rPr>
                <w:rFonts w:ascii="Arial" w:cs="Arial" w:eastAsia="Arial" w:hAnsi="Arial"/>
                <w:sz w:val="18"/>
                <w:szCs w:val="18"/>
                <w:b w:val="1"/>
                <w:bCs w:val="1"/>
                <w:color w:val="auto"/>
                <w:w w:val="99"/>
              </w:rPr>
              <w:t>77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105.06</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t>TSR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TSR performance share units for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2024</w:t>
            </w: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181.80</w:t>
            </w: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2024</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125.42</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300" w:hanging="328"/>
        <w:spacing w:after="0" w:line="286"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5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fair value of TSR performance share units were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key assumptions for 2024 grants.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26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2023</w:t>
            </w:r>
          </w:p>
        </w:tc>
        <w:tc>
          <w:tcPr>
            <w:tcW w:w="32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2022</w:t>
            </w: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27.2 %</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35.9 %</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33.3 %</w:t>
            </w: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4.33 %</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Stock</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the authority to issue an aggregate of 750 million shares of common stock having a par value of $0.01 per share. The shareholders of Xylem common stock are entitled to receive dividends as declared by the Xylem Board of Directors. Dividends declared were $1.44, $1.32 and $1.20 during 2024, 2023 and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shares of common stock outstanding for the three years ended December 31 are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320" w:type="dxa"/>
            <w:vAlign w:val="bottom"/>
          </w:tcPr>
          <w:p>
            <w:pPr>
              <w:spacing w:after="0"/>
              <w:rPr>
                <w:sz w:val="20"/>
                <w:szCs w:val="20"/>
                <w:color w:val="auto"/>
              </w:rPr>
            </w:pPr>
            <w:r>
              <w:rPr>
                <w:rFonts w:ascii="Arial" w:cs="Arial" w:eastAsia="Arial" w:hAnsi="Arial"/>
                <w:sz w:val="14"/>
                <w:szCs w:val="14"/>
                <w:color w:val="auto"/>
              </w:rPr>
              <w:t>(share units in thousands)</w:t>
            </w:r>
          </w:p>
        </w:tc>
        <w:tc>
          <w:tcPr>
            <w:tcW w:w="18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7"/>
                <w:szCs w:val="17"/>
                <w:color w:val="auto"/>
              </w:rPr>
            </w:pPr>
          </w:p>
        </w:tc>
        <w:tc>
          <w:tcPr>
            <w:tcW w:w="18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rPr>
              <w:t>2022</w:t>
            </w:r>
          </w:p>
        </w:tc>
      </w:tr>
      <w:tr>
        <w:trPr>
          <w:trHeight w:val="225"/>
        </w:trPr>
        <w:tc>
          <w:tcPr>
            <w:tcW w:w="5320" w:type="dxa"/>
            <w:vAlign w:val="bottom"/>
          </w:tcPr>
          <w:p>
            <w:pPr>
              <w:spacing w:after="0"/>
              <w:rPr>
                <w:sz w:val="20"/>
                <w:szCs w:val="20"/>
                <w:color w:val="auto"/>
              </w:rPr>
            </w:pPr>
            <w:r>
              <w:rPr>
                <w:rFonts w:ascii="Arial" w:cs="Arial" w:eastAsia="Arial" w:hAnsi="Arial"/>
                <w:sz w:val="18"/>
                <w:szCs w:val="18"/>
                <w:color w:val="auto"/>
              </w:rPr>
              <w:t>Beginning Balance, January 1</w:t>
            </w:r>
          </w:p>
        </w:tc>
        <w:tc>
          <w:tcPr>
            <w:tcW w:w="1880" w:type="dxa"/>
            <w:vAlign w:val="bottom"/>
          </w:tcPr>
          <w:p>
            <w:pPr>
              <w:jc w:val="right"/>
              <w:ind w:right="13"/>
              <w:spacing w:after="0"/>
              <w:rPr>
                <w:sz w:val="20"/>
                <w:szCs w:val="20"/>
                <w:color w:val="auto"/>
              </w:rPr>
            </w:pPr>
            <w:r>
              <w:rPr>
                <w:rFonts w:ascii="Arial" w:cs="Arial" w:eastAsia="Arial" w:hAnsi="Arial"/>
                <w:sz w:val="18"/>
                <w:szCs w:val="18"/>
                <w:b w:val="1"/>
                <w:bCs w:val="1"/>
                <w:color w:val="auto"/>
              </w:rPr>
              <w:t>241,504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180,253</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180,392</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the Evoqua acquisition (a)</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58,779</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Stock incentive plan net activity</w:t>
            </w:r>
          </w:p>
        </w:tc>
        <w:tc>
          <w:tcPr>
            <w:tcW w:w="1880" w:type="dxa"/>
            <w:vAlign w:val="bottom"/>
          </w:tcPr>
          <w:p>
            <w:pPr>
              <w:jc w:val="right"/>
              <w:ind w:right="13"/>
              <w:spacing w:after="0"/>
              <w:rPr>
                <w:sz w:val="20"/>
                <w:szCs w:val="20"/>
                <w:color w:val="auto"/>
              </w:rPr>
            </w:pPr>
            <w:r>
              <w:rPr>
                <w:rFonts w:ascii="Arial" w:cs="Arial" w:eastAsia="Arial" w:hAnsi="Arial"/>
                <w:sz w:val="18"/>
                <w:szCs w:val="18"/>
                <w:b w:val="1"/>
                <w:bCs w:val="1"/>
                <w:color w:val="auto"/>
              </w:rPr>
              <w:t>1,637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Ending Balance, December 31</w:t>
            </w:r>
          </w:p>
        </w:tc>
        <w:tc>
          <w:tcPr>
            <w:tcW w:w="1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242,985</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241,504</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180,253</w:t>
            </w:r>
          </w:p>
        </w:tc>
      </w:tr>
      <w:tr>
        <w:trPr>
          <w:trHeight w:val="20"/>
        </w:trPr>
        <w:tc>
          <w:tcPr>
            <w:tcW w:w="5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See Note 3 "Acquisitions and Divestitures" of our consolidated financial statements for further information.</w:t>
      </w:r>
    </w:p>
    <w:p>
      <w:pPr>
        <w:spacing w:after="0" w:line="10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For the years ended December 31, 2024 and December 31, 2023 the Company repurchased 0.2 million shares of common stock for $20 million and repurchased 0.3 million shares of common stock for $25 million, respectively. Repurchases include both share repurchase programs approved by the Board of Directors and repurchases in relation to settlement of employee tax withholding obligations due as a result of the vesting of restricted stock units. The detail of repurchases by each program are as follows: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For the years ended December 31, 2024 and December 31, 2023 there were no shares repurchased under the program. There are up to $182 million in shares that may still be purchased under this plan as of December 31,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21" w:name="page122"/>
    <w:bookmarkEnd w:id="121"/>
    <w:p>
      <w:pPr>
        <w:jc w:val="both"/>
        <w:spacing w:after="0" w:line="291" w:lineRule="auto"/>
        <w:rPr>
          <w:sz w:val="20"/>
          <w:szCs w:val="20"/>
          <w:color w:val="auto"/>
        </w:rPr>
      </w:pPr>
      <w:r>
        <w:rPr>
          <w:rFonts w:ascii="Arial" w:cs="Arial" w:eastAsia="Arial" w:hAnsi="Arial"/>
          <w:sz w:val="17"/>
          <w:szCs w:val="17"/>
          <w:color w:val="auto"/>
        </w:rPr>
        <w:t>Aside from the aforementioned repurchase programs, we repurchased approximately 0.2 million and approximately 0.3 million shares for $ 20 million and $25 million during 2024 and 2023, respectively, in relation to settlement of employee income tax withholding obligations due as a result of the vesting of restricted stock units. The shares repurchased are included in the stock incentive plan net activity in the above table.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2024, 2023 and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color w:val="auto"/>
              </w:rPr>
              <w:t>Derivative Instruments</w:t>
            </w:r>
          </w:p>
        </w:tc>
        <w:tc>
          <w:tcPr>
            <w:tcW w:w="34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Plans</w:t>
            </w:r>
          </w:p>
        </w:tc>
        <w:tc>
          <w:tcPr>
            <w:tcW w:w="16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U.K. pension settlement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benefit plans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plans, including settlement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(expense), net</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plan items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(gain) loss on foreign</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exchange agreements into cost of revenue</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Changes in post-retirement benefit plans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hedge agreements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Tax on unrealized loss on derivative hedge agreements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agreements into cost of revenue</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7"/>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55"/>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3" w:name="page124"/>
    <w:bookmarkEnd w:id="123"/>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 translation adjustment</w:t>
      </w:r>
    </w:p>
    <w:p>
      <w:pPr>
        <w:spacing w:after="0" w:line="32" w:lineRule="exact"/>
        <w:rPr>
          <w:sz w:val="20"/>
          <w:szCs w:val="20"/>
          <w:color w:val="auto"/>
        </w:rPr>
      </w:pPr>
    </w:p>
    <w:p>
      <w:pPr>
        <w:ind w:left="40" w:right="740"/>
        <w:spacing w:after="0" w:line="234" w:lineRule="auto"/>
        <w:rPr>
          <w:sz w:val="20"/>
          <w:szCs w:val="20"/>
          <w:color w:val="auto"/>
        </w:rPr>
      </w:pPr>
      <w:r>
        <w:rPr>
          <w:rFonts w:ascii="Arial" w:cs="Arial" w:eastAsia="Arial" w:hAnsi="Arial"/>
          <w:sz w:val="18"/>
          <w:szCs w:val="18"/>
          <w:color w:val="auto"/>
        </w:rPr>
        <w:t>Income tax impact on foreign currency translation adjustment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in post-retirement benefit plans</w:t>
      </w:r>
    </w:p>
    <w:p>
      <w:pPr>
        <w:spacing w:after="0" w:line="32" w:lineRule="exact"/>
        <w:rPr>
          <w:sz w:val="20"/>
          <w:szCs w:val="20"/>
          <w:color w:val="auto"/>
        </w:rPr>
      </w:pPr>
    </w:p>
    <w:p>
      <w:pPr>
        <w:ind w:left="40"/>
        <w:spacing w:after="0" w:line="234" w:lineRule="auto"/>
        <w:rPr>
          <w:sz w:val="20"/>
          <w:szCs w:val="20"/>
          <w:color w:val="auto"/>
        </w:rPr>
      </w:pPr>
      <w:r>
        <w:rPr>
          <w:rFonts w:ascii="Arial" w:cs="Arial" w:eastAsia="Arial" w:hAnsi="Arial"/>
          <w:sz w:val="18"/>
          <w:szCs w:val="18"/>
          <w:color w:val="auto"/>
        </w:rPr>
        <w:t>Foreign currency translation adjustment for post-retirement benefit plans</w:t>
      </w:r>
    </w:p>
    <w:p>
      <w:pPr>
        <w:spacing w:after="0" w:line="6" w:lineRule="exact"/>
        <w:rPr>
          <w:sz w:val="20"/>
          <w:szCs w:val="20"/>
          <w:color w:val="auto"/>
        </w:rPr>
      </w:pPr>
    </w:p>
    <w:p>
      <w:pPr>
        <w:ind w:left="40" w:right="200"/>
        <w:spacing w:after="0"/>
        <w:rPr>
          <w:sz w:val="20"/>
          <w:szCs w:val="20"/>
          <w:color w:val="auto"/>
        </w:rPr>
      </w:pPr>
      <w:r>
        <w:rPr>
          <w:rFonts w:ascii="Arial" w:cs="Arial" w:eastAsia="Arial" w:hAnsi="Arial"/>
          <w:sz w:val="18"/>
          <w:szCs w:val="18"/>
          <w:color w:val="auto"/>
        </w:rPr>
        <w:t>Income tax impact on changes in post-retirement benefit plans, including settlement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Unrealized loss on derivative hedge agreements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 on unrealized loss on derivative hedge agreements</w:t>
      </w:r>
    </w:p>
    <w:p>
      <w:pPr>
        <w:spacing w:after="0" w:line="23" w:lineRule="exact"/>
        <w:rPr>
          <w:sz w:val="20"/>
          <w:szCs w:val="20"/>
          <w:color w:val="auto"/>
        </w:rPr>
      </w:pPr>
    </w:p>
    <w:p>
      <w:pPr>
        <w:ind w:left="40" w:right="300"/>
        <w:spacing w:after="0" w:line="234" w:lineRule="auto"/>
        <w:rPr>
          <w:sz w:val="20"/>
          <w:szCs w:val="20"/>
          <w:color w:val="auto"/>
        </w:rPr>
      </w:pPr>
      <w:r>
        <w:rPr>
          <w:rFonts w:ascii="Arial" w:cs="Arial" w:eastAsia="Arial" w:hAnsi="Arial"/>
          <w:sz w:val="18"/>
          <w:szCs w:val="18"/>
          <w:color w:val="auto"/>
        </w:rPr>
        <w:t>Reclassification of unrealized loss on foreign exchange agreements into revenue</w:t>
      </w:r>
    </w:p>
    <w:p>
      <w:pPr>
        <w:spacing w:after="0" w:line="6" w:lineRule="exact"/>
        <w:rPr>
          <w:sz w:val="20"/>
          <w:szCs w:val="20"/>
          <w:color w:val="auto"/>
        </w:rPr>
      </w:pPr>
    </w:p>
    <w:p>
      <w:pPr>
        <w:ind w:left="40" w:right="300"/>
        <w:spacing w:after="0"/>
        <w:rPr>
          <w:sz w:val="20"/>
          <w:szCs w:val="20"/>
          <w:color w:val="auto"/>
        </w:rPr>
      </w:pPr>
      <w:r>
        <w:rPr>
          <w:rFonts w:ascii="Arial" w:cs="Arial" w:eastAsia="Arial" w:hAnsi="Arial"/>
          <w:sz w:val="18"/>
          <w:szCs w:val="18"/>
          <w:color w:val="auto"/>
        </w:rPr>
        <w:t>Reclassification of unrealized loss on foreign exchange agreements into cost of revenue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31, 2024</w:t>
      </w:r>
    </w:p>
    <w:p>
      <w:pPr>
        <w:spacing w:after="0" w:line="200" w:lineRule="exact"/>
        <w:rPr>
          <w:sz w:val="20"/>
          <w:szCs w:val="20"/>
          <w:color w:val="auto"/>
        </w:rPr>
      </w:pPr>
    </w:p>
    <w:p>
      <w:pPr>
        <w:spacing w:after="0" w:line="268" w:lineRule="exact"/>
        <w:rPr>
          <w:sz w:val="20"/>
          <w:szCs w:val="20"/>
          <w:color w:val="auto"/>
        </w:rPr>
      </w:pPr>
    </w:p>
    <w:p>
      <w:pPr>
        <w:ind w:right="1100"/>
        <w:spacing w:after="0" w:line="375" w:lineRule="auto"/>
        <w:rPr>
          <w:sz w:val="20"/>
          <w:szCs w:val="20"/>
          <w:color w:val="auto"/>
        </w:rPr>
      </w:pPr>
      <w:r>
        <w:rPr>
          <w:rFonts w:ascii="Arial" w:cs="Arial" w:eastAsia="Arial" w:hAnsi="Arial"/>
          <w:sz w:val="18"/>
          <w:szCs w:val="18"/>
          <w:b w:val="1"/>
          <w:bCs w:val="1"/>
          <w:color w:val="auto"/>
        </w:rPr>
        <w:t xml:space="preserve">Note 20. Commitments and Contingencies </w:t>
      </w:r>
      <w:r>
        <w:rPr>
          <w:rFonts w:ascii="Arial" w:cs="Arial" w:eastAsia="Arial" w:hAnsi="Arial"/>
          <w:sz w:val="18"/>
          <w:szCs w:val="18"/>
          <w:b w:val="1"/>
          <w:bCs w:val="1"/>
          <w:i w:val="1"/>
          <w:iCs w:val="1"/>
          <w:color w:val="auto"/>
        </w:rPr>
        <w:t>Legal Proceedings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color w:val="auto"/>
              </w:rPr>
              <w:t>Derivative Instruments</w:t>
            </w:r>
          </w:p>
        </w:tc>
        <w:tc>
          <w:tcPr>
            <w:tcW w:w="34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Plans</w:t>
            </w:r>
          </w:p>
        </w:tc>
        <w:tc>
          <w:tcPr>
            <w:tcW w:w="16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396"/>
        </w:trPr>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419"/>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01"/>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47"/>
        </w:trPr>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419"/>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07"/>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-1953895</wp:posOffset>
            </wp:positionV>
            <wp:extent cx="7106285" cy="265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-1542415</wp:posOffset>
            </wp:positionV>
            <wp:extent cx="7106285" cy="265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-1010920</wp:posOffset>
            </wp:positionV>
            <wp:extent cx="710628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-719455</wp:posOffset>
            </wp:positionV>
            <wp:extent cx="7106285" cy="265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-187960</wp:posOffset>
            </wp:positionV>
            <wp:extent cx="710628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4720" w:space="140"/>
            <w:col w:w="6380"/>
          </w:cols>
          <w:pgMar w:left="320" w:top="1382" w:right="339" w:bottom="1440" w:gutter="0" w:footer="0" w:header="0"/>
        </w:sect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7, "Income Taxes" of our consolidated financial statements for a description of a pending tax litigation matter.</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w:t>
      </w:r>
    </w:p>
    <w:p>
      <w:pPr>
        <w:spacing w:after="0" w:line="63"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color w:val="auto"/>
        </w:rPr>
        <w:t xml:space="preserve">We have estimated and accrued $4 million and $18 million as of December 31, 2024 and 2023, respectively, for these general legal matters. </w:t>
      </w:r>
      <w:r>
        <w:rPr>
          <w:rFonts w:ascii="Arial" w:cs="Arial" w:eastAsia="Arial" w:hAnsi="Arial"/>
          <w:sz w:val="18"/>
          <w:szCs w:val="18"/>
          <w:b w:val="1"/>
          <w:bCs w:val="1"/>
          <w:i w:val="1"/>
          <w:iCs w:val="1"/>
          <w:color w:val="auto"/>
        </w:rPr>
        <w:t>Unconditional Purchase Obligations</w:t>
      </w:r>
    </w:p>
    <w:p>
      <w:pPr>
        <w:spacing w:after="0" w:line="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have future unconditional purchase commitments which are legally binding and that specify all significant terms including price and/or quantity. Total future commitments for these obligations is $705 million, of which $664 million is committed within the next twelve months, excluding contracts that can be canceled without penalty.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December 31, 2024 and 2023, the amount of surety bonds, bank guarantees, insurance letters of credit and stand-by letters of credit was $758 million and $729 million, respectively.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both December 31, 2024 and 2023, respectively, for environmental matters.</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defects and specific non-performance. Warranty expense was $36 million, $29 million, and $ 24 million for 2024, 2023 and 2022, respectively. The table below provides changes in the combined current and non-current product warranty accruals over each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2022</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accrual –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charges for product warranties in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Evoqua additions from acquisition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Settlement of warranty claims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Warranty accrual – December 31</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5"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Note 21. Segment and Geographic Data</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and treatment equipment: filtration and separation, disinfection, wastewater solutions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technology solutions that enable intelligent use and conservation of critical water and energy resources as well as analytical instrumentation used in the testing of water. The Measurement and Control Solutions segment's major products include smart metering, networked</w:t>
      </w:r>
    </w:p>
    <w:p>
      <w:pPr>
        <w:spacing w:after="0" w:line="2" w:lineRule="exact"/>
        <w:rPr>
          <w:sz w:val="20"/>
          <w:szCs w:val="20"/>
          <w:color w:val="auto"/>
        </w:rPr>
      </w:pPr>
    </w:p>
    <w:p>
      <w:pPr>
        <w:spacing w:after="0" w:line="205" w:lineRule="exact"/>
        <w:rPr>
          <w:sz w:val="20"/>
          <w:szCs w:val="20"/>
          <w:color w:val="auto"/>
        </w:rPr>
      </w:pPr>
      <w:r>
        <w:rPr>
          <w:rFonts w:ascii="Arial" w:cs="Arial" w:eastAsia="Arial" w:hAnsi="Arial"/>
          <w:sz w:val="18"/>
          <w:szCs w:val="18"/>
          <w:color w:val="auto"/>
        </w:rPr>
        <w:t>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w:t>
      </w:r>
    </w:p>
    <w:p>
      <w:pPr>
        <w:spacing w:after="0" w:line="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 The accounting policies of each segment are the same as those described in the summary of significant accounting policies (see Note 1, "Summary of Significant Accounting Policies").</w:t>
      </w:r>
    </w:p>
    <w:p>
      <w:pPr>
        <w:spacing w:after="0" w:line="6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The chief operating decision maker (“CODM”) for the Company is our President and Chief Executive Officer. The CODM uses segment operating income/(loss) as a primary factor in allocating resources to the segments. The CODM considers budget-to-actual variances on a quarterly basis for the profit measure to assess segment performance. Disaggregated asset information by segment is not provided to the CODM for review, therefore, such information is not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contain financial information provided to the CODM for each reportable segment: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Water</w:t>
            </w: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and</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Solutions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Balance for year ended December 31, 2024</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8,562</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184"/>
        </w:trPr>
        <w:tc>
          <w:tcPr>
            <w:tcW w:w="4380" w:type="dxa"/>
            <w:vAlign w:val="bottom"/>
          </w:tcPr>
          <w:p>
            <w:pPr>
              <w:ind w:left="20"/>
              <w:spacing w:after="0" w:line="183" w:lineRule="exact"/>
              <w:rPr>
                <w:sz w:val="20"/>
                <w:szCs w:val="20"/>
                <w:color w:val="auto"/>
              </w:rPr>
            </w:pPr>
            <w:r>
              <w:rPr>
                <w:rFonts w:ascii="Arial" w:cs="Arial" w:eastAsia="Arial" w:hAnsi="Arial"/>
                <w:sz w:val="18"/>
                <w:szCs w:val="18"/>
                <w:color w:val="auto"/>
              </w:rPr>
              <w:t>Gain on remeasurement of previously held equity</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35"/>
        </w:trPr>
        <w:tc>
          <w:tcPr>
            <w:tcW w:w="4380" w:type="dxa"/>
            <w:vAlign w:val="bottom"/>
          </w:tcPr>
          <w:p>
            <w:pPr>
              <w:ind w:left="2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on sale of businesses</w:t>
            </w: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Balance for year ended December 31, 2023</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4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color w:val="auto"/>
              </w:rPr>
              <w:t>Balance for year ended December 31, 2022</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U.K. pension settlement expense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sale of businesses</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right="200" w:hanging="328"/>
        <w:spacing w:after="0" w:line="275"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costs of revenue and adjusted operating expenses represent segment-level information that are regularly provided to the CODM. These balances represent costs of revenue and operating expenses, respectively, adjusted to exclude purchase accounting intangible amortization, restructuring and realignment expenses, and special charges.</w:t>
      </w:r>
    </w:p>
    <w:p>
      <w:pPr>
        <w:spacing w:after="0" w:line="191" w:lineRule="exact"/>
        <w:rPr>
          <w:rFonts w:ascii="Arial" w:cs="Arial" w:eastAsia="Arial" w:hAnsi="Arial"/>
          <w:sz w:val="16"/>
          <w:szCs w:val="16"/>
          <w:color w:val="auto"/>
        </w:rPr>
      </w:pPr>
    </w:p>
    <w:p>
      <w:pPr>
        <w:ind w:left="660" w:right="80" w:hanging="328"/>
        <w:spacing w:after="0" w:line="271"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segment items for each segment represents purchase accounting intangible amortization, restructuring and realignment expenses, and special charges, which are excluded from the above significant expense categories regularly provided to the CODM in line with our adjusted measures as outlined in Item 7 "Management's Discussion and Analysis of Financial Condition and Results of Operations"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20" w:hanging="388"/>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Revenue is attributed to countries based upon the location of the customer. Property, Plant &amp; Equipment is attributed to countries based upon the location of the assets: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2022</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1,745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8,562</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right="190"/>
              <w:spacing w:after="0"/>
              <w:rPr>
                <w:sz w:val="20"/>
                <w:szCs w:val="20"/>
                <w:color w:val="auto"/>
              </w:rPr>
            </w:pPr>
            <w:r>
              <w:rPr>
                <w:rFonts w:ascii="Arial" w:cs="Arial" w:eastAsia="Arial" w:hAnsi="Arial"/>
                <w:sz w:val="14"/>
                <w:szCs w:val="14"/>
                <w:b w:val="1"/>
                <w:bCs w:val="1"/>
                <w:color w:val="auto"/>
              </w:rPr>
              <w:t>Property, Plant &amp; Equipment</w:t>
            </w:r>
          </w:p>
        </w:tc>
        <w:tc>
          <w:tcPr>
            <w:tcW w:w="1200" w:type="dxa"/>
            <w:vAlign w:val="bottom"/>
            <w:tcBorders>
              <w:bottom w:val="single" w:sz="8" w:color="auto"/>
            </w:tcBorders>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2022</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60" w:type="dxa"/>
            <w:vAlign w:val="bottom"/>
            <w:gridSpan w:val="2"/>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w:t>
            </w:r>
          </w:p>
        </w:tc>
        <w:tc>
          <w:tcPr>
            <w:tcW w:w="6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Redeemable Non-controlling Interests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holders of non-controlling interest in Idrica, a consolidated subsidiary of the Company, have a right to sell the remaining equity interest in Idrica to the Company for cash (the “Put Right”). The Put Right is exercisable after December 10, 2027 and has a fixed strike price of €168 million during the first two years after it is exercisable. Beginning in the third year of exercisability, the Put Right is exercisable at the fair market value of underlying equity</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28" w:name="page129"/>
    <w:bookmarkEnd w:id="128"/>
    <w:p>
      <w:pPr>
        <w:ind w:right="180"/>
        <w:spacing w:after="0" w:line="268" w:lineRule="auto"/>
        <w:rPr>
          <w:sz w:val="20"/>
          <w:szCs w:val="20"/>
          <w:color w:val="auto"/>
        </w:rPr>
      </w:pPr>
      <w:r>
        <w:rPr>
          <w:rFonts w:ascii="Arial" w:cs="Arial" w:eastAsia="Arial" w:hAnsi="Arial"/>
          <w:sz w:val="18"/>
          <w:szCs w:val="18"/>
          <w:color w:val="auto"/>
        </w:rPr>
        <w:t>interests. Redeemable non-controlling interest is reflected in the consolidated balance sheets at the greater of the carrying value or the redemption value. As of December 31, 2024, the Redeemable Non-Controlling Interest is reflected in the consolidated balance sheet at its carrying value.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On February 7, 2025, we closed on the divestiture of our Magneto business, as referenced in Note 3 "Acquisitions and Divestitures" for a selling price of $61 million in cash.</w:t>
      </w:r>
    </w:p>
    <w:p>
      <w:pPr>
        <w:spacing w:after="0" w:line="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January 28, 2025, at the delegation of the Company's Board of Directors, management committed to a restructuring plan. The plan consists of workforce reductions across all of our businesses and functions. The majority of the workforce reductions are expected to be completed during fiscal year 2025 with some completing in 2026, subject to local laws.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this restructuring, the Company currently expects to incur pre-tax charges of approximately $95 million to $115 million primarily during 2025, with some charges expected in 2026, and inclusive of approximately $19 million in the fourth quarter of 2024. The expected charges are comprised of employee severance, termination benefits, and associated costs, to be paid in cash.</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63" w:right="419" w:bottom="1440" w:gutter="0" w:footer="0" w:header="0"/>
        </w:sectPr>
      </w:pPr>
    </w:p>
    <w:bookmarkStart w:id="129" w:name="page130"/>
    <w:bookmarkEnd w:id="129"/>
    <w:p>
      <w:pPr>
        <w:spacing w:after="0" w:line="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with the Chief Executive Officer ("CEO") and Chief Financial Officer ("CFO") of the Company, has evaluated the effectiveness of the design and operation of our disclosure controls and procedures as of the end of the year ended December 31, 2024 pursuant to Rule 13a-15(b) and 15d-15(e) of the Securities Exchange Act of 1934 (“the Exchange Act”). Based upon that evaluation, our CEO and our CFO concluded that our disclosure controls and procedures as of the year ended December 31, 2024 were effective, in all material respects, and designed to provide reasonable assurance that the information required to be disclosed by us in the reports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the SEC's rules and regulations for the implementation of Section 404 of the Sarbanes-Oxley Act, the Company's 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w:t>
      </w:r>
    </w:p>
    <w:p>
      <w:pPr>
        <w:spacing w:after="0" w:line="193"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The Company's management, including the CEO and CFO, conducted an assessment of the effectiveness of our internal control over financial reporting as of December 31, 2024 based on the framework established in Internal Control - Integrated Framework issued by the Committee of Sponsoring Organization of the Treadway Commission (2013). This assessment included an evaluation of the design of our internal control over financial reporting and testing of the operational effectiveness of those controls. Based on our assessment, the Company's management has concluded that our internal control over financial reporting was effective as of December 31, 2024.</w:t>
      </w:r>
    </w:p>
    <w:p>
      <w:pPr>
        <w:spacing w:after="0" w:line="2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2024 has been audited by Deloitte &amp; Touche LLP, an independent registered public accounting firm, as stated in their report which appears following Item 9C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ended December 31, 2024 that have materially affected, or are reasonably likely to materially affect, our internal control over financial reporting.</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Plans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the quarter ended December 31, 2024, no director or Section 16 officer adopted or terminated any Rule 10b5-1 trading arrangements or non-Rule 10b5-1 trading arrangements (in each case, as defined in Item 408(a) of Regulation S-K).</w:t>
      </w:r>
    </w:p>
    <w:p>
      <w:pPr>
        <w:spacing w:after="0" w:line="180" w:lineRule="exact"/>
        <w:rPr>
          <w:sz w:val="20"/>
          <w:szCs w:val="20"/>
          <w:color w:val="auto"/>
        </w:rPr>
      </w:pPr>
    </w:p>
    <w:p>
      <w:pPr>
        <w:ind w:right="2880"/>
        <w:spacing w:after="0" w:line="39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ind w:right="2560" w:firstLine="2572"/>
        <w:spacing w:after="0" w:line="3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Xylem Inc. </w:t>
      </w:r>
      <w:r>
        <w:rPr>
          <w:rFonts w:ascii="Arial" w:cs="Arial" w:eastAsia="Arial" w:hAnsi="Arial"/>
          <w:sz w:val="18"/>
          <w:szCs w:val="18"/>
          <w:b w:val="1"/>
          <w:bCs w:val="1"/>
          <w:color w:val="auto"/>
        </w:rPr>
        <w:t>Opinion on Internal Control over Financial</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audited the internal control over financial reporting of Xylem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March 3, 2025, expressed an unqualified opinion on those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 2025</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Definitive Proxy Statement to be filed with the SEC in connection with our 2025 Annual Meeting of Shareholders (the “2025 Proxy Statement”) under the captions “Proposal 1 - Election of Directors,” "Board Composition and Refreshment," "Board Committees - Audit Committee," and "Audit Committee Report."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called for by Item 10 with respect to executive officers is set forth in Part I of this Report under the caption “Information about our Executive Officers” and is incorporated by reference in this section.</w:t>
      </w:r>
    </w:p>
    <w:p>
      <w:pPr>
        <w:spacing w:after="0" w:line="9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information required by this item relating to our insider trading policies and procedures is incorporated herein by reference to the information in our 2025 Proxy Statement under caption “Stock Ownership - Insider Trading and Rule10b5-1 Trading Plans Policy”.</w:t>
      </w:r>
    </w:p>
    <w:p>
      <w:pPr>
        <w:spacing w:after="0" w:line="9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We have adopted Corporate Governance Principles and charters for each of our Board committees. The Corporate Governance Principles address director qualification standards, responsibilities, access to management and independent advisors, compensation, orientation and continuing education, succession planning and board and committee assessment. The Corporate Governance Principles and Board committee charters are available on the Company’s website at </w:t>
      </w:r>
      <w:r>
        <w:rPr>
          <w:rFonts w:ascii="Arial" w:cs="Arial" w:eastAsia="Arial" w:hAnsi="Arial"/>
          <w:sz w:val="18"/>
          <w:szCs w:val="18"/>
          <w:i w:val="1"/>
          <w:iCs w:val="1"/>
          <w:color w:val="auto"/>
        </w:rPr>
        <w:t>www.xylem.com/en-us/investors/governance/</w:t>
      </w:r>
      <w:r>
        <w:rPr>
          <w:rFonts w:ascii="Arial" w:cs="Arial" w:eastAsia="Arial" w:hAnsi="Arial"/>
          <w:sz w:val="18"/>
          <w:szCs w:val="18"/>
          <w:color w:val="auto"/>
        </w:rPr>
        <w:t>. A copy of the Corporate Governance Principles and Board committee charters are also available to any shareholder who requests a copy from the Company’s Corporate Secretary at our Principal Executive Offices.</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adopted a written Code of Conduct that is applicable to all of our directors, officers and employees, including the Company’s CEO and CFO and other executive officers identified pursuant to this Item 10. In accordance with the SEC’s rules and regulations, a copy of the Code of Conduct has been posted to our website and it is also available to any shareholder who requests a copy from the Company's Corporate Secretary at our Principal Executive Offices. We intend to disclose any amendments to our Code of Conduct and any waivers of the Code of Conduct on our website at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within four business days following the date of the amendment or waiver.</w:t>
      </w:r>
    </w:p>
    <w:p>
      <w:pPr>
        <w:spacing w:after="0" w:line="200" w:lineRule="exact"/>
        <w:rPr>
          <w:sz w:val="20"/>
          <w:szCs w:val="20"/>
          <w:color w:val="auto"/>
        </w:rPr>
      </w:pPr>
    </w:p>
    <w:p>
      <w:pPr>
        <w:spacing w:after="0" w:line="3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1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2025 Proxy Statement set forth under captions “Compensation Discussion and Analysis," "Director Compensation," "Board Committees - Leadership Development and Compensation Committee" and “Leadership Development and Compensation Committee Report.”</w:t>
      </w:r>
    </w:p>
    <w:p>
      <w:pPr>
        <w:spacing w:after="0" w:line="63"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2025 Proxy Statement set forth under the captions “Stock Ownership - Certain Beneficial Owners," "Stock Ownership - Directors and Named Executive Officers" and "Equity Compensation Plan Information."</w:t>
      </w:r>
    </w:p>
    <w:p>
      <w:pPr>
        <w:spacing w:after="0" w:line="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7"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The information required by this Item is incorporated herein by reference to the information in our 2025 Proxy Statement set forth under the captions "Corporate Governance - Director Independence" and “Corporate Governance Policies and Practices - Related Party Transactions.”</w:t>
      </w:r>
    </w:p>
    <w:p>
      <w:pPr>
        <w:spacing w:after="0" w:line="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2025 Proxy Statement set forth under the captions “Proposal 2 - Fees of Audit and Other Services” and "Proposal 2 - Pre-Approval of Audit and Non-Audit Services."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2" w:name="page133"/>
    <w:bookmarkEnd w:id="132"/>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58" w:lineRule="exact"/>
        <w:rPr>
          <w:sz w:val="20"/>
          <w:szCs w:val="20"/>
          <w:color w:val="auto"/>
        </w:rPr>
      </w:pPr>
    </w:p>
    <w:p>
      <w:pPr>
        <w:ind w:left="1060" w:right="600" w:hanging="1034"/>
        <w:spacing w:after="0" w:line="248" w:lineRule="auto"/>
        <w:tabs>
          <w:tab w:leader="none" w:pos="6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(1) The Index to Consolidated Financial Statements of the Registrant under Item 8 of this Report is incorporated herein by reference as the list of Financial Statements required as part of this Report.</w:t>
      </w:r>
    </w:p>
    <w:p>
      <w:pPr>
        <w:ind w:left="1060" w:hanging="440"/>
        <w:spacing w:after="0" w:line="242" w:lineRule="auto"/>
        <w:tabs>
          <w:tab w:leader="none" w:pos="10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have been omitted because they are not applicable or the required information is shown in the financial statements or notes thereto.</w:t>
      </w:r>
    </w:p>
    <w:p>
      <w:pPr>
        <w:spacing w:after="0" w:line="1" w:lineRule="exact"/>
        <w:rPr>
          <w:rFonts w:ascii="Arial" w:cs="Arial" w:eastAsia="Arial" w:hAnsi="Arial"/>
          <w:sz w:val="18"/>
          <w:szCs w:val="18"/>
          <w:color w:val="auto"/>
        </w:rPr>
      </w:pPr>
    </w:p>
    <w:p>
      <w:pPr>
        <w:ind w:left="1060" w:hanging="440"/>
        <w:spacing w:after="0"/>
        <w:tabs>
          <w:tab w:leader="none" w:pos="10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Exhibits — See exhibits listed under Part (b)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20" w:type="dxa"/>
            <w:vAlign w:val="bottom"/>
            <w:gridSpan w:val="2"/>
          </w:tcPr>
          <w:p>
            <w:pPr>
              <w:ind w:left="4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432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470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432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gridSpan w:val="3"/>
          </w:tcPr>
          <w:p>
            <w:pPr>
              <w:jc w:val="right"/>
              <w:ind w:right="500"/>
              <w:spacing w:after="0"/>
              <w:rPr>
                <w:rFonts w:ascii="Arial" w:cs="Arial" w:eastAsia="Arial" w:hAnsi="Arial"/>
                <w:sz w:val="18"/>
                <w:szCs w:val="18"/>
                <w:color w:val="0000FF"/>
              </w:rPr>
            </w:pPr>
            <w:hyperlink r:id="rId15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320" w:type="dxa"/>
            <w:vAlign w:val="bottom"/>
          </w:tcPr>
          <w:p>
            <w:pPr>
              <w:ind w:left="180"/>
              <w:spacing w:after="0"/>
              <w:rPr>
                <w:sz w:val="20"/>
                <w:szCs w:val="20"/>
                <w:color w:val="auto"/>
              </w:rPr>
            </w:pPr>
            <w:r>
              <w:rPr>
                <w:rFonts w:ascii="Arial" w:cs="Arial" w:eastAsia="Arial" w:hAnsi="Arial"/>
                <w:sz w:val="18"/>
                <w:szCs w:val="18"/>
                <w:color w:val="auto"/>
              </w:rPr>
              <w:t>Fourth Amended and Restated Articles of</w:t>
            </w:r>
          </w:p>
        </w:tc>
        <w:tc>
          <w:tcPr>
            <w:tcW w:w="4700" w:type="dxa"/>
            <w:vAlign w:val="bottom"/>
          </w:tcPr>
          <w:p>
            <w:pPr>
              <w:ind w:left="100"/>
              <w:spacing w:after="0"/>
              <w:rPr>
                <w:sz w:val="20"/>
                <w:szCs w:val="20"/>
                <w:color w:val="auto"/>
              </w:rPr>
            </w:pPr>
            <w:r>
              <w:rPr>
                <w:rFonts w:ascii="Arial" w:cs="Arial" w:eastAsia="Arial" w:hAnsi="Arial"/>
                <w:sz w:val="18"/>
                <w:szCs w:val="18"/>
                <w:color w:val="auto"/>
              </w:rPr>
              <w:t>Incorporated by reference to Exhibit 3.1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00" w:type="dxa"/>
            <w:vAlign w:val="bottom"/>
          </w:tcPr>
          <w:p>
            <w:pPr>
              <w:spacing w:after="0"/>
              <w:rPr>
                <w:sz w:val="12"/>
                <w:szCs w:val="12"/>
                <w:color w:val="auto"/>
              </w:rPr>
            </w:pPr>
          </w:p>
        </w:tc>
        <w:tc>
          <w:tcPr>
            <w:tcW w:w="4320" w:type="dxa"/>
            <w:vAlign w:val="bottom"/>
          </w:tcPr>
          <w:p>
            <w:pPr>
              <w:ind w:left="180"/>
              <w:spacing w:after="0" w:line="149" w:lineRule="exact"/>
              <w:rPr>
                <w:sz w:val="20"/>
                <w:szCs w:val="20"/>
                <w:color w:val="auto"/>
              </w:rPr>
            </w:pPr>
            <w:r>
              <w:rPr>
                <w:rFonts w:ascii="Arial" w:cs="Arial" w:eastAsia="Arial" w:hAnsi="Arial"/>
                <w:sz w:val="17"/>
                <w:szCs w:val="17"/>
                <w:color w:val="auto"/>
              </w:rPr>
              <w:t>Incorporation of Xylem Inc.</w:t>
            </w:r>
          </w:p>
        </w:tc>
        <w:tc>
          <w:tcPr>
            <w:tcW w:w="4700" w:type="dxa"/>
            <w:vAlign w:val="bottom"/>
          </w:tcPr>
          <w:p>
            <w:pPr>
              <w:ind w:left="100"/>
              <w:spacing w:after="0" w:line="149" w:lineRule="exact"/>
              <w:rPr>
                <w:sz w:val="20"/>
                <w:szCs w:val="20"/>
                <w:color w:val="auto"/>
              </w:rPr>
            </w:pPr>
            <w:r>
              <w:rPr>
                <w:rFonts w:ascii="Arial" w:cs="Arial" w:eastAsia="Arial" w:hAnsi="Arial"/>
                <w:sz w:val="17"/>
                <w:szCs w:val="17"/>
                <w:color w:val="auto"/>
              </w:rPr>
              <w:t>Form 8-K filed on May 15, 2017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780" w:type="dxa"/>
            <w:vAlign w:val="bottom"/>
            <w:gridSpan w:val="3"/>
          </w:tcPr>
          <w:p>
            <w:pPr>
              <w:jc w:val="right"/>
              <w:ind w:right="500"/>
              <w:spacing w:after="0"/>
              <w:rPr>
                <w:rFonts w:ascii="Arial" w:cs="Arial" w:eastAsia="Arial" w:hAnsi="Arial"/>
                <w:sz w:val="18"/>
                <w:szCs w:val="18"/>
                <w:color w:val="0000FF"/>
              </w:rPr>
            </w:pPr>
            <w:hyperlink r:id="rId15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320" w:type="dxa"/>
            <w:vAlign w:val="bottom"/>
          </w:tcPr>
          <w:p>
            <w:pPr>
              <w:ind w:left="180"/>
              <w:spacing w:after="0"/>
              <w:rPr>
                <w:sz w:val="20"/>
                <w:szCs w:val="20"/>
                <w:color w:val="auto"/>
              </w:rPr>
            </w:pPr>
            <w:r>
              <w:rPr>
                <w:rFonts w:ascii="Arial" w:cs="Arial" w:eastAsia="Arial" w:hAnsi="Arial"/>
                <w:sz w:val="18"/>
                <w:szCs w:val="18"/>
                <w:color w:val="auto"/>
              </w:rPr>
              <w:t>Fifth Amended and Restated By-laws of Xylem Inc.</w:t>
            </w:r>
          </w:p>
        </w:tc>
        <w:tc>
          <w:tcPr>
            <w:tcW w:w="4700" w:type="dxa"/>
            <w:vAlign w:val="bottom"/>
          </w:tcPr>
          <w:p>
            <w:pPr>
              <w:ind w:left="100"/>
              <w:spacing w:after="0"/>
              <w:rPr>
                <w:sz w:val="20"/>
                <w:szCs w:val="20"/>
                <w:color w:val="auto"/>
              </w:rPr>
            </w:pPr>
            <w:r>
              <w:rPr>
                <w:rFonts w:ascii="Arial" w:cs="Arial" w:eastAsia="Arial" w:hAnsi="Arial"/>
                <w:sz w:val="18"/>
                <w:szCs w:val="18"/>
                <w:color w:val="auto"/>
              </w:rPr>
              <w:t>Incorporated by reference to Exhibit 3.1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5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700" w:type="dxa"/>
            <w:vAlign w:val="bottom"/>
          </w:tcPr>
          <w:p>
            <w:pPr>
              <w:ind w:left="100"/>
              <w:spacing w:after="0" w:line="149" w:lineRule="exact"/>
              <w:rPr>
                <w:sz w:val="20"/>
                <w:szCs w:val="20"/>
                <w:color w:val="auto"/>
              </w:rPr>
            </w:pPr>
            <w:r>
              <w:rPr>
                <w:rFonts w:ascii="Arial" w:cs="Arial" w:eastAsia="Arial" w:hAnsi="Arial"/>
                <w:sz w:val="17"/>
                <w:szCs w:val="17"/>
                <w:color w:val="auto"/>
              </w:rPr>
              <w:t>Form 8-K filed on November 15, 2022 (CIK No. 1524472,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1060"/>
          </w:cols>
          <w:pgMar w:left="320" w:top="890" w:right="519" w:bottom="1440" w:gutter="0" w:footer="0" w:header="0"/>
        </w:sectPr>
      </w:pPr>
    </w:p>
    <w:tbl>
      <w:tblPr>
        <w:tblLayout w:type="fixed"/>
        <w:tblInd w:w="20" w:type="dxa"/>
        <w:tblCellMar>
          <w:top w:w="0" w:type="dxa"/>
          <w:left w:w="0" w:type="dxa"/>
          <w:bottom w:w="0" w:type="dxa"/>
          <w:right w:w="0" w:type="dxa"/>
        </w:tblCellMar>
      </w:tblPr>
      <w:tr>
        <w:trPr>
          <w:trHeight w:val="214"/>
        </w:trPr>
        <w:tc>
          <w:tcPr>
            <w:tcW w:w="600" w:type="dxa"/>
            <w:vAlign w:val="bottom"/>
            <w:gridSpan w:val="2"/>
          </w:tcPr>
          <w:p>
            <w:pPr>
              <w:jc w:val="right"/>
              <w:ind w:right="340"/>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4500" w:type="dxa"/>
            <w:vAlign w:val="bottom"/>
          </w:tcPr>
          <w:p>
            <w:pPr>
              <w:ind w:left="340"/>
              <w:spacing w:after="0"/>
              <w:rPr>
                <w:sz w:val="20"/>
                <w:szCs w:val="20"/>
                <w:color w:val="auto"/>
              </w:rPr>
            </w:pPr>
            <w:r>
              <w:rPr>
                <w:rFonts w:ascii="Arial" w:cs="Arial" w:eastAsia="Arial" w:hAnsi="Arial"/>
                <w:sz w:val="18"/>
                <w:szCs w:val="18"/>
                <w:color w:val="auto"/>
                <w:w w:val="99"/>
              </w:rPr>
              <w:t>Description of securities registered under Section 12</w:t>
            </w:r>
          </w:p>
        </w:tc>
      </w:tr>
      <w:tr>
        <w:trPr>
          <w:trHeight w:val="212"/>
        </w:trPr>
        <w:tc>
          <w:tcPr>
            <w:tcW w:w="2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of the Exchange Act.</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320"/>
        <w:spacing w:after="0" w:line="227" w:lineRule="auto"/>
        <w:rPr>
          <w:sz w:val="20"/>
          <w:szCs w:val="20"/>
          <w:color w:val="auto"/>
        </w:rPr>
      </w:pPr>
      <w:r>
        <w:rPr>
          <w:rFonts w:ascii="Arial" w:cs="Arial" w:eastAsia="Arial" w:hAnsi="Arial"/>
          <w:sz w:val="18"/>
          <w:szCs w:val="18"/>
          <w:color w:val="auto"/>
        </w:rPr>
        <w:t>Incorporated by reference to Exhibit 4.1 of Xylem Inc.’s Form 10-K Annual report filed on February 24, 2023 (CIK No. 1524472, File No. 1-35229).</w:t>
      </w:r>
    </w:p>
    <w:p>
      <w:pPr>
        <w:spacing w:after="0" w:line="35" w:lineRule="exact"/>
        <w:rPr>
          <w:sz w:val="20"/>
          <w:szCs w:val="20"/>
          <w:color w:val="auto"/>
        </w:rPr>
      </w:pPr>
    </w:p>
    <w:p>
      <w:pPr>
        <w:sectPr>
          <w:pgSz w:w="11900" w:h="16838" w:orient="portrait"/>
          <w:cols w:equalWidth="0" w:num="2">
            <w:col w:w="5120" w:space="80"/>
            <w:col w:w="5860"/>
          </w:cols>
          <w:pgMar w:left="320" w:top="890" w:right="51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00" w:type="dxa"/>
            <w:vAlign w:val="bottom"/>
            <w:gridSpan w:val="2"/>
          </w:tcPr>
          <w:p>
            <w:pPr>
              <w:jc w:val="right"/>
              <w:ind w:right="340"/>
              <w:spacing w:after="0"/>
              <w:rPr>
                <w:rFonts w:ascii="Arial" w:cs="Arial" w:eastAsia="Arial" w:hAnsi="Arial"/>
                <w:sz w:val="18"/>
                <w:szCs w:val="18"/>
                <w:color w:val="0000FF"/>
                <w:w w:val="95"/>
              </w:rPr>
            </w:pPr>
            <w:hyperlink r:id="rId16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w:t>
              </w:r>
            </w:hyperlink>
          </w:p>
        </w:tc>
        <w:tc>
          <w:tcPr>
            <w:tcW w:w="9160" w:type="dxa"/>
            <w:vAlign w:val="bottom"/>
            <w:gridSpan w:val="2"/>
          </w:tcPr>
          <w:p>
            <w:pPr>
              <w:ind w:left="340"/>
              <w:spacing w:after="0"/>
              <w:rPr>
                <w:sz w:val="20"/>
                <w:szCs w:val="20"/>
                <w:color w:val="auto"/>
              </w:rPr>
            </w:pPr>
            <w:r>
              <w:rPr>
                <w:rFonts w:ascii="Arial" w:cs="Arial" w:eastAsia="Arial" w:hAnsi="Arial"/>
                <w:sz w:val="18"/>
                <w:szCs w:val="18"/>
                <w:color w:val="auto"/>
              </w:rPr>
              <w:t>Indenture, dated as of September 20, 2011, between Incorporated by reference to Exhibit 4.2 of ITT</w:t>
            </w:r>
          </w:p>
        </w:tc>
      </w:tr>
      <w:tr>
        <w:trPr>
          <w:trHeight w:val="148"/>
        </w:trPr>
        <w:tc>
          <w:tcPr>
            <w:tcW w:w="26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9160" w:type="dxa"/>
            <w:vAlign w:val="bottom"/>
            <w:gridSpan w:val="2"/>
          </w:tcPr>
          <w:p>
            <w:pPr>
              <w:ind w:left="340"/>
              <w:spacing w:after="0" w:line="149" w:lineRule="exact"/>
              <w:rPr>
                <w:sz w:val="20"/>
                <w:szCs w:val="20"/>
                <w:color w:val="auto"/>
              </w:rPr>
            </w:pPr>
            <w:r>
              <w:rPr>
                <w:rFonts w:ascii="Arial" w:cs="Arial" w:eastAsia="Arial" w:hAnsi="Arial"/>
                <w:sz w:val="17"/>
                <w:szCs w:val="17"/>
                <w:color w:val="auto"/>
              </w:rPr>
              <w:t>Xylem Inc., ITT Corporation, as initial guarantor, and Corporation’s Form 8-K filed on September 21, 2011 (CIK</w:t>
            </w:r>
          </w:p>
        </w:tc>
      </w:tr>
      <w:tr>
        <w:trPr>
          <w:trHeight w:val="239"/>
        </w:trPr>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Union Bank, N.A., as trustee.</w:t>
            </w:r>
          </w:p>
        </w:tc>
        <w:tc>
          <w:tcPr>
            <w:tcW w:w="5540" w:type="dxa"/>
            <w:vAlign w:val="bottom"/>
          </w:tcPr>
          <w:p>
            <w:pPr>
              <w:ind w:left="960"/>
              <w:spacing w:after="0"/>
              <w:rPr>
                <w:sz w:val="20"/>
                <w:szCs w:val="20"/>
                <w:color w:val="auto"/>
              </w:rPr>
            </w:pPr>
            <w:r>
              <w:rPr>
                <w:rFonts w:ascii="Arial" w:cs="Arial" w:eastAsia="Arial" w:hAnsi="Arial"/>
                <w:sz w:val="18"/>
                <w:szCs w:val="18"/>
                <w:color w:val="auto"/>
              </w:rPr>
              <w:t>No. 216228, File No. 1-5672).</w:t>
            </w:r>
          </w:p>
        </w:tc>
      </w:tr>
    </w:tbl>
    <w:p>
      <w:pPr>
        <w:spacing w:after="0" w:line="27" w:lineRule="exact"/>
        <w:rPr>
          <w:sz w:val="20"/>
          <w:szCs w:val="20"/>
          <w:color w:val="auto"/>
        </w:rPr>
      </w:pPr>
    </w:p>
    <w:p>
      <w:pPr>
        <w:sectPr>
          <w:pgSz w:w="11900" w:h="16838" w:orient="portrait"/>
          <w:cols w:equalWidth="0" w:num="1">
            <w:col w:w="11060"/>
          </w:cols>
          <w:pgMar w:left="320" w:top="890" w:right="51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00" w:type="dxa"/>
            <w:vAlign w:val="bottom"/>
            <w:gridSpan w:val="2"/>
          </w:tcPr>
          <w:p>
            <w:pPr>
              <w:jc w:val="right"/>
              <w:ind w:right="340"/>
              <w:spacing w:after="0"/>
              <w:rPr>
                <w:rFonts w:ascii="Arial" w:cs="Arial" w:eastAsia="Arial" w:hAnsi="Arial"/>
                <w:sz w:val="18"/>
                <w:szCs w:val="18"/>
                <w:color w:val="0000FF"/>
                <w:w w:val="95"/>
              </w:rPr>
            </w:pPr>
            <w:hyperlink r:id="rId16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4220" w:type="dxa"/>
            <w:vAlign w:val="bottom"/>
          </w:tcPr>
          <w:p>
            <w:pPr>
              <w:ind w:left="340"/>
              <w:spacing w:after="0"/>
              <w:rPr>
                <w:sz w:val="20"/>
                <w:szCs w:val="20"/>
                <w:color w:val="auto"/>
              </w:rPr>
            </w:pPr>
            <w:r>
              <w:rPr>
                <w:rFonts w:ascii="Arial" w:cs="Arial" w:eastAsia="Arial" w:hAnsi="Arial"/>
                <w:sz w:val="18"/>
                <w:szCs w:val="18"/>
                <w:color w:val="auto"/>
              </w:rPr>
              <w:t>Senior Indenture, dated March 11, 2016, by and</w:t>
            </w:r>
          </w:p>
        </w:tc>
      </w:tr>
      <w:tr>
        <w:trPr>
          <w:trHeight w:val="149"/>
        </w:trPr>
        <w:tc>
          <w:tcPr>
            <w:tcW w:w="26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Pr>
          <w:p>
            <w:pPr>
              <w:ind w:left="340"/>
              <w:spacing w:after="0" w:line="149" w:lineRule="exact"/>
              <w:rPr>
                <w:sz w:val="20"/>
                <w:szCs w:val="20"/>
                <w:color w:val="auto"/>
              </w:rPr>
            </w:pPr>
            <w:r>
              <w:rPr>
                <w:rFonts w:ascii="Arial" w:cs="Arial" w:eastAsia="Arial" w:hAnsi="Arial"/>
                <w:sz w:val="17"/>
                <w:szCs w:val="17"/>
                <w:color w:val="auto"/>
              </w:rPr>
              <w:t>between the Company and Deutsche Bank Trust</w:t>
            </w:r>
          </w:p>
        </w:tc>
      </w:tr>
      <w:tr>
        <w:trPr>
          <w:trHeight w:val="239"/>
        </w:trPr>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Company Americas, as trustee.</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320"/>
        <w:spacing w:after="0" w:line="227" w:lineRule="auto"/>
        <w:rPr>
          <w:sz w:val="20"/>
          <w:szCs w:val="20"/>
          <w:color w:val="auto"/>
        </w:rPr>
      </w:pPr>
      <w:r>
        <w:rPr>
          <w:rFonts w:ascii="Arial" w:cs="Arial" w:eastAsia="Arial" w:hAnsi="Arial"/>
          <w:sz w:val="18"/>
          <w:szCs w:val="18"/>
          <w:color w:val="auto"/>
        </w:rPr>
        <w:t>Incorporated by reference to Exhibit 4.1 of Xylem Inc.’s Form 8-K filed on March 11, 2016 (CIK No. 1524472, File No. 1-35229).</w:t>
      </w:r>
    </w:p>
    <w:p>
      <w:pPr>
        <w:spacing w:after="0" w:line="34" w:lineRule="exact"/>
        <w:rPr>
          <w:sz w:val="20"/>
          <w:szCs w:val="20"/>
          <w:color w:val="auto"/>
        </w:rPr>
      </w:pPr>
    </w:p>
    <w:p>
      <w:pPr>
        <w:sectPr>
          <w:pgSz w:w="11900" w:h="16838" w:orient="portrait"/>
          <w:cols w:equalWidth="0" w:num="2">
            <w:col w:w="4840" w:space="360"/>
            <w:col w:w="5860"/>
          </w:cols>
          <w:pgMar w:left="320" w:top="890" w:right="51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00" w:type="dxa"/>
            <w:vAlign w:val="bottom"/>
            <w:gridSpan w:val="2"/>
          </w:tcPr>
          <w:p>
            <w:pPr>
              <w:jc w:val="right"/>
              <w:ind w:right="340"/>
              <w:spacing w:after="0"/>
              <w:rPr>
                <w:rFonts w:ascii="Arial" w:cs="Arial" w:eastAsia="Arial" w:hAnsi="Arial"/>
                <w:sz w:val="18"/>
                <w:szCs w:val="18"/>
                <w:color w:val="0000FF"/>
                <w:w w:val="95"/>
              </w:rPr>
            </w:pPr>
            <w:hyperlink r:id="rId16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4</w:t>
              </w:r>
            </w:hyperlink>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First Supplemental Indenture, dated March 11, 2016, Incorporated by reference to Exhibit 4.2 of Xylem Inc.’s</w:t>
            </w:r>
          </w:p>
        </w:tc>
      </w:tr>
      <w:tr>
        <w:trPr>
          <w:trHeight w:val="149"/>
        </w:trPr>
        <w:tc>
          <w:tcPr>
            <w:tcW w:w="26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4460" w:type="dxa"/>
            <w:vAlign w:val="bottom"/>
          </w:tcPr>
          <w:p>
            <w:pPr>
              <w:ind w:left="340"/>
              <w:spacing w:after="0" w:line="149" w:lineRule="exact"/>
              <w:rPr>
                <w:sz w:val="20"/>
                <w:szCs w:val="20"/>
                <w:color w:val="auto"/>
              </w:rPr>
            </w:pPr>
            <w:r>
              <w:rPr>
                <w:rFonts w:ascii="Arial" w:cs="Arial" w:eastAsia="Arial" w:hAnsi="Arial"/>
                <w:sz w:val="17"/>
                <w:szCs w:val="17"/>
                <w:color w:val="auto"/>
              </w:rPr>
              <w:t>by and between the Company and Deutsche Bank</w:t>
            </w:r>
          </w:p>
        </w:tc>
        <w:tc>
          <w:tcPr>
            <w:tcW w:w="4660" w:type="dxa"/>
            <w:vAlign w:val="bottom"/>
          </w:tcPr>
          <w:p>
            <w:pPr>
              <w:ind w:left="120"/>
              <w:spacing w:after="0" w:line="149" w:lineRule="exact"/>
              <w:rPr>
                <w:sz w:val="20"/>
                <w:szCs w:val="20"/>
                <w:color w:val="auto"/>
              </w:rPr>
            </w:pPr>
            <w:r>
              <w:rPr>
                <w:rFonts w:ascii="Arial" w:cs="Arial" w:eastAsia="Arial" w:hAnsi="Arial"/>
                <w:sz w:val="17"/>
                <w:szCs w:val="17"/>
                <w:color w:val="auto"/>
              </w:rPr>
              <w:t>Form 8-K filed on March 11, 2016 (CIK No. 1524472, File</w:t>
            </w:r>
          </w:p>
        </w:tc>
      </w:tr>
      <w:tr>
        <w:trPr>
          <w:trHeight w:val="239"/>
        </w:trPr>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Trust Company Americas, as trustee.</w:t>
            </w:r>
          </w:p>
        </w:tc>
        <w:tc>
          <w:tcPr>
            <w:tcW w:w="4660" w:type="dxa"/>
            <w:vAlign w:val="bottom"/>
          </w:tcPr>
          <w:p>
            <w:pPr>
              <w:ind w:left="120"/>
              <w:spacing w:after="0"/>
              <w:rPr>
                <w:sz w:val="20"/>
                <w:szCs w:val="20"/>
                <w:color w:val="auto"/>
              </w:rPr>
            </w:pPr>
            <w:r>
              <w:rPr>
                <w:rFonts w:ascii="Arial" w:cs="Arial" w:eastAsia="Arial" w:hAnsi="Arial"/>
                <w:sz w:val="18"/>
                <w:szCs w:val="18"/>
                <w:color w:val="auto"/>
              </w:rPr>
              <w:t>No. 1-35229).</w:t>
            </w:r>
          </w:p>
        </w:tc>
      </w:tr>
    </w:tbl>
    <w:p>
      <w:pPr>
        <w:spacing w:after="0" w:line="27" w:lineRule="exact"/>
        <w:rPr>
          <w:sz w:val="20"/>
          <w:szCs w:val="20"/>
          <w:color w:val="auto"/>
        </w:rPr>
      </w:pPr>
    </w:p>
    <w:p>
      <w:pPr>
        <w:sectPr>
          <w:pgSz w:w="11900" w:h="16838" w:orient="portrait"/>
          <w:cols w:equalWidth="0" w:num="1">
            <w:col w:w="11060"/>
          </w:cols>
          <w:pgMar w:left="320" w:top="890" w:right="51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260" w:type="dxa"/>
            <w:vAlign w:val="bottom"/>
            <w:tcBorders>
              <w:bottom w:val="single" w:sz="8" w:color="0000FF"/>
            </w:tcBorders>
          </w:tcPr>
          <w:p>
            <w:pPr>
              <w:jc w:val="right"/>
              <w:spacing w:after="0"/>
              <w:rPr>
                <w:rFonts w:ascii="Arial" w:cs="Arial" w:eastAsia="Arial" w:hAnsi="Arial"/>
                <w:sz w:val="18"/>
                <w:szCs w:val="18"/>
                <w:color w:val="0000FF"/>
                <w:w w:val="95"/>
              </w:rPr>
            </w:pPr>
            <w:hyperlink r:id="rId16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5</w:t>
              </w:r>
            </w:hyperlink>
          </w:p>
        </w:tc>
        <w:tc>
          <w:tcPr>
            <w:tcW w:w="4780" w:type="dxa"/>
            <w:vAlign w:val="bottom"/>
          </w:tcPr>
          <w:p>
            <w:pPr>
              <w:ind w:left="680"/>
              <w:spacing w:after="0"/>
              <w:rPr>
                <w:sz w:val="20"/>
                <w:szCs w:val="20"/>
                <w:color w:val="auto"/>
              </w:rPr>
            </w:pPr>
            <w:r>
              <w:rPr>
                <w:rFonts w:ascii="Arial" w:cs="Arial" w:eastAsia="Arial" w:hAnsi="Arial"/>
                <w:sz w:val="18"/>
                <w:szCs w:val="18"/>
                <w:color w:val="auto"/>
              </w:rPr>
              <w:t>Third Supplemental Indenture, dated October 11,</w:t>
            </w:r>
          </w:p>
        </w:tc>
      </w:tr>
      <w:tr>
        <w:trPr>
          <w:trHeight w:val="149"/>
        </w:trPr>
        <w:tc>
          <w:tcPr>
            <w:tcW w:w="260" w:type="dxa"/>
            <w:vAlign w:val="bottom"/>
          </w:tcPr>
          <w:p>
            <w:pPr>
              <w:spacing w:after="0"/>
              <w:rPr>
                <w:sz w:val="12"/>
                <w:szCs w:val="12"/>
                <w:color w:val="auto"/>
              </w:rPr>
            </w:pPr>
          </w:p>
        </w:tc>
        <w:tc>
          <w:tcPr>
            <w:tcW w:w="4780" w:type="dxa"/>
            <w:vAlign w:val="bottom"/>
          </w:tcPr>
          <w:p>
            <w:pPr>
              <w:ind w:left="680"/>
              <w:spacing w:after="0" w:line="149" w:lineRule="exact"/>
              <w:rPr>
                <w:sz w:val="20"/>
                <w:szCs w:val="20"/>
                <w:color w:val="auto"/>
              </w:rPr>
            </w:pPr>
            <w:r>
              <w:rPr>
                <w:rFonts w:ascii="Arial" w:cs="Arial" w:eastAsia="Arial" w:hAnsi="Arial"/>
                <w:sz w:val="17"/>
                <w:szCs w:val="17"/>
                <w:color w:val="auto"/>
              </w:rPr>
              <w:t>2016, by and between the Company and Deutsche</w:t>
            </w:r>
          </w:p>
        </w:tc>
      </w:tr>
      <w:tr>
        <w:trPr>
          <w:trHeight w:val="239"/>
        </w:trPr>
        <w:tc>
          <w:tcPr>
            <w:tcW w:w="260" w:type="dxa"/>
            <w:vAlign w:val="bottom"/>
          </w:tcPr>
          <w:p>
            <w:pPr>
              <w:spacing w:after="0"/>
              <w:rPr>
                <w:sz w:val="20"/>
                <w:szCs w:val="20"/>
                <w:color w:val="auto"/>
              </w:rPr>
            </w:pPr>
          </w:p>
        </w:tc>
        <w:tc>
          <w:tcPr>
            <w:tcW w:w="4780" w:type="dxa"/>
            <w:vAlign w:val="bottom"/>
          </w:tcPr>
          <w:p>
            <w:pPr>
              <w:ind w:left="680"/>
              <w:spacing w:after="0"/>
              <w:rPr>
                <w:sz w:val="20"/>
                <w:szCs w:val="20"/>
                <w:color w:val="auto"/>
              </w:rPr>
            </w:pPr>
            <w:r>
              <w:rPr>
                <w:rFonts w:ascii="Arial" w:cs="Arial" w:eastAsia="Arial" w:hAnsi="Arial"/>
                <w:sz w:val="18"/>
                <w:szCs w:val="18"/>
                <w:color w:val="auto"/>
              </w:rPr>
              <w:t>Bank Trust Company Americas, as trustee.</w:t>
            </w:r>
          </w:p>
        </w:tc>
      </w:tr>
      <w:tr>
        <w:trPr>
          <w:trHeight w:val="241"/>
        </w:trPr>
        <w:tc>
          <w:tcPr>
            <w:tcW w:w="260" w:type="dxa"/>
            <w:vAlign w:val="bottom"/>
            <w:tcBorders>
              <w:bottom w:val="single" w:sz="8" w:color="0000FF"/>
            </w:tcBorders>
          </w:tcPr>
          <w:p>
            <w:pPr>
              <w:jc w:val="right"/>
              <w:spacing w:after="0"/>
              <w:rPr>
                <w:rFonts w:ascii="Arial" w:cs="Arial" w:eastAsia="Arial" w:hAnsi="Arial"/>
                <w:sz w:val="18"/>
                <w:szCs w:val="18"/>
                <w:color w:val="0000FF"/>
                <w:w w:val="95"/>
              </w:rPr>
            </w:pPr>
            <w:hyperlink r:id="rId16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w:t>
              </w:r>
            </w:hyperlink>
          </w:p>
        </w:tc>
        <w:tc>
          <w:tcPr>
            <w:tcW w:w="4780" w:type="dxa"/>
            <w:vAlign w:val="bottom"/>
          </w:tcPr>
          <w:p>
            <w:pPr>
              <w:ind w:left="680"/>
              <w:spacing w:after="0"/>
              <w:rPr>
                <w:sz w:val="20"/>
                <w:szCs w:val="20"/>
                <w:color w:val="auto"/>
              </w:rPr>
            </w:pPr>
            <w:r>
              <w:rPr>
                <w:rFonts w:ascii="Arial" w:cs="Arial" w:eastAsia="Arial" w:hAnsi="Arial"/>
                <w:sz w:val="18"/>
                <w:szCs w:val="18"/>
                <w:color w:val="auto"/>
              </w:rPr>
              <w:t>Fourth Supplemental Indenture, dated June 26,</w:t>
            </w:r>
          </w:p>
        </w:tc>
      </w:tr>
      <w:tr>
        <w:trPr>
          <w:trHeight w:val="149"/>
        </w:trPr>
        <w:tc>
          <w:tcPr>
            <w:tcW w:w="260" w:type="dxa"/>
            <w:vAlign w:val="bottom"/>
          </w:tcPr>
          <w:p>
            <w:pPr>
              <w:spacing w:after="0"/>
              <w:rPr>
                <w:sz w:val="12"/>
                <w:szCs w:val="12"/>
                <w:color w:val="auto"/>
              </w:rPr>
            </w:pPr>
          </w:p>
        </w:tc>
        <w:tc>
          <w:tcPr>
            <w:tcW w:w="4780" w:type="dxa"/>
            <w:vAlign w:val="bottom"/>
          </w:tcPr>
          <w:p>
            <w:pPr>
              <w:ind w:left="680"/>
              <w:spacing w:after="0" w:line="149" w:lineRule="exact"/>
              <w:rPr>
                <w:sz w:val="20"/>
                <w:szCs w:val="20"/>
                <w:color w:val="auto"/>
              </w:rPr>
            </w:pPr>
            <w:r>
              <w:rPr>
                <w:rFonts w:ascii="Arial" w:cs="Arial" w:eastAsia="Arial" w:hAnsi="Arial"/>
                <w:sz w:val="17"/>
                <w:szCs w:val="17"/>
                <w:color w:val="auto"/>
              </w:rPr>
              <w:t>2020, by and between the Company and Deutsche</w:t>
            </w:r>
          </w:p>
        </w:tc>
      </w:tr>
      <w:tr>
        <w:trPr>
          <w:trHeight w:val="239"/>
        </w:trPr>
        <w:tc>
          <w:tcPr>
            <w:tcW w:w="260" w:type="dxa"/>
            <w:vAlign w:val="bottom"/>
          </w:tcPr>
          <w:p>
            <w:pPr>
              <w:spacing w:after="0"/>
              <w:rPr>
                <w:sz w:val="20"/>
                <w:szCs w:val="20"/>
                <w:color w:val="auto"/>
              </w:rPr>
            </w:pPr>
          </w:p>
        </w:tc>
        <w:tc>
          <w:tcPr>
            <w:tcW w:w="4780" w:type="dxa"/>
            <w:vAlign w:val="bottom"/>
          </w:tcPr>
          <w:p>
            <w:pPr>
              <w:ind w:left="680"/>
              <w:spacing w:after="0"/>
              <w:rPr>
                <w:sz w:val="20"/>
                <w:szCs w:val="20"/>
                <w:color w:val="auto"/>
              </w:rPr>
            </w:pPr>
            <w:r>
              <w:rPr>
                <w:rFonts w:ascii="Arial" w:cs="Arial" w:eastAsia="Arial" w:hAnsi="Arial"/>
                <w:sz w:val="18"/>
                <w:szCs w:val="18"/>
                <w:color w:val="auto"/>
              </w:rPr>
              <w:t>Bank Trust Company Americas, as trustee.</w:t>
            </w:r>
          </w:p>
        </w:tc>
      </w:tr>
      <w:tr>
        <w:trPr>
          <w:trHeight w:val="247"/>
        </w:trPr>
        <w:tc>
          <w:tcPr>
            <w:tcW w:w="260" w:type="dxa"/>
            <w:vAlign w:val="bottom"/>
            <w:tcBorders>
              <w:bottom w:val="single" w:sz="8" w:color="0000FF"/>
            </w:tcBorders>
          </w:tcPr>
          <w:p>
            <w:pPr>
              <w:jc w:val="right"/>
              <w:spacing w:after="0"/>
              <w:rPr>
                <w:rFonts w:ascii="Arial" w:cs="Arial" w:eastAsia="Arial" w:hAnsi="Arial"/>
                <w:sz w:val="18"/>
                <w:szCs w:val="18"/>
                <w:color w:val="0000FF"/>
                <w:w w:val="95"/>
              </w:rPr>
            </w:pPr>
            <w:hyperlink r:id="rId164">
              <w:r>
                <w:rPr>
                  <w:rFonts w:ascii="Arial" w:cs="Arial" w:eastAsia="Arial" w:hAnsi="Arial"/>
                  <w:sz w:val="18"/>
                  <w:szCs w:val="18"/>
                  <w:color w:val="0000FF"/>
                  <w:w w:val="95"/>
                </w:rPr>
                <w:t>4.</w:t>
              </w:r>
              <w:r>
                <w:rPr>
                  <w:rFonts w:ascii="Arial" w:cs="Arial" w:eastAsia="Arial" w:hAnsi="Arial"/>
                  <w:sz w:val="18"/>
                  <w:szCs w:val="18"/>
                  <w:u w:val="single" w:color="auto"/>
                  <w:color w:val="0000FF"/>
                  <w:w w:val="95"/>
                </w:rPr>
                <w:t>7</w:t>
              </w:r>
            </w:hyperlink>
          </w:p>
        </w:tc>
        <w:tc>
          <w:tcPr>
            <w:tcW w:w="4780" w:type="dxa"/>
            <w:vAlign w:val="bottom"/>
          </w:tcPr>
          <w:p>
            <w:pPr>
              <w:ind w:left="680"/>
              <w:spacing w:after="0"/>
              <w:rPr>
                <w:sz w:val="20"/>
                <w:szCs w:val="20"/>
                <w:color w:val="auto"/>
              </w:rPr>
            </w:pPr>
            <w:r>
              <w:rPr>
                <w:rFonts w:ascii="Arial" w:cs="Arial" w:eastAsia="Arial" w:hAnsi="Arial"/>
                <w:sz w:val="18"/>
                <w:szCs w:val="18"/>
                <w:color w:val="auto"/>
                <w:w w:val="99"/>
              </w:rPr>
              <w:t>Form of Xylem Inc. 3.250% Senior Notes due 2026.</w:t>
            </w:r>
          </w:p>
        </w:tc>
      </w:tr>
      <w:tr>
        <w:trPr>
          <w:trHeight w:val="628"/>
        </w:trPr>
        <w:tc>
          <w:tcPr>
            <w:tcW w:w="260" w:type="dxa"/>
            <w:vAlign w:val="bottom"/>
            <w:tcBorders>
              <w:bottom w:val="single" w:sz="8" w:color="0000FF"/>
            </w:tcBorders>
          </w:tcPr>
          <w:p>
            <w:pPr>
              <w:jc w:val="right"/>
              <w:spacing w:after="0"/>
              <w:rPr>
                <w:rFonts w:ascii="Arial" w:cs="Arial" w:eastAsia="Arial" w:hAnsi="Arial"/>
                <w:sz w:val="18"/>
                <w:szCs w:val="18"/>
                <w:color w:val="0000FF"/>
                <w:w w:val="95"/>
              </w:rPr>
            </w:pPr>
            <w:hyperlink r:id="rId165">
              <w:r>
                <w:rPr>
                  <w:rFonts w:ascii="Arial" w:cs="Arial" w:eastAsia="Arial" w:hAnsi="Arial"/>
                  <w:sz w:val="18"/>
                  <w:szCs w:val="18"/>
                  <w:color w:val="0000FF"/>
                  <w:w w:val="95"/>
                </w:rPr>
                <w:t>4.</w:t>
              </w:r>
              <w:r>
                <w:rPr>
                  <w:rFonts w:ascii="Arial" w:cs="Arial" w:eastAsia="Arial" w:hAnsi="Arial"/>
                  <w:sz w:val="18"/>
                  <w:szCs w:val="18"/>
                  <w:u w:val="single" w:color="auto"/>
                  <w:color w:val="0000FF"/>
                  <w:w w:val="95"/>
                </w:rPr>
                <w:t>8</w:t>
              </w:r>
            </w:hyperlink>
          </w:p>
        </w:tc>
        <w:tc>
          <w:tcPr>
            <w:tcW w:w="4780" w:type="dxa"/>
            <w:vAlign w:val="bottom"/>
          </w:tcPr>
          <w:p>
            <w:pPr>
              <w:ind w:left="680"/>
              <w:spacing w:after="0"/>
              <w:rPr>
                <w:sz w:val="20"/>
                <w:szCs w:val="20"/>
                <w:color w:val="auto"/>
              </w:rPr>
            </w:pPr>
            <w:r>
              <w:rPr>
                <w:rFonts w:ascii="Arial" w:cs="Arial" w:eastAsia="Arial" w:hAnsi="Arial"/>
                <w:sz w:val="18"/>
                <w:szCs w:val="18"/>
                <w:color w:val="auto"/>
              </w:rPr>
              <w:t>Form of 1.950% Senior Notes due 2028.</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ind w:right="1500"/>
        <w:spacing w:after="0" w:line="227" w:lineRule="auto"/>
        <w:rPr>
          <w:sz w:val="20"/>
          <w:szCs w:val="20"/>
          <w:color w:val="auto"/>
        </w:rPr>
      </w:pPr>
      <w:r>
        <w:rPr>
          <w:rFonts w:ascii="Arial" w:cs="Arial" w:eastAsia="Arial" w:hAnsi="Arial"/>
          <w:sz w:val="18"/>
          <w:szCs w:val="18"/>
          <w:color w:val="auto"/>
        </w:rPr>
        <w:t>Incorporated by reference to Exhibit 4.1 of Xylem Inc.’s Form 8-K filed on October 11, 2016 (CIK No. 1524472, File No. 1-35229).</w:t>
      </w:r>
    </w:p>
    <w:p>
      <w:pPr>
        <w:spacing w:after="0" w:line="61" w:lineRule="exact"/>
        <w:rPr>
          <w:sz w:val="20"/>
          <w:szCs w:val="20"/>
          <w:color w:val="auto"/>
        </w:rPr>
      </w:pPr>
    </w:p>
    <w:p>
      <w:pPr>
        <w:jc w:val="both"/>
        <w:ind w:right="1420"/>
        <w:spacing w:after="0" w:line="227" w:lineRule="auto"/>
        <w:rPr>
          <w:sz w:val="20"/>
          <w:szCs w:val="20"/>
          <w:color w:val="auto"/>
        </w:rPr>
      </w:pPr>
      <w:r>
        <w:rPr>
          <w:rFonts w:ascii="Arial" w:cs="Arial" w:eastAsia="Arial" w:hAnsi="Arial"/>
          <w:sz w:val="18"/>
          <w:szCs w:val="18"/>
          <w:color w:val="auto"/>
        </w:rPr>
        <w:t>Incorporated by reference to Exhibit 4.1 of Xylem Inc.’s Form 8-K filed on June 26, 2020 (CIK No. 1524472, File No. 1-35229).</w:t>
      </w:r>
    </w:p>
    <w:p>
      <w:pPr>
        <w:spacing w:after="0" w:line="61" w:lineRule="exact"/>
        <w:rPr>
          <w:sz w:val="20"/>
          <w:szCs w:val="20"/>
          <w:color w:val="auto"/>
        </w:rPr>
      </w:pPr>
    </w:p>
    <w:p>
      <w:pPr>
        <w:jc w:val="both"/>
        <w:ind w:right="1500"/>
        <w:spacing w:after="0" w:line="227" w:lineRule="auto"/>
        <w:rPr>
          <w:sz w:val="20"/>
          <w:szCs w:val="20"/>
          <w:color w:val="auto"/>
        </w:rPr>
      </w:pPr>
      <w:r>
        <w:rPr>
          <w:rFonts w:ascii="Arial" w:cs="Arial" w:eastAsia="Arial" w:hAnsi="Arial"/>
          <w:sz w:val="18"/>
          <w:szCs w:val="18"/>
          <w:color w:val="auto"/>
        </w:rPr>
        <w:t>Incorporated by reference to Exhibit 4.1 of Xylem Inc.’s Form 8-K filed on October 11, 2016 (CIK No. 1524472, File No. 1-35229).</w:t>
      </w:r>
    </w:p>
    <w:p>
      <w:pPr>
        <w:spacing w:after="0" w:line="61" w:lineRule="exact"/>
        <w:rPr>
          <w:sz w:val="20"/>
          <w:szCs w:val="20"/>
          <w:color w:val="auto"/>
        </w:rPr>
      </w:pPr>
    </w:p>
    <w:p>
      <w:pPr>
        <w:jc w:val="both"/>
        <w:ind w:right="1420"/>
        <w:spacing w:after="0" w:line="227" w:lineRule="auto"/>
        <w:rPr>
          <w:sz w:val="20"/>
          <w:szCs w:val="20"/>
          <w:color w:val="auto"/>
        </w:rPr>
      </w:pPr>
      <w:r>
        <w:rPr>
          <w:rFonts w:ascii="Arial" w:cs="Arial" w:eastAsia="Arial" w:hAnsi="Arial"/>
          <w:sz w:val="18"/>
          <w:szCs w:val="18"/>
          <w:color w:val="auto"/>
        </w:rPr>
        <w:t>Incorporated by reference to Exhibit 4.1 of Xylem Inc.’s Form 8-K filed on June 26, 2020 (CIK 1524472, File No. 1-35229).</w:t>
      </w:r>
    </w:p>
    <w:p>
      <w:pPr>
        <w:spacing w:after="0" w:line="35" w:lineRule="exact"/>
        <w:rPr>
          <w:sz w:val="20"/>
          <w:szCs w:val="20"/>
          <w:color w:val="auto"/>
        </w:rPr>
      </w:pPr>
    </w:p>
    <w:p>
      <w:pPr>
        <w:sectPr>
          <w:pgSz w:w="11900" w:h="16838" w:orient="portrait"/>
          <w:cols w:equalWidth="0" w:num="2">
            <w:col w:w="5060" w:space="140"/>
            <w:col w:w="5860"/>
          </w:cols>
          <w:pgMar w:left="320" w:top="890" w:right="51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360" w:type="dxa"/>
            <w:vAlign w:val="bottom"/>
            <w:gridSpan w:val="2"/>
          </w:tcPr>
          <w:p>
            <w:pPr>
              <w:spacing w:after="0"/>
              <w:rPr>
                <w:rFonts w:ascii="Arial" w:cs="Arial" w:eastAsia="Arial" w:hAnsi="Arial"/>
                <w:sz w:val="18"/>
                <w:szCs w:val="18"/>
                <w:color w:val="0000FF"/>
              </w:rPr>
            </w:pPr>
            <w:hyperlink r:id="rId165">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16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Form of 2.250% Senior Notes due 2031.</w:t>
            </w:r>
          </w:p>
        </w:tc>
        <w:tc>
          <w:tcPr>
            <w:tcW w:w="4520" w:type="dxa"/>
            <w:vAlign w:val="bottom"/>
          </w:tcPr>
          <w:p>
            <w:pPr>
              <w:ind w:left="60"/>
              <w:spacing w:after="0"/>
              <w:rPr>
                <w:sz w:val="20"/>
                <w:szCs w:val="20"/>
                <w:color w:val="auto"/>
              </w:rPr>
            </w:pPr>
            <w:r>
              <w:rPr>
                <w:rFonts w:ascii="Arial" w:cs="Arial" w:eastAsia="Arial" w:hAnsi="Arial"/>
                <w:sz w:val="18"/>
                <w:szCs w:val="18"/>
                <w:color w:val="auto"/>
              </w:rPr>
              <w:t>Incorporated by reference to Exhibit 4.1 of Xylem Inc.’s</w:t>
            </w:r>
          </w:p>
        </w:tc>
      </w:tr>
      <w:tr>
        <w:trPr>
          <w:trHeight w:val="148"/>
        </w:trPr>
        <w:tc>
          <w:tcPr>
            <w:tcW w:w="2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520" w:type="dxa"/>
            <w:vAlign w:val="bottom"/>
          </w:tcPr>
          <w:p>
            <w:pPr>
              <w:ind w:left="60"/>
              <w:spacing w:after="0" w:line="149" w:lineRule="exact"/>
              <w:rPr>
                <w:sz w:val="20"/>
                <w:szCs w:val="20"/>
                <w:color w:val="auto"/>
              </w:rPr>
            </w:pPr>
            <w:r>
              <w:rPr>
                <w:rFonts w:ascii="Arial" w:cs="Arial" w:eastAsia="Arial" w:hAnsi="Arial"/>
                <w:sz w:val="17"/>
                <w:szCs w:val="17"/>
                <w:color w:val="auto"/>
              </w:rPr>
              <w:t>Form 8-K filed on June 26, 2020 (CIK 1524472, File No.</w:t>
            </w:r>
          </w:p>
        </w:tc>
      </w:tr>
      <w:tr>
        <w:trPr>
          <w:trHeight w:val="238"/>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1-35229).</w:t>
            </w:r>
          </w:p>
        </w:tc>
      </w:tr>
      <w:tr>
        <w:trPr>
          <w:trHeight w:val="181"/>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520" w:type="dxa"/>
            <w:vAlign w:val="bottom"/>
          </w:tcPr>
          <w:p>
            <w:pPr>
              <w:ind w:left="60"/>
              <w:spacing w:after="0" w:line="181" w:lineRule="exact"/>
              <w:rPr>
                <w:sz w:val="20"/>
                <w:szCs w:val="20"/>
                <w:color w:val="auto"/>
              </w:rPr>
            </w:pPr>
            <w:r>
              <w:rPr>
                <w:rFonts w:ascii="Arial" w:cs="Arial" w:eastAsia="Arial" w:hAnsi="Arial"/>
                <w:sz w:val="18"/>
                <w:szCs w:val="18"/>
                <w:color w:val="auto"/>
              </w:rPr>
              <w:t>Incorporated by reference to Exhibit 4.1 of Xylem Inc.’s</w:t>
            </w:r>
          </w:p>
        </w:tc>
      </w:tr>
      <w:tr>
        <w:trPr>
          <w:trHeight w:val="176"/>
        </w:trPr>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4520" w:type="dxa"/>
            <w:vAlign w:val="bottom"/>
          </w:tcPr>
          <w:p>
            <w:pPr>
              <w:ind w:left="60"/>
              <w:spacing w:after="0" w:line="176" w:lineRule="exact"/>
              <w:rPr>
                <w:sz w:val="20"/>
                <w:szCs w:val="20"/>
                <w:color w:val="auto"/>
              </w:rPr>
            </w:pPr>
            <w:r>
              <w:rPr>
                <w:rFonts w:ascii="Arial" w:cs="Arial" w:eastAsia="Arial" w:hAnsi="Arial"/>
                <w:sz w:val="18"/>
                <w:szCs w:val="18"/>
                <w:color w:val="auto"/>
                <w:w w:val="99"/>
              </w:rPr>
              <w:t>Form 8-K filed on June 26, 2020 (CIK 1524472, File No.</w:t>
            </w:r>
          </w:p>
        </w:tc>
      </w:tr>
      <w:tr>
        <w:trPr>
          <w:trHeight w:val="238"/>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1-35229).</w:t>
            </w:r>
          </w:p>
        </w:tc>
      </w:tr>
      <w:tr>
        <w:trPr>
          <w:trHeight w:val="188"/>
        </w:trPr>
        <w:tc>
          <w:tcPr>
            <w:tcW w:w="360" w:type="dxa"/>
            <w:vAlign w:val="bottom"/>
            <w:tcBorders>
              <w:bottom w:val="single" w:sz="8" w:color="0000FF"/>
            </w:tcBorders>
            <w:gridSpan w:val="2"/>
          </w:tcPr>
          <w:p>
            <w:pPr>
              <w:spacing w:after="0" w:line="181" w:lineRule="exact"/>
              <w:rPr>
                <w:rFonts w:ascii="Arial" w:cs="Arial" w:eastAsia="Arial" w:hAnsi="Arial"/>
                <w:sz w:val="18"/>
                <w:szCs w:val="18"/>
                <w:color w:val="0000FF"/>
                <w:w w:val="96"/>
              </w:rPr>
            </w:pPr>
            <w:hyperlink r:id="rId164">
              <w:r>
                <w:rPr>
                  <w:rFonts w:ascii="Arial" w:cs="Arial" w:eastAsia="Arial" w:hAnsi="Arial"/>
                  <w:sz w:val="18"/>
                  <w:szCs w:val="18"/>
                  <w:color w:val="0000FF"/>
                  <w:w w:val="96"/>
                </w:rPr>
                <w:t>4.</w:t>
              </w:r>
              <w:r>
                <w:rPr>
                  <w:rFonts w:ascii="Arial" w:cs="Arial" w:eastAsia="Arial" w:hAnsi="Arial"/>
                  <w:sz w:val="18"/>
                  <w:szCs w:val="18"/>
                  <w:u w:val="single" w:color="auto"/>
                  <w:color w:val="0000FF"/>
                  <w:w w:val="96"/>
                </w:rPr>
                <w:t>10</w:t>
              </w:r>
            </w:hyperlink>
          </w:p>
        </w:tc>
        <w:tc>
          <w:tcPr>
            <w:tcW w:w="160" w:type="dxa"/>
            <w:vAlign w:val="bottom"/>
          </w:tcPr>
          <w:p>
            <w:pPr>
              <w:spacing w:after="0"/>
              <w:rPr>
                <w:sz w:val="16"/>
                <w:szCs w:val="16"/>
                <w:color w:val="auto"/>
              </w:rPr>
            </w:pPr>
          </w:p>
        </w:tc>
        <w:tc>
          <w:tcPr>
            <w:tcW w:w="9120" w:type="dxa"/>
            <w:vAlign w:val="bottom"/>
            <w:gridSpan w:val="2"/>
          </w:tcPr>
          <w:p>
            <w:pPr>
              <w:ind w:left="420"/>
              <w:spacing w:after="0" w:line="181" w:lineRule="exact"/>
              <w:rPr>
                <w:sz w:val="20"/>
                <w:szCs w:val="20"/>
                <w:color w:val="auto"/>
              </w:rPr>
            </w:pPr>
            <w:r>
              <w:rPr>
                <w:rFonts w:ascii="Arial" w:cs="Arial" w:eastAsia="Arial" w:hAnsi="Arial"/>
                <w:sz w:val="18"/>
                <w:szCs w:val="18"/>
                <w:color w:val="auto"/>
              </w:rPr>
              <w:t>Form of Xylem Inc. 4.375% Senior Notes due 2046.  Incorporated by reference to Exhibit 4.1 of Xylem Inc.’s</w:t>
            </w:r>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520" w:type="dxa"/>
            <w:vAlign w:val="bottom"/>
          </w:tcPr>
          <w:p>
            <w:pPr>
              <w:ind w:left="60"/>
              <w:spacing w:after="0" w:line="149" w:lineRule="exact"/>
              <w:rPr>
                <w:sz w:val="20"/>
                <w:szCs w:val="20"/>
                <w:color w:val="auto"/>
              </w:rPr>
            </w:pPr>
            <w:r>
              <w:rPr>
                <w:rFonts w:ascii="Arial" w:cs="Arial" w:eastAsia="Arial" w:hAnsi="Arial"/>
                <w:sz w:val="17"/>
                <w:szCs w:val="17"/>
                <w:color w:val="auto"/>
              </w:rPr>
              <w:t>Form 8-K filed on October 11, 2016 (CIK No. 1524472,</w:t>
            </w:r>
          </w:p>
        </w:tc>
      </w:tr>
      <w:tr>
        <w:trPr>
          <w:trHeight w:val="239"/>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File No. 1-35229).</w:t>
            </w:r>
          </w:p>
        </w:tc>
      </w:tr>
      <w:tr>
        <w:trPr>
          <w:trHeight w:val="241"/>
        </w:trPr>
        <w:tc>
          <w:tcPr>
            <w:tcW w:w="520" w:type="dxa"/>
            <w:vAlign w:val="bottom"/>
            <w:gridSpan w:val="3"/>
          </w:tcPr>
          <w:p>
            <w:pPr>
              <w:spacing w:after="0"/>
              <w:rPr>
                <w:rFonts w:ascii="Arial" w:cs="Arial" w:eastAsia="Arial" w:hAnsi="Arial"/>
                <w:sz w:val="18"/>
                <w:szCs w:val="18"/>
                <w:color w:val="0000FF"/>
              </w:rPr>
            </w:pPr>
            <w:hyperlink r:id="rId16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600" w:type="dxa"/>
            <w:vAlign w:val="bottom"/>
          </w:tcPr>
          <w:p>
            <w:pPr>
              <w:ind w:left="160"/>
              <w:spacing w:after="0"/>
              <w:rPr>
                <w:sz w:val="20"/>
                <w:szCs w:val="20"/>
                <w:color w:val="auto"/>
              </w:rPr>
            </w:pPr>
            <w:r>
              <w:rPr>
                <w:rFonts w:ascii="Arial" w:cs="Arial" w:eastAsia="Arial" w:hAnsi="Arial"/>
                <w:sz w:val="18"/>
                <w:szCs w:val="18"/>
                <w:color w:val="auto"/>
              </w:rPr>
              <w:t>#  Xylem 2011 Omnibus Incentive Plan (Amended and</w:t>
            </w:r>
          </w:p>
        </w:tc>
        <w:tc>
          <w:tcPr>
            <w:tcW w:w="4520" w:type="dxa"/>
            <w:vAlign w:val="bottom"/>
          </w:tcPr>
          <w:p>
            <w:pPr>
              <w:ind w:left="60"/>
              <w:spacing w:after="0"/>
              <w:rPr>
                <w:sz w:val="20"/>
                <w:szCs w:val="20"/>
                <w:color w:val="auto"/>
              </w:rPr>
            </w:pPr>
            <w:r>
              <w:rPr>
                <w:rFonts w:ascii="Arial" w:cs="Arial" w:eastAsia="Arial" w:hAnsi="Arial"/>
                <w:sz w:val="18"/>
                <w:szCs w:val="18"/>
                <w:color w:val="auto"/>
                <w:w w:val="99"/>
              </w:rPr>
              <w:t>Incorporated by reference to Exhibit 10.6 of Xylem Inc.'s</w:t>
            </w:r>
          </w:p>
        </w:tc>
      </w:tr>
      <w:tr>
        <w:trPr>
          <w:trHeight w:val="148"/>
        </w:trPr>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600" w:type="dxa"/>
            <w:vAlign w:val="bottom"/>
          </w:tcPr>
          <w:p>
            <w:pPr>
              <w:ind w:left="420"/>
              <w:spacing w:after="0" w:line="149" w:lineRule="exact"/>
              <w:rPr>
                <w:sz w:val="20"/>
                <w:szCs w:val="20"/>
                <w:color w:val="auto"/>
              </w:rPr>
            </w:pPr>
            <w:r>
              <w:rPr>
                <w:rFonts w:ascii="Arial" w:cs="Arial" w:eastAsia="Arial" w:hAnsi="Arial"/>
                <w:sz w:val="17"/>
                <w:szCs w:val="17"/>
                <w:color w:val="auto"/>
              </w:rPr>
              <w:t>Restated as of February 24, 2016).</w:t>
            </w:r>
          </w:p>
        </w:tc>
        <w:tc>
          <w:tcPr>
            <w:tcW w:w="4520" w:type="dxa"/>
            <w:vAlign w:val="bottom"/>
          </w:tcPr>
          <w:p>
            <w:pPr>
              <w:ind w:left="60"/>
              <w:spacing w:after="0" w:line="149" w:lineRule="exact"/>
              <w:rPr>
                <w:sz w:val="20"/>
                <w:szCs w:val="20"/>
                <w:color w:val="auto"/>
              </w:rPr>
            </w:pPr>
            <w:r>
              <w:rPr>
                <w:rFonts w:ascii="Arial" w:cs="Arial" w:eastAsia="Arial" w:hAnsi="Arial"/>
                <w:sz w:val="17"/>
                <w:szCs w:val="17"/>
                <w:color w:val="auto"/>
              </w:rPr>
              <w:t>Form 10-K Annual Report filed on February 26, 2016</w:t>
            </w:r>
          </w:p>
        </w:tc>
      </w:tr>
      <w:tr>
        <w:trPr>
          <w:trHeight w:val="239"/>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(CIK No. 1524472, File No. 1-35229).</w:t>
            </w:r>
          </w:p>
        </w:tc>
      </w:tr>
      <w:tr>
        <w:trPr>
          <w:trHeight w:val="241"/>
        </w:trPr>
        <w:tc>
          <w:tcPr>
            <w:tcW w:w="520" w:type="dxa"/>
            <w:vAlign w:val="bottom"/>
            <w:gridSpan w:val="3"/>
          </w:tcPr>
          <w:p>
            <w:pPr>
              <w:spacing w:after="0"/>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600" w:type="dxa"/>
            <w:vAlign w:val="bottom"/>
          </w:tcPr>
          <w:p>
            <w:pPr>
              <w:ind w:left="160"/>
              <w:spacing w:after="0"/>
              <w:rPr>
                <w:sz w:val="20"/>
                <w:szCs w:val="20"/>
                <w:color w:val="auto"/>
              </w:rPr>
            </w:pPr>
            <w:r>
              <w:rPr>
                <w:rFonts w:ascii="Arial" w:cs="Arial" w:eastAsia="Arial" w:hAnsi="Arial"/>
                <w:sz w:val="18"/>
                <w:szCs w:val="18"/>
                <w:color w:val="auto"/>
              </w:rPr>
              <w:t>#  Xylem Retirement Savings Plan.</w:t>
            </w:r>
          </w:p>
        </w:tc>
        <w:tc>
          <w:tcPr>
            <w:tcW w:w="4520" w:type="dxa"/>
            <w:vAlign w:val="bottom"/>
          </w:tcPr>
          <w:p>
            <w:pPr>
              <w:ind w:left="60"/>
              <w:spacing w:after="0"/>
              <w:rPr>
                <w:sz w:val="20"/>
                <w:szCs w:val="20"/>
                <w:color w:val="auto"/>
              </w:rPr>
            </w:pPr>
            <w:r>
              <w:rPr>
                <w:rFonts w:ascii="Arial" w:cs="Arial" w:eastAsia="Arial" w:hAnsi="Arial"/>
                <w:sz w:val="18"/>
                <w:szCs w:val="18"/>
                <w:color w:val="auto"/>
                <w:w w:val="99"/>
              </w:rPr>
              <w:t>Incorporated by reference to Exhibit 10.1 of Xylem Inc.’s</w:t>
            </w:r>
          </w:p>
        </w:tc>
      </w:tr>
      <w:tr>
        <w:trPr>
          <w:trHeight w:val="148"/>
        </w:trPr>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520" w:type="dxa"/>
            <w:vAlign w:val="bottom"/>
          </w:tcPr>
          <w:p>
            <w:pPr>
              <w:ind w:left="60"/>
              <w:spacing w:after="0" w:line="149" w:lineRule="exact"/>
              <w:rPr>
                <w:sz w:val="20"/>
                <w:szCs w:val="20"/>
                <w:color w:val="auto"/>
              </w:rPr>
            </w:pPr>
            <w:r>
              <w:rPr>
                <w:rFonts w:ascii="Arial" w:cs="Arial" w:eastAsia="Arial" w:hAnsi="Arial"/>
                <w:sz w:val="17"/>
                <w:szCs w:val="17"/>
                <w:color w:val="auto"/>
              </w:rPr>
              <w:t>Form 10-Q Quarterly Report filed on July 30, 2013 (CIK</w:t>
            </w:r>
          </w:p>
        </w:tc>
      </w:tr>
      <w:tr>
        <w:trPr>
          <w:trHeight w:val="239"/>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No. 1524472, File No. 1-35229).</w:t>
            </w:r>
          </w:p>
        </w:tc>
      </w:tr>
    </w:tbl>
    <w:p>
      <w:pPr>
        <w:spacing w:after="0" w:line="200" w:lineRule="exact"/>
        <w:rPr>
          <w:sz w:val="20"/>
          <w:szCs w:val="20"/>
          <w:color w:val="auto"/>
        </w:rPr>
      </w:pPr>
    </w:p>
    <w:p>
      <w:pPr>
        <w:sectPr>
          <w:pgSz w:w="11900" w:h="16838" w:orient="portrait"/>
          <w:cols w:equalWidth="0" w:num="1">
            <w:col w:w="11060"/>
          </w:cols>
          <w:pgMar w:left="320" w:top="89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0" w:right="51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w:t>
            </w:r>
          </w:p>
        </w:tc>
        <w:tc>
          <w:tcPr>
            <w:tcW w:w="42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486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428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0" w:type="dxa"/>
            <w:vAlign w:val="bottom"/>
            <w:gridSpan w:val="3"/>
          </w:tcPr>
          <w:p>
            <w:pPr>
              <w:jc w:val="right"/>
              <w:ind w:right="280"/>
              <w:spacing w:after="0"/>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280" w:type="dxa"/>
            <w:vAlign w:val="bottom"/>
          </w:tcPr>
          <w:p>
            <w:pPr>
              <w:ind w:left="40"/>
              <w:spacing w:after="0"/>
              <w:rPr>
                <w:sz w:val="20"/>
                <w:szCs w:val="20"/>
                <w:color w:val="auto"/>
              </w:rPr>
            </w:pPr>
            <w:r>
              <w:rPr>
                <w:rFonts w:ascii="Arial" w:cs="Arial" w:eastAsia="Arial" w:hAnsi="Arial"/>
                <w:sz w:val="18"/>
                <w:szCs w:val="18"/>
                <w:color w:val="auto"/>
              </w:rPr>
              <w:t>#  Xylem Supplemental Retirement Savings Plan.</w:t>
            </w:r>
          </w:p>
        </w:tc>
        <w:tc>
          <w:tcPr>
            <w:tcW w:w="48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10.11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860" w:type="dxa"/>
            <w:vAlign w:val="bottom"/>
          </w:tcPr>
          <w:p>
            <w:pPr>
              <w:ind w:left="260"/>
              <w:spacing w:after="0" w:line="149" w:lineRule="exact"/>
              <w:rPr>
                <w:sz w:val="20"/>
                <w:szCs w:val="20"/>
                <w:color w:val="auto"/>
              </w:rPr>
            </w:pPr>
            <w:r>
              <w:rPr>
                <w:rFonts w:ascii="Arial" w:cs="Arial" w:eastAsia="Arial" w:hAnsi="Arial"/>
                <w:sz w:val="17"/>
                <w:szCs w:val="17"/>
                <w:color w:val="auto"/>
              </w:rPr>
              <w:t>Form 10-Q Quarterly Report filed on November 21, 2011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(CIK No. 1524472, File No. 1-35229).</w:t>
            </w:r>
          </w:p>
        </w:tc>
        <w:tc>
          <w:tcPr>
            <w:tcW w:w="0" w:type="dxa"/>
            <w:vAlign w:val="bottom"/>
          </w:tcPr>
          <w:p>
            <w:pPr>
              <w:spacing w:after="0"/>
              <w:rPr>
                <w:sz w:val="1"/>
                <w:szCs w:val="1"/>
                <w:color w:val="auto"/>
              </w:rPr>
            </w:pPr>
          </w:p>
        </w:tc>
      </w:tr>
      <w:tr>
        <w:trPr>
          <w:trHeight w:val="241"/>
        </w:trPr>
        <w:tc>
          <w:tcPr>
            <w:tcW w:w="660" w:type="dxa"/>
            <w:vAlign w:val="bottom"/>
            <w:gridSpan w:val="3"/>
          </w:tcPr>
          <w:p>
            <w:pPr>
              <w:jc w:val="right"/>
              <w:ind w:right="280"/>
              <w:spacing w:after="0"/>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280" w:type="dxa"/>
            <w:vAlign w:val="bottom"/>
          </w:tcPr>
          <w:p>
            <w:pPr>
              <w:ind w:left="40"/>
              <w:spacing w:after="0"/>
              <w:rPr>
                <w:sz w:val="20"/>
                <w:szCs w:val="20"/>
                <w:color w:val="auto"/>
              </w:rPr>
            </w:pPr>
            <w:r>
              <w:rPr>
                <w:rFonts w:ascii="Arial" w:cs="Arial" w:eastAsia="Arial" w:hAnsi="Arial"/>
                <w:sz w:val="18"/>
                <w:szCs w:val="18"/>
                <w:color w:val="auto"/>
              </w:rPr>
              <w:t>#  Xylem Deferred Compensation Plan.</w:t>
            </w:r>
          </w:p>
        </w:tc>
        <w:tc>
          <w:tcPr>
            <w:tcW w:w="48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10.12 of Xylem Inc.'s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860" w:type="dxa"/>
            <w:vAlign w:val="bottom"/>
          </w:tcPr>
          <w:p>
            <w:pPr>
              <w:ind w:left="260"/>
              <w:spacing w:after="0" w:line="149" w:lineRule="exact"/>
              <w:rPr>
                <w:sz w:val="20"/>
                <w:szCs w:val="20"/>
                <w:color w:val="auto"/>
              </w:rPr>
            </w:pPr>
            <w:r>
              <w:rPr>
                <w:rFonts w:ascii="Arial" w:cs="Arial" w:eastAsia="Arial" w:hAnsi="Arial"/>
                <w:sz w:val="17"/>
                <w:szCs w:val="17"/>
                <w:color w:val="auto"/>
              </w:rPr>
              <w:t>Form 10-K Annual Report filed on February 23, 2017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(CIK No. 1524472, File No. 1-35229).</w:t>
            </w: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10139"/>
          </w:cols>
          <w:pgMar w:left="320" w:top="1180" w:right="1440" w:bottom="1440" w:gutter="0" w:footer="0" w:header="0"/>
        </w:sectPr>
      </w:pPr>
    </w:p>
    <w:tbl>
      <w:tblPr>
        <w:tblLayout w:type="fixed"/>
        <w:tblInd w:w="20" w:type="dxa"/>
        <w:tblCellMar>
          <w:top w:w="0" w:type="dxa"/>
          <w:left w:w="0" w:type="dxa"/>
          <w:bottom w:w="0" w:type="dxa"/>
          <w:right w:w="0" w:type="dxa"/>
        </w:tblCellMar>
      </w:tblPr>
      <w:tr>
        <w:trPr>
          <w:trHeight w:val="214"/>
        </w:trPr>
        <w:tc>
          <w:tcPr>
            <w:tcW w:w="520" w:type="dxa"/>
            <w:vAlign w:val="bottom"/>
            <w:gridSpan w:val="2"/>
          </w:tcPr>
          <w:p>
            <w:pPr>
              <w:jc w:val="right"/>
              <w:ind w:right="160"/>
              <w:spacing w:after="0"/>
              <w:rPr>
                <w:rFonts w:ascii="Arial" w:cs="Arial" w:eastAsia="Arial" w:hAnsi="Arial"/>
                <w:sz w:val="18"/>
                <w:szCs w:val="18"/>
                <w:color w:val="0000FF"/>
                <w:w w:val="96"/>
              </w:rPr>
            </w:pPr>
            <w:hyperlink r:id="rId17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4520" w:type="dxa"/>
            <w:vAlign w:val="bottom"/>
          </w:tcPr>
          <w:p>
            <w:pPr>
              <w:ind w:left="160"/>
              <w:spacing w:after="0"/>
              <w:rPr>
                <w:sz w:val="20"/>
                <w:szCs w:val="20"/>
                <w:color w:val="auto"/>
              </w:rPr>
            </w:pPr>
            <w:r>
              <w:rPr>
                <w:rFonts w:ascii="Arial" w:cs="Arial" w:eastAsia="Arial" w:hAnsi="Arial"/>
                <w:sz w:val="18"/>
                <w:szCs w:val="18"/>
                <w:color w:val="auto"/>
              </w:rPr>
              <w:t>#  Xylem Annual Incentive Plan for the Senior</w:t>
            </w:r>
          </w:p>
        </w:tc>
      </w:tr>
      <w:tr>
        <w:trPr>
          <w:trHeight w:val="148"/>
        </w:trPr>
        <w:tc>
          <w:tcPr>
            <w:tcW w:w="3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7"/>
                <w:szCs w:val="17"/>
                <w:color w:val="auto"/>
              </w:rPr>
              <w:t>Leadership Team (formerly "Annual Incentive Plan</w:t>
            </w:r>
          </w:p>
        </w:tc>
      </w:tr>
      <w:tr>
        <w:trPr>
          <w:trHeight w:val="184"/>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20" w:type="dxa"/>
            <w:vAlign w:val="bottom"/>
          </w:tcPr>
          <w:p>
            <w:pPr>
              <w:ind w:left="420"/>
              <w:spacing w:after="0" w:line="183" w:lineRule="exact"/>
              <w:rPr>
                <w:sz w:val="20"/>
                <w:szCs w:val="20"/>
                <w:color w:val="auto"/>
              </w:rPr>
            </w:pPr>
            <w:r>
              <w:rPr>
                <w:rFonts w:ascii="Arial" w:cs="Arial" w:eastAsia="Arial" w:hAnsi="Arial"/>
                <w:sz w:val="18"/>
                <w:szCs w:val="18"/>
                <w:color w:val="auto"/>
                <w:w w:val="99"/>
              </w:rPr>
              <w:t>for Executive Officers") restated, with administrative</w:t>
            </w:r>
          </w:p>
        </w:tc>
      </w:tr>
      <w:tr>
        <w:trPr>
          <w:trHeight w:val="239"/>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changes only, on July 11, 2022.</w:t>
            </w:r>
          </w:p>
        </w:tc>
      </w:tr>
      <w:tr>
        <w:trPr>
          <w:trHeight w:val="233"/>
        </w:trPr>
        <w:tc>
          <w:tcPr>
            <w:tcW w:w="520" w:type="dxa"/>
            <w:vAlign w:val="bottom"/>
            <w:gridSpan w:val="2"/>
          </w:tcPr>
          <w:p>
            <w:pPr>
              <w:jc w:val="right"/>
              <w:ind w:right="160"/>
              <w:spacing w:after="0"/>
              <w:rPr>
                <w:rFonts w:ascii="Arial" w:cs="Arial" w:eastAsia="Arial" w:hAnsi="Arial"/>
                <w:sz w:val="18"/>
                <w:szCs w:val="18"/>
                <w:color w:val="0000FF"/>
                <w:w w:val="96"/>
              </w:rPr>
            </w:pPr>
            <w:hyperlink r:id="rId17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4520" w:type="dxa"/>
            <w:vAlign w:val="bottom"/>
          </w:tcPr>
          <w:p>
            <w:pPr>
              <w:ind w:left="160"/>
              <w:spacing w:after="0"/>
              <w:rPr>
                <w:sz w:val="20"/>
                <w:szCs w:val="20"/>
                <w:color w:val="auto"/>
              </w:rPr>
            </w:pPr>
            <w:r>
              <w:rPr>
                <w:rFonts w:ascii="Arial" w:cs="Arial" w:eastAsia="Arial" w:hAnsi="Arial"/>
                <w:sz w:val="18"/>
                <w:szCs w:val="18"/>
                <w:color w:val="auto"/>
              </w:rPr>
              <w:t>#  Xylem Special Senior Executive Severance Pay</w:t>
            </w:r>
          </w:p>
        </w:tc>
      </w:tr>
      <w:tr>
        <w:trPr>
          <w:trHeight w:val="148"/>
        </w:trPr>
        <w:tc>
          <w:tcPr>
            <w:tcW w:w="36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7"/>
                <w:szCs w:val="17"/>
                <w:color w:val="auto"/>
              </w:rPr>
              <w:t>Plan, restated, with administrative changes only, on</w:t>
            </w:r>
          </w:p>
        </w:tc>
      </w:tr>
      <w:tr>
        <w:trPr>
          <w:trHeight w:val="239"/>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July 11, 2022 .</w:t>
            </w:r>
          </w:p>
        </w:tc>
      </w:tr>
      <w:tr>
        <w:trPr>
          <w:trHeight w:val="281"/>
        </w:trPr>
        <w:tc>
          <w:tcPr>
            <w:tcW w:w="520" w:type="dxa"/>
            <w:vAlign w:val="bottom"/>
            <w:gridSpan w:val="2"/>
          </w:tcPr>
          <w:p>
            <w:pPr>
              <w:jc w:val="right"/>
              <w:ind w:right="160"/>
              <w:spacing w:after="0"/>
              <w:rPr>
                <w:rFonts w:ascii="Arial" w:cs="Arial" w:eastAsia="Arial" w:hAnsi="Arial"/>
                <w:sz w:val="18"/>
                <w:szCs w:val="18"/>
                <w:color w:val="0000FF"/>
                <w:w w:val="96"/>
              </w:rPr>
            </w:pPr>
            <w:hyperlink r:id="rId17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7</w:t>
              </w:r>
            </w:hyperlink>
          </w:p>
        </w:tc>
        <w:tc>
          <w:tcPr>
            <w:tcW w:w="4520" w:type="dxa"/>
            <w:vAlign w:val="bottom"/>
          </w:tcPr>
          <w:p>
            <w:pPr>
              <w:ind w:left="160"/>
              <w:spacing w:after="0"/>
              <w:rPr>
                <w:sz w:val="20"/>
                <w:szCs w:val="20"/>
                <w:color w:val="auto"/>
              </w:rPr>
            </w:pPr>
            <w:r>
              <w:rPr>
                <w:rFonts w:ascii="Arial" w:cs="Arial" w:eastAsia="Arial" w:hAnsi="Arial"/>
                <w:sz w:val="18"/>
                <w:szCs w:val="18"/>
                <w:color w:val="auto"/>
              </w:rPr>
              <w:t>#  Xylem Senior Executive Severance Pay Plan</w:t>
            </w:r>
          </w:p>
        </w:tc>
      </w:tr>
      <w:tr>
        <w:trPr>
          <w:trHeight w:val="212"/>
        </w:trPr>
        <w:tc>
          <w:tcPr>
            <w:tcW w:w="3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(Amended as of May 10, 2017 ).</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ind w:right="399"/>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August 2, 2022 (CIK No. 1524472, File No. 1-35229).</w:t>
      </w:r>
    </w:p>
    <w:p>
      <w:pPr>
        <w:spacing w:after="0" w:line="236" w:lineRule="exact"/>
        <w:rPr>
          <w:sz w:val="20"/>
          <w:szCs w:val="20"/>
          <w:color w:val="auto"/>
        </w:rPr>
      </w:pPr>
    </w:p>
    <w:p>
      <w:pPr>
        <w:jc w:val="both"/>
        <w:ind w:right="379"/>
        <w:spacing w:after="0" w:line="227" w:lineRule="auto"/>
        <w:rPr>
          <w:sz w:val="20"/>
          <w:szCs w:val="20"/>
          <w:color w:val="auto"/>
        </w:rPr>
      </w:pPr>
      <w:r>
        <w:rPr>
          <w:rFonts w:ascii="Arial" w:cs="Arial" w:eastAsia="Arial" w:hAnsi="Arial"/>
          <w:sz w:val="18"/>
          <w:szCs w:val="18"/>
          <w:color w:val="auto"/>
        </w:rPr>
        <w:t>Incorporated by reference to Exhibit 10.15 of Xylem Inc.'s Form 10-Q Quarterly Report filed on August 2, 2022 (CIK No. 1524472, File No. 1-35229).</w:t>
      </w:r>
    </w:p>
    <w:p>
      <w:pPr>
        <w:spacing w:after="0" w:line="101" w:lineRule="exact"/>
        <w:rPr>
          <w:sz w:val="20"/>
          <w:szCs w:val="20"/>
          <w:color w:val="auto"/>
        </w:rPr>
      </w:pPr>
    </w:p>
    <w:p>
      <w:pPr>
        <w:jc w:val="both"/>
        <w:ind w:right="399"/>
        <w:spacing w:after="0" w:line="227" w:lineRule="auto"/>
        <w:rPr>
          <w:sz w:val="20"/>
          <w:szCs w:val="20"/>
          <w:color w:val="auto"/>
        </w:rPr>
      </w:pPr>
      <w:r>
        <w:rPr>
          <w:rFonts w:ascii="Arial" w:cs="Arial" w:eastAsia="Arial" w:hAnsi="Arial"/>
          <w:sz w:val="18"/>
          <w:szCs w:val="18"/>
          <w:color w:val="auto"/>
        </w:rPr>
        <w:t>Incorporated by reference to Exhibit 10.1 of Xylem Inc.'s Form 10-Q Quarterly Report filed on August 1, 2017 (CIK No. 1524472, File No. 1-35229).</w:t>
      </w:r>
    </w:p>
    <w:p>
      <w:pPr>
        <w:spacing w:after="0" w:line="28" w:lineRule="exact"/>
        <w:rPr>
          <w:sz w:val="20"/>
          <w:szCs w:val="20"/>
          <w:color w:val="auto"/>
        </w:rPr>
      </w:pPr>
    </w:p>
    <w:p>
      <w:pPr>
        <w:sectPr>
          <w:pgSz w:w="11900" w:h="16838" w:orient="portrait"/>
          <w:cols w:equalWidth="0" w:num="2">
            <w:col w:w="5060" w:space="140"/>
            <w:col w:w="4939"/>
          </w:cols>
          <w:pgMar w:left="320" w:top="1180" w:right="1440"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440" w:type="dxa"/>
            <w:vAlign w:val="bottom"/>
            <w:gridSpan w:val="2"/>
          </w:tcPr>
          <w:p>
            <w:pPr>
              <w:spacing w:after="0"/>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  Form of Xylem 2011 Omnibus Incentive Plan Non-</w:t>
            </w:r>
          </w:p>
        </w:tc>
        <w:tc>
          <w:tcPr>
            <w:tcW w:w="4640" w:type="dxa"/>
            <w:vAlign w:val="bottom"/>
          </w:tcPr>
          <w:p>
            <w:pPr>
              <w:ind w:left="80"/>
              <w:spacing w:after="0"/>
              <w:rPr>
                <w:sz w:val="20"/>
                <w:szCs w:val="20"/>
                <w:color w:val="auto"/>
              </w:rPr>
            </w:pPr>
            <w:r>
              <w:rPr>
                <w:rFonts w:ascii="Arial" w:cs="Arial" w:eastAsia="Arial" w:hAnsi="Arial"/>
                <w:sz w:val="18"/>
                <w:szCs w:val="18"/>
                <w:color w:val="auto"/>
              </w:rPr>
              <w:t>Incorporated by reference to Exhibit 10.3 of Xylem Inc.’s</w:t>
            </w:r>
          </w:p>
        </w:tc>
      </w:tr>
      <w:tr>
        <w:trPr>
          <w:trHeight w:val="183"/>
        </w:trPr>
        <w:tc>
          <w:tcPr>
            <w:tcW w:w="3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40" w:type="dxa"/>
            <w:vAlign w:val="bottom"/>
          </w:tcPr>
          <w:p>
            <w:pPr>
              <w:ind w:left="380"/>
              <w:spacing w:after="0" w:line="182" w:lineRule="exact"/>
              <w:rPr>
                <w:sz w:val="20"/>
                <w:szCs w:val="20"/>
                <w:color w:val="auto"/>
              </w:rPr>
            </w:pPr>
            <w:r>
              <w:rPr>
                <w:rFonts w:ascii="Arial" w:cs="Arial" w:eastAsia="Arial" w:hAnsi="Arial"/>
                <w:sz w:val="18"/>
                <w:szCs w:val="18"/>
                <w:color w:val="auto"/>
              </w:rPr>
              <w:t>Qualified Stock Option Award Agreement (2021).</w:t>
            </w:r>
          </w:p>
        </w:tc>
        <w:tc>
          <w:tcPr>
            <w:tcW w:w="4640" w:type="dxa"/>
            <w:vAlign w:val="bottom"/>
          </w:tcPr>
          <w:p>
            <w:pPr>
              <w:ind w:left="80"/>
              <w:spacing w:after="0" w:line="182" w:lineRule="exact"/>
              <w:rPr>
                <w:sz w:val="20"/>
                <w:szCs w:val="20"/>
                <w:color w:val="auto"/>
              </w:rPr>
            </w:pPr>
            <w:r>
              <w:rPr>
                <w:rFonts w:ascii="Arial" w:cs="Arial" w:eastAsia="Arial" w:hAnsi="Arial"/>
                <w:sz w:val="18"/>
                <w:szCs w:val="18"/>
                <w:color w:val="auto"/>
              </w:rPr>
              <w:t>Form 10-Q Quarterly Report filed on May 4, 2021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00"/>
        </w:trPr>
        <w:tc>
          <w:tcPr>
            <w:tcW w:w="360" w:type="dxa"/>
            <w:vAlign w:val="bottom"/>
            <w:tcBorders>
              <w:bottom w:val="single" w:sz="8" w:color="0000FF"/>
            </w:tcBorders>
          </w:tcPr>
          <w:p>
            <w:pPr>
              <w:spacing w:after="0" w:line="193" w:lineRule="exact"/>
              <w:rPr>
                <w:rFonts w:ascii="Arial" w:cs="Arial" w:eastAsia="Arial" w:hAnsi="Arial"/>
                <w:sz w:val="18"/>
                <w:szCs w:val="18"/>
                <w:color w:val="0000FF"/>
                <w:w w:val="96"/>
              </w:rPr>
            </w:pPr>
            <w:hyperlink r:id="rId175">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Pr>
          <w:p>
            <w:pPr>
              <w:ind w:left="120"/>
              <w:spacing w:after="0" w:line="193" w:lineRule="exact"/>
              <w:rPr>
                <w:sz w:val="20"/>
                <w:szCs w:val="20"/>
                <w:color w:val="auto"/>
              </w:rPr>
            </w:pPr>
            <w:r>
              <w:rPr>
                <w:rFonts w:ascii="Arial" w:cs="Arial" w:eastAsia="Arial" w:hAnsi="Arial"/>
                <w:sz w:val="18"/>
                <w:szCs w:val="18"/>
                <w:color w:val="auto"/>
              </w:rPr>
              <w:t>#  Form of 2011 Omnibus Incentive Plan ESG</w:t>
            </w:r>
          </w:p>
        </w:tc>
        <w:tc>
          <w:tcPr>
            <w:tcW w:w="4640" w:type="dxa"/>
            <w:vAlign w:val="bottom"/>
          </w:tcPr>
          <w:p>
            <w:pPr>
              <w:ind w:left="80"/>
              <w:spacing w:after="0" w:line="193" w:lineRule="exact"/>
              <w:rPr>
                <w:sz w:val="20"/>
                <w:szCs w:val="20"/>
                <w:color w:val="auto"/>
              </w:rPr>
            </w:pPr>
            <w:r>
              <w:rPr>
                <w:rFonts w:ascii="Arial" w:cs="Arial" w:eastAsia="Arial" w:hAnsi="Arial"/>
                <w:sz w:val="18"/>
                <w:szCs w:val="18"/>
                <w:color w:val="auto"/>
              </w:rPr>
              <w:t>Incorporated by reference to Exhibit 10.6 of Xylem Inc.’s</w:t>
            </w:r>
          </w:p>
        </w:tc>
      </w:tr>
      <w:tr>
        <w:trPr>
          <w:trHeight w:val="148"/>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Performance Share Unit Agreement (2021).</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May 4, 2021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560" w:type="dxa"/>
            <w:vAlign w:val="bottom"/>
            <w:gridSpan w:val="4"/>
          </w:tcPr>
          <w:p>
            <w:pPr>
              <w:spacing w:after="0"/>
              <w:rPr>
                <w:rFonts w:ascii="Arial" w:cs="Arial" w:eastAsia="Arial" w:hAnsi="Arial"/>
                <w:sz w:val="18"/>
                <w:szCs w:val="18"/>
                <w:color w:val="0000FF"/>
              </w:rPr>
            </w:pPr>
            <w:hyperlink r:id="rId176">
              <w:r>
                <w:rPr>
                  <w:rFonts w:ascii="Arial" w:cs="Arial" w:eastAsia="Arial" w:hAnsi="Arial"/>
                  <w:sz w:val="18"/>
                  <w:szCs w:val="18"/>
                  <w:color w:val="0000FF"/>
                </w:rPr>
                <w:t>10.</w:t>
              </w:r>
            </w:hyperlink>
            <w:r>
              <w:rPr>
                <w:rFonts w:ascii="Arial" w:cs="Arial" w:eastAsia="Arial" w:hAnsi="Arial"/>
                <w:sz w:val="18"/>
                <w:szCs w:val="18"/>
                <w:u w:val="single" w:color="auto"/>
                <w:color w:val="0000FF"/>
              </w:rPr>
              <w:t>10</w:t>
            </w:r>
          </w:p>
        </w:tc>
        <w:tc>
          <w:tcPr>
            <w:tcW w:w="4540" w:type="dxa"/>
            <w:vAlign w:val="bottom"/>
          </w:tcPr>
          <w:p>
            <w:pPr>
              <w:ind w:left="120"/>
              <w:spacing w:after="0"/>
              <w:rPr>
                <w:sz w:val="20"/>
                <w:szCs w:val="20"/>
                <w:color w:val="auto"/>
              </w:rPr>
            </w:pPr>
            <w:r>
              <w:rPr>
                <w:rFonts w:ascii="Arial" w:cs="Arial" w:eastAsia="Arial" w:hAnsi="Arial"/>
                <w:sz w:val="18"/>
                <w:szCs w:val="18"/>
                <w:color w:val="auto"/>
              </w:rPr>
              <w:t>#  Form of 2011 Omnibus Incentive Plan Performance</w:t>
            </w:r>
          </w:p>
        </w:tc>
        <w:tc>
          <w:tcPr>
            <w:tcW w:w="464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Share Unit Agreement (2022).</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May 4, 2022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460" w:type="dxa"/>
            <w:vAlign w:val="bottom"/>
            <w:gridSpan w:val="3"/>
          </w:tcPr>
          <w:p>
            <w:pPr>
              <w:spacing w:after="0"/>
              <w:rPr>
                <w:rFonts w:ascii="Arial" w:cs="Arial" w:eastAsia="Arial" w:hAnsi="Arial"/>
                <w:sz w:val="18"/>
                <w:szCs w:val="18"/>
                <w:color w:val="0000FF"/>
                <w:w w:val="97"/>
              </w:rPr>
            </w:pPr>
            <w:hyperlink r:id="rId17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11</w:t>
              </w:r>
            </w:hyperlink>
          </w:p>
        </w:tc>
        <w:tc>
          <w:tcPr>
            <w:tcW w:w="10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  Form of 2011 Omnibus Incentive Plan Restricted</w:t>
            </w:r>
          </w:p>
        </w:tc>
        <w:tc>
          <w:tcPr>
            <w:tcW w:w="4640" w:type="dxa"/>
            <w:vAlign w:val="bottom"/>
          </w:tcPr>
          <w:p>
            <w:pPr>
              <w:ind w:left="80"/>
              <w:spacing w:after="0"/>
              <w:rPr>
                <w:sz w:val="20"/>
                <w:szCs w:val="20"/>
                <w:color w:val="auto"/>
              </w:rPr>
            </w:pPr>
            <w:r>
              <w:rPr>
                <w:rFonts w:ascii="Arial" w:cs="Arial" w:eastAsia="Arial" w:hAnsi="Arial"/>
                <w:sz w:val="18"/>
                <w:szCs w:val="18"/>
                <w:color w:val="auto"/>
              </w:rPr>
              <w:t>Incorporated by reference to Exhibit 10.2 of Xylem Inc.’s</w:t>
            </w:r>
          </w:p>
        </w:tc>
      </w:tr>
      <w:tr>
        <w:trPr>
          <w:trHeight w:val="149"/>
        </w:trPr>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Stock Unit Agreement (2022).</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May 4, 2022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560" w:type="dxa"/>
            <w:vAlign w:val="bottom"/>
            <w:gridSpan w:val="4"/>
          </w:tcPr>
          <w:p>
            <w:pPr>
              <w:spacing w:after="0"/>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4540" w:type="dxa"/>
            <w:vAlign w:val="bottom"/>
          </w:tcPr>
          <w:p>
            <w:pPr>
              <w:ind w:left="120"/>
              <w:spacing w:after="0"/>
              <w:rPr>
                <w:sz w:val="20"/>
                <w:szCs w:val="20"/>
                <w:color w:val="auto"/>
              </w:rPr>
            </w:pPr>
            <w:r>
              <w:rPr>
                <w:rFonts w:ascii="Arial" w:cs="Arial" w:eastAsia="Arial" w:hAnsi="Arial"/>
                <w:sz w:val="18"/>
                <w:szCs w:val="18"/>
                <w:color w:val="auto"/>
              </w:rPr>
              <w:t>#  Xylem Deferred Compensation Plan for Non-</w:t>
            </w:r>
          </w:p>
        </w:tc>
        <w:tc>
          <w:tcPr>
            <w:tcW w:w="4640" w:type="dxa"/>
            <w:vAlign w:val="bottom"/>
          </w:tcPr>
          <w:p>
            <w:pPr>
              <w:ind w:left="80"/>
              <w:spacing w:after="0"/>
              <w:rPr>
                <w:sz w:val="20"/>
                <w:szCs w:val="20"/>
                <w:color w:val="auto"/>
              </w:rPr>
            </w:pPr>
            <w:r>
              <w:rPr>
                <w:rFonts w:ascii="Arial" w:cs="Arial" w:eastAsia="Arial" w:hAnsi="Arial"/>
                <w:sz w:val="18"/>
                <w:szCs w:val="18"/>
                <w:color w:val="auto"/>
                <w:w w:val="99"/>
              </w:rPr>
              <w:t>Incorporated by reference to Exhibit 10.13 of Xylem Inc.’s</w:t>
            </w:r>
          </w:p>
        </w:tc>
      </w:tr>
      <w:tr>
        <w:trPr>
          <w:trHeight w:val="149"/>
        </w:trPr>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Employee Directors.</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November 21, 2011</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(CIK No. 1524472, File No. 1-35229).</w:t>
            </w:r>
          </w:p>
        </w:tc>
      </w:tr>
      <w:tr>
        <w:trPr>
          <w:trHeight w:val="241"/>
        </w:trPr>
        <w:tc>
          <w:tcPr>
            <w:tcW w:w="560" w:type="dxa"/>
            <w:vAlign w:val="bottom"/>
            <w:gridSpan w:val="4"/>
          </w:tcPr>
          <w:p>
            <w:pPr>
              <w:spacing w:after="0"/>
              <w:rPr>
                <w:rFonts w:ascii="Arial" w:cs="Arial" w:eastAsia="Arial" w:hAnsi="Arial"/>
                <w:sz w:val="18"/>
                <w:szCs w:val="18"/>
                <w:color w:val="0000FF"/>
              </w:rPr>
            </w:pPr>
            <w:hyperlink r:id="rId179">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4540" w:type="dxa"/>
            <w:vAlign w:val="bottom"/>
          </w:tcPr>
          <w:p>
            <w:pPr>
              <w:ind w:left="120"/>
              <w:spacing w:after="0"/>
              <w:rPr>
                <w:sz w:val="20"/>
                <w:szCs w:val="20"/>
                <w:color w:val="auto"/>
              </w:rPr>
            </w:pPr>
            <w:r>
              <w:rPr>
                <w:rFonts w:ascii="Arial" w:cs="Arial" w:eastAsia="Arial" w:hAnsi="Arial"/>
                <w:sz w:val="18"/>
                <w:szCs w:val="18"/>
                <w:color w:val="auto"/>
              </w:rPr>
              <w:t>#  Form of Non-Employee Director Restricted Stock</w:t>
            </w:r>
          </w:p>
        </w:tc>
        <w:tc>
          <w:tcPr>
            <w:tcW w:w="464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49"/>
        </w:trPr>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Unit Award Agreement.</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July 30, 2015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560" w:type="dxa"/>
            <w:vAlign w:val="bottom"/>
            <w:gridSpan w:val="4"/>
          </w:tcPr>
          <w:p>
            <w:pPr>
              <w:spacing w:after="0"/>
              <w:rPr>
                <w:rFonts w:ascii="Arial" w:cs="Arial" w:eastAsia="Arial" w:hAnsi="Arial"/>
                <w:sz w:val="18"/>
                <w:szCs w:val="18"/>
                <w:color w:val="0000FF"/>
              </w:rPr>
            </w:pPr>
            <w:hyperlink r:id="rId180">
              <w:r>
                <w:rPr>
                  <w:rFonts w:ascii="Arial" w:cs="Arial" w:eastAsia="Arial" w:hAnsi="Arial"/>
                  <w:sz w:val="18"/>
                  <w:szCs w:val="18"/>
                  <w:color w:val="0000FF"/>
                </w:rPr>
                <w:t>10.</w:t>
              </w:r>
            </w:hyperlink>
            <w:r>
              <w:rPr>
                <w:rFonts w:ascii="Arial" w:cs="Arial" w:eastAsia="Arial" w:hAnsi="Arial"/>
                <w:sz w:val="18"/>
                <w:szCs w:val="18"/>
                <w:u w:val="single" w:color="auto"/>
                <w:color w:val="0000FF"/>
              </w:rPr>
              <w:t>14</w:t>
            </w:r>
          </w:p>
        </w:tc>
        <w:tc>
          <w:tcPr>
            <w:tcW w:w="9180" w:type="dxa"/>
            <w:vAlign w:val="bottom"/>
            <w:gridSpan w:val="2"/>
          </w:tcPr>
          <w:p>
            <w:pPr>
              <w:ind w:left="120"/>
              <w:spacing w:after="0"/>
              <w:rPr>
                <w:sz w:val="20"/>
                <w:szCs w:val="20"/>
                <w:color w:val="auto"/>
              </w:rPr>
            </w:pPr>
            <w:r>
              <w:rPr>
                <w:rFonts w:ascii="Arial" w:cs="Arial" w:eastAsia="Arial" w:hAnsi="Arial"/>
                <w:sz w:val="18"/>
                <w:szCs w:val="18"/>
                <w:color w:val="auto"/>
              </w:rPr>
              <w:t>#  Form of 2011 Omnibus Incentive Plan Non-Qualified Incorporated by reference to Exhibit 10.3 of Xylem Inc.’s</w:t>
            </w:r>
          </w:p>
        </w:tc>
      </w:tr>
      <w:tr>
        <w:trPr>
          <w:trHeight w:val="149"/>
        </w:trPr>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Stock Option Award Agreement (2023).</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May 4, 2023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560" w:type="dxa"/>
            <w:vAlign w:val="bottom"/>
            <w:gridSpan w:val="4"/>
          </w:tcPr>
          <w:p>
            <w:pPr>
              <w:spacing w:after="0"/>
              <w:rPr>
                <w:rFonts w:ascii="Arial" w:cs="Arial" w:eastAsia="Arial" w:hAnsi="Arial"/>
                <w:sz w:val="18"/>
                <w:szCs w:val="18"/>
                <w:color w:val="0000FF"/>
              </w:rPr>
            </w:pPr>
            <w:hyperlink r:id="rId181">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4540" w:type="dxa"/>
            <w:vAlign w:val="bottom"/>
          </w:tcPr>
          <w:p>
            <w:pPr>
              <w:ind w:left="120"/>
              <w:spacing w:after="0"/>
              <w:rPr>
                <w:sz w:val="20"/>
                <w:szCs w:val="20"/>
                <w:color w:val="auto"/>
              </w:rPr>
            </w:pPr>
            <w:r>
              <w:rPr>
                <w:rFonts w:ascii="Arial" w:cs="Arial" w:eastAsia="Arial" w:hAnsi="Arial"/>
                <w:sz w:val="18"/>
                <w:szCs w:val="18"/>
                <w:color w:val="auto"/>
              </w:rPr>
              <w:t>#  Form of 2011 Omnibus Incentive Plan Performance</w:t>
            </w:r>
          </w:p>
        </w:tc>
        <w:tc>
          <w:tcPr>
            <w:tcW w:w="4640" w:type="dxa"/>
            <w:vAlign w:val="bottom"/>
          </w:tcPr>
          <w:p>
            <w:pPr>
              <w:ind w:left="80"/>
              <w:spacing w:after="0"/>
              <w:rPr>
                <w:sz w:val="20"/>
                <w:szCs w:val="20"/>
                <w:color w:val="auto"/>
              </w:rPr>
            </w:pPr>
            <w:r>
              <w:rPr>
                <w:rFonts w:ascii="Arial" w:cs="Arial" w:eastAsia="Arial" w:hAnsi="Arial"/>
                <w:sz w:val="18"/>
                <w:szCs w:val="18"/>
                <w:color w:val="auto"/>
              </w:rPr>
              <w:t>Incorporated by reference to Exhibit 10.4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Share Unit Agreement (2023).</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May 4, 2023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560" w:type="dxa"/>
            <w:vAlign w:val="bottom"/>
            <w:gridSpan w:val="4"/>
          </w:tcPr>
          <w:p>
            <w:pPr>
              <w:spacing w:after="0"/>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4540" w:type="dxa"/>
            <w:vAlign w:val="bottom"/>
          </w:tcPr>
          <w:p>
            <w:pPr>
              <w:ind w:left="120"/>
              <w:spacing w:after="0"/>
              <w:rPr>
                <w:sz w:val="20"/>
                <w:szCs w:val="20"/>
                <w:color w:val="auto"/>
              </w:rPr>
            </w:pPr>
            <w:r>
              <w:rPr>
                <w:rFonts w:ascii="Arial" w:cs="Arial" w:eastAsia="Arial" w:hAnsi="Arial"/>
                <w:sz w:val="18"/>
                <w:szCs w:val="18"/>
                <w:color w:val="auto"/>
              </w:rPr>
              <w:t>#  Form of 2011 Omnibus Incentive Plan Restricted</w:t>
            </w:r>
          </w:p>
        </w:tc>
        <w:tc>
          <w:tcPr>
            <w:tcW w:w="4640" w:type="dxa"/>
            <w:vAlign w:val="bottom"/>
          </w:tcPr>
          <w:p>
            <w:pPr>
              <w:ind w:left="80"/>
              <w:spacing w:after="0"/>
              <w:rPr>
                <w:sz w:val="20"/>
                <w:szCs w:val="20"/>
                <w:color w:val="auto"/>
              </w:rPr>
            </w:pPr>
            <w:r>
              <w:rPr>
                <w:rFonts w:ascii="Arial" w:cs="Arial" w:eastAsia="Arial" w:hAnsi="Arial"/>
                <w:sz w:val="18"/>
                <w:szCs w:val="18"/>
                <w:color w:val="auto"/>
              </w:rPr>
              <w:t>Incorporated by reference to Exhibit 10.5 of Xylem Inc.’s</w:t>
            </w:r>
          </w:p>
        </w:tc>
      </w:tr>
      <w:tr>
        <w:trPr>
          <w:trHeight w:val="148"/>
        </w:trPr>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Stock Unit Agreement (2023).</w:t>
            </w:r>
          </w:p>
        </w:tc>
        <w:tc>
          <w:tcPr>
            <w:tcW w:w="4640" w:type="dxa"/>
            <w:vAlign w:val="bottom"/>
          </w:tcPr>
          <w:p>
            <w:pPr>
              <w:ind w:left="80"/>
              <w:spacing w:after="0" w:line="149" w:lineRule="exact"/>
              <w:rPr>
                <w:sz w:val="20"/>
                <w:szCs w:val="20"/>
                <w:color w:val="auto"/>
              </w:rPr>
            </w:pPr>
            <w:r>
              <w:rPr>
                <w:rFonts w:ascii="Arial" w:cs="Arial" w:eastAsia="Arial" w:hAnsi="Arial"/>
                <w:sz w:val="17"/>
                <w:szCs w:val="17"/>
                <w:color w:val="auto"/>
              </w:rPr>
              <w:t>Form 10-Q Quarterly Report filed on May 4, 2023 (CIK</w:t>
            </w:r>
          </w:p>
        </w:tc>
      </w:tr>
      <w:tr>
        <w:trPr>
          <w:trHeight w:val="239"/>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bl>
    <w:p>
      <w:pPr>
        <w:spacing w:after="0" w:line="27" w:lineRule="exact"/>
        <w:rPr>
          <w:sz w:val="20"/>
          <w:szCs w:val="20"/>
          <w:color w:val="auto"/>
        </w:rPr>
      </w:pPr>
    </w:p>
    <w:p>
      <w:pPr>
        <w:sectPr>
          <w:pgSz w:w="11900" w:h="16838" w:orient="portrait"/>
          <w:cols w:equalWidth="0" w:num="1">
            <w:col w:w="10139"/>
          </w:cols>
          <w:pgMar w:left="320" w:top="1180" w:right="1440"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560" w:type="dxa"/>
            <w:vAlign w:val="bottom"/>
            <w:gridSpan w:val="2"/>
          </w:tcPr>
          <w:p>
            <w:pPr>
              <w:jc w:val="right"/>
              <w:ind w:right="100"/>
              <w:spacing w:after="0"/>
              <w:rPr>
                <w:rFonts w:ascii="Arial" w:cs="Arial" w:eastAsia="Arial" w:hAnsi="Arial"/>
                <w:sz w:val="18"/>
                <w:szCs w:val="18"/>
                <w:color w:val="0000FF"/>
                <w:w w:val="97"/>
              </w:rPr>
            </w:pPr>
            <w:hyperlink r:id="rId183">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17</w:t>
              </w:r>
            </w:hyperlink>
          </w:p>
        </w:tc>
        <w:tc>
          <w:tcPr>
            <w:tcW w:w="4540" w:type="dxa"/>
            <w:vAlign w:val="bottom"/>
          </w:tcPr>
          <w:p>
            <w:pPr>
              <w:ind w:left="120"/>
              <w:spacing w:after="0"/>
              <w:rPr>
                <w:sz w:val="20"/>
                <w:szCs w:val="20"/>
                <w:color w:val="auto"/>
              </w:rPr>
            </w:pPr>
            <w:r>
              <w:rPr>
                <w:rFonts w:ascii="Arial" w:cs="Arial" w:eastAsia="Arial" w:hAnsi="Arial"/>
                <w:sz w:val="18"/>
                <w:szCs w:val="18"/>
                <w:color w:val="auto"/>
              </w:rPr>
              <w:t>#  Form of 2011 Omnibus Incentive Plan Non-Qualified</w:t>
            </w:r>
          </w:p>
        </w:tc>
      </w:tr>
      <w:tr>
        <w:trPr>
          <w:trHeight w:val="212"/>
        </w:trPr>
        <w:tc>
          <w:tcPr>
            <w:tcW w:w="4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Stock Option Grant Agreement (2024).</w:t>
            </w:r>
          </w:p>
        </w:tc>
      </w:tr>
      <w:tr>
        <w:trPr>
          <w:trHeight w:val="416"/>
        </w:trPr>
        <w:tc>
          <w:tcPr>
            <w:tcW w:w="560" w:type="dxa"/>
            <w:vAlign w:val="bottom"/>
            <w:gridSpan w:val="2"/>
          </w:tcPr>
          <w:p>
            <w:pPr>
              <w:jc w:val="right"/>
              <w:ind w:right="100"/>
              <w:spacing w:after="0"/>
              <w:rPr>
                <w:rFonts w:ascii="Arial" w:cs="Arial" w:eastAsia="Arial" w:hAnsi="Arial"/>
                <w:sz w:val="18"/>
                <w:szCs w:val="18"/>
                <w:color w:val="0000FF"/>
                <w:w w:val="97"/>
              </w:rPr>
            </w:pPr>
            <w:hyperlink r:id="rId184">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18</w:t>
              </w:r>
            </w:hyperlink>
          </w:p>
        </w:tc>
        <w:tc>
          <w:tcPr>
            <w:tcW w:w="4540" w:type="dxa"/>
            <w:vAlign w:val="bottom"/>
          </w:tcPr>
          <w:p>
            <w:pPr>
              <w:ind w:left="120"/>
              <w:spacing w:after="0"/>
              <w:rPr>
                <w:sz w:val="20"/>
                <w:szCs w:val="20"/>
                <w:color w:val="auto"/>
              </w:rPr>
            </w:pPr>
            <w:r>
              <w:rPr>
                <w:rFonts w:ascii="Arial" w:cs="Arial" w:eastAsia="Arial" w:hAnsi="Arial"/>
                <w:sz w:val="18"/>
                <w:szCs w:val="18"/>
                <w:color w:val="auto"/>
              </w:rPr>
              <w:t>#  Form of 2011 Omnibus Incentive Plan Non-Qualified</w:t>
            </w:r>
          </w:p>
        </w:tc>
      </w:tr>
      <w:tr>
        <w:trPr>
          <w:trHeight w:val="148"/>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ind w:left="380"/>
              <w:spacing w:after="0" w:line="149" w:lineRule="exact"/>
              <w:rPr>
                <w:sz w:val="20"/>
                <w:szCs w:val="20"/>
                <w:color w:val="auto"/>
              </w:rPr>
            </w:pPr>
            <w:r>
              <w:rPr>
                <w:rFonts w:ascii="Arial" w:cs="Arial" w:eastAsia="Arial" w:hAnsi="Arial"/>
                <w:sz w:val="17"/>
                <w:szCs w:val="17"/>
                <w:color w:val="auto"/>
              </w:rPr>
              <w:t>Stock Option Grant Agreement for Senior</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Leadership Team (2024).</w:t>
            </w:r>
          </w:p>
        </w:tc>
      </w:tr>
      <w:tr>
        <w:trPr>
          <w:trHeight w:val="781"/>
        </w:trPr>
        <w:tc>
          <w:tcPr>
            <w:tcW w:w="560" w:type="dxa"/>
            <w:vAlign w:val="bottom"/>
            <w:gridSpan w:val="2"/>
          </w:tcPr>
          <w:p>
            <w:pPr>
              <w:jc w:val="right"/>
              <w:ind w:right="100"/>
              <w:spacing w:after="0"/>
              <w:rPr>
                <w:rFonts w:ascii="Arial" w:cs="Arial" w:eastAsia="Arial" w:hAnsi="Arial"/>
                <w:sz w:val="18"/>
                <w:szCs w:val="18"/>
                <w:color w:val="0000FF"/>
                <w:w w:val="97"/>
              </w:rPr>
            </w:pPr>
            <w:hyperlink r:id="rId185">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19</w:t>
              </w:r>
            </w:hyperlink>
          </w:p>
        </w:tc>
        <w:tc>
          <w:tcPr>
            <w:tcW w:w="4540" w:type="dxa"/>
            <w:vAlign w:val="bottom"/>
          </w:tcPr>
          <w:p>
            <w:pPr>
              <w:ind w:left="120"/>
              <w:spacing w:after="0"/>
              <w:rPr>
                <w:sz w:val="20"/>
                <w:szCs w:val="20"/>
                <w:color w:val="auto"/>
              </w:rPr>
            </w:pPr>
            <w:r>
              <w:rPr>
                <w:rFonts w:ascii="Arial" w:cs="Arial" w:eastAsia="Arial" w:hAnsi="Arial"/>
                <w:sz w:val="18"/>
                <w:szCs w:val="18"/>
                <w:color w:val="auto"/>
              </w:rPr>
              <w:t>#  Form of 2011 Omnibus Incentive Plan Performance</w:t>
            </w:r>
          </w:p>
        </w:tc>
      </w:tr>
      <w:tr>
        <w:trPr>
          <w:trHeight w:val="212"/>
        </w:trPr>
        <w:tc>
          <w:tcPr>
            <w:tcW w:w="4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ind w:left="380"/>
              <w:spacing w:after="0"/>
              <w:rPr>
                <w:sz w:val="20"/>
                <w:szCs w:val="20"/>
                <w:color w:val="auto"/>
              </w:rPr>
            </w:pPr>
            <w:r>
              <w:rPr>
                <w:rFonts w:ascii="Arial" w:cs="Arial" w:eastAsia="Arial" w:hAnsi="Arial"/>
                <w:sz w:val="18"/>
                <w:szCs w:val="18"/>
                <w:color w:val="auto"/>
              </w:rPr>
              <w:t>Share Unit Grant Agreement (2024).</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10.2 of Xylem Inc.’s Form 10-Q Quarterly Report filed on May 2, 2024 (CIK No. 1524472, File No. 1-35229).</w:t>
      </w:r>
    </w:p>
    <w:p>
      <w:pPr>
        <w:spacing w:after="0" w:line="61"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10.3 of Xylem Inc.’s Form 10-Q Quarterly Report filed on May 2, 2024 (CIK No. 1524472, File No. 1-35229).</w:t>
      </w:r>
    </w:p>
    <w:p>
      <w:pPr>
        <w:spacing w:after="0" w:line="7"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10.3 of Xylem Inc.’s Form 10-Q Quarterly Report filed on May 2, 2024 (CIK No. 1524472, File No. 1-35229).</w:t>
      </w:r>
    </w:p>
    <w:p>
      <w:pPr>
        <w:spacing w:after="0" w:line="7"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10.4 of Xylem Inc.’s Form 10-Q Quarterly Report filed on May 2, 2024 (CIK No. 1524472, File No. 1-35229).</w:t>
      </w:r>
    </w:p>
    <w:p>
      <w:pPr>
        <w:spacing w:after="0" w:line="200" w:lineRule="exact"/>
        <w:rPr>
          <w:sz w:val="20"/>
          <w:szCs w:val="20"/>
          <w:color w:val="auto"/>
        </w:rPr>
      </w:pPr>
    </w:p>
    <w:p>
      <w:pPr>
        <w:sectPr>
          <w:pgSz w:w="11900" w:h="16838" w:orient="portrait"/>
          <w:cols w:equalWidth="0" w:num="2">
            <w:col w:w="5120" w:space="80"/>
            <w:col w:w="4939"/>
          </w:cols>
          <w:pgMar w:left="320" w:top="11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0" w:right="1440" w:bottom="1440" w:gutter="0" w:footer="0" w:header="0"/>
          <w:type w:val="continuous"/>
        </w:sectPr>
      </w:pPr>
    </w:p>
    <w:bookmarkStart w:id="134" w:name="page135"/>
    <w:bookmarkEnd w:id="134"/>
    <w:tbl>
      <w:tblPr>
        <w:tblLayout w:type="fixed"/>
        <w:tblInd w:w="60" w:type="dxa"/>
        <w:tblCellMar>
          <w:top w:w="0" w:type="dxa"/>
          <w:left w:w="0" w:type="dxa"/>
          <w:bottom w:w="0" w:type="dxa"/>
          <w:right w:w="0" w:type="dxa"/>
        </w:tblCellMar>
      </w:tblPr>
      <w:tr>
        <w:trPr>
          <w:trHeight w:val="161"/>
        </w:trPr>
        <w:tc>
          <w:tcPr>
            <w:tcW w:w="1560" w:type="dxa"/>
            <w:vAlign w:val="bottom"/>
          </w:tcPr>
          <w:p>
            <w:pPr>
              <w:jc w:val="center"/>
              <w:ind w:right="968"/>
              <w:spacing w:after="0"/>
              <w:rPr>
                <w:sz w:val="20"/>
                <w:szCs w:val="20"/>
                <w:color w:val="auto"/>
              </w:rPr>
            </w:pPr>
            <w:r>
              <w:rPr>
                <w:rFonts w:ascii="Arial" w:cs="Arial" w:eastAsia="Arial" w:hAnsi="Arial"/>
                <w:sz w:val="14"/>
                <w:szCs w:val="14"/>
                <w:b w:val="1"/>
                <w:bCs w:val="1"/>
                <w:color w:val="auto"/>
              </w:rPr>
              <w:t>Exhibit</w:t>
            </w:r>
          </w:p>
        </w:tc>
        <w:tc>
          <w:tcPr>
            <w:tcW w:w="36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2480" w:type="dxa"/>
            <w:vAlign w:val="bottom"/>
            <w:vMerge w:val="restart"/>
          </w:tcPr>
          <w:p>
            <w:pPr>
              <w:ind w:left="188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6"/>
        </w:trPr>
        <w:tc>
          <w:tcPr>
            <w:tcW w:w="1560" w:type="dxa"/>
            <w:vAlign w:val="bottom"/>
          </w:tcPr>
          <w:p>
            <w:pPr>
              <w:jc w:val="center"/>
              <w:ind w:right="948"/>
              <w:spacing w:after="0"/>
              <w:rPr>
                <w:sz w:val="20"/>
                <w:szCs w:val="20"/>
                <w:color w:val="auto"/>
              </w:rPr>
            </w:pPr>
            <w:r>
              <w:rPr>
                <w:rFonts w:ascii="Arial" w:cs="Arial" w:eastAsia="Arial" w:hAnsi="Arial"/>
                <w:sz w:val="14"/>
                <w:szCs w:val="14"/>
                <w:b w:val="1"/>
                <w:bCs w:val="1"/>
                <w:color w:val="auto"/>
              </w:rPr>
              <w:t>Number</w:t>
            </w:r>
          </w:p>
        </w:tc>
        <w:tc>
          <w:tcPr>
            <w:tcW w:w="3680" w:type="dxa"/>
            <w:vAlign w:val="bottom"/>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62236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0119"/>
          </w:cols>
          <w:pgMar w:left="340" w:top="1180" w:right="1440" w:bottom="1440" w:gutter="0" w:footer="0" w:header="0"/>
        </w:sectPr>
      </w:pPr>
    </w:p>
    <w:tbl>
      <w:tblPr>
        <w:tblLayout w:type="fixed"/>
        <w:tblInd w:w="0" w:type="dxa"/>
        <w:tblCellMar>
          <w:top w:w="0" w:type="dxa"/>
          <w:left w:w="0" w:type="dxa"/>
          <w:bottom w:w="0" w:type="dxa"/>
          <w:right w:w="0" w:type="dxa"/>
        </w:tblCellMar>
      </w:tblPr>
      <w:tr>
        <w:trPr>
          <w:trHeight w:val="189"/>
        </w:trPr>
        <w:tc>
          <w:tcPr>
            <w:tcW w:w="560" w:type="dxa"/>
            <w:vAlign w:val="bottom"/>
            <w:gridSpan w:val="2"/>
          </w:tcPr>
          <w:p>
            <w:pPr>
              <w:jc w:val="right"/>
              <w:ind w:right="100"/>
              <w:spacing w:after="0" w:line="182" w:lineRule="exact"/>
              <w:rPr>
                <w:rFonts w:ascii="Arial" w:cs="Arial" w:eastAsia="Arial" w:hAnsi="Arial"/>
                <w:sz w:val="18"/>
                <w:szCs w:val="18"/>
                <w:color w:val="0000FF"/>
                <w:w w:val="97"/>
              </w:rPr>
            </w:pPr>
            <w:hyperlink r:id="rId188">
              <w:r>
                <w:rPr>
                  <w:rFonts w:ascii="Arial" w:cs="Arial" w:eastAsia="Arial" w:hAnsi="Arial"/>
                  <w:sz w:val="18"/>
                  <w:szCs w:val="18"/>
                  <w:color w:val="0000FF"/>
                  <w:w w:val="97"/>
                </w:rPr>
                <w:t>10.</w:t>
              </w:r>
            </w:hyperlink>
            <w:r>
              <w:rPr>
                <w:rFonts w:ascii="Arial" w:cs="Arial" w:eastAsia="Arial" w:hAnsi="Arial"/>
                <w:sz w:val="18"/>
                <w:szCs w:val="18"/>
                <w:u w:val="single" w:color="auto"/>
                <w:color w:val="0000FF"/>
                <w:w w:val="97"/>
              </w:rPr>
              <w:t>20</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ind w:left="80"/>
              <w:spacing w:after="0" w:line="182" w:lineRule="exact"/>
              <w:rPr>
                <w:sz w:val="20"/>
                <w:szCs w:val="20"/>
                <w:color w:val="auto"/>
              </w:rPr>
            </w:pPr>
            <w:r>
              <w:rPr>
                <w:rFonts w:ascii="Arial" w:cs="Arial" w:eastAsia="Arial" w:hAnsi="Arial"/>
                <w:sz w:val="18"/>
                <w:szCs w:val="18"/>
                <w:color w:val="auto"/>
                <w:w w:val="98"/>
              </w:rPr>
              <w:t>Form of 2011</w:t>
            </w:r>
          </w:p>
        </w:tc>
        <w:tc>
          <w:tcPr>
            <w:tcW w:w="3000" w:type="dxa"/>
            <w:vAlign w:val="bottom"/>
          </w:tcPr>
          <w:p>
            <w:pPr>
              <w:ind w:left="20"/>
              <w:spacing w:after="0" w:line="182" w:lineRule="exact"/>
              <w:rPr>
                <w:sz w:val="20"/>
                <w:szCs w:val="20"/>
                <w:color w:val="auto"/>
              </w:rPr>
            </w:pPr>
            <w:r>
              <w:rPr>
                <w:rFonts w:ascii="Arial" w:cs="Arial" w:eastAsia="Arial" w:hAnsi="Arial"/>
                <w:sz w:val="18"/>
                <w:szCs w:val="18"/>
                <w:color w:val="auto"/>
                <w:w w:val="99"/>
              </w:rPr>
              <w:t>Omnibus Incentive Plan Performance</w:t>
            </w:r>
          </w:p>
        </w:tc>
      </w:tr>
      <w:tr>
        <w:trPr>
          <w:trHeight w:val="148"/>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160" w:type="dxa"/>
            <w:vAlign w:val="bottom"/>
            <w:gridSpan w:val="2"/>
          </w:tcPr>
          <w:p>
            <w:pPr>
              <w:ind w:left="80"/>
              <w:spacing w:after="0" w:line="149" w:lineRule="exact"/>
              <w:rPr>
                <w:sz w:val="20"/>
                <w:szCs w:val="20"/>
                <w:color w:val="auto"/>
              </w:rPr>
            </w:pPr>
            <w:r>
              <w:rPr>
                <w:rFonts w:ascii="Arial" w:cs="Arial" w:eastAsia="Arial" w:hAnsi="Arial"/>
                <w:sz w:val="17"/>
                <w:szCs w:val="17"/>
                <w:color w:val="auto"/>
              </w:rPr>
              <w:t>Share Unit Grant Agreement for Senior Leadership</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w w:val="98"/>
              </w:rPr>
              <w:t>Team (2024).</w:t>
            </w:r>
          </w:p>
        </w:tc>
        <w:tc>
          <w:tcPr>
            <w:tcW w:w="3000" w:type="dxa"/>
            <w:vAlign w:val="bottom"/>
          </w:tcPr>
          <w:p>
            <w:pPr>
              <w:spacing w:after="0"/>
              <w:rPr>
                <w:sz w:val="20"/>
                <w:szCs w:val="20"/>
                <w:color w:val="auto"/>
              </w:rPr>
            </w:pPr>
          </w:p>
        </w:tc>
      </w:tr>
      <w:tr>
        <w:trPr>
          <w:trHeight w:val="246"/>
        </w:trPr>
        <w:tc>
          <w:tcPr>
            <w:tcW w:w="560" w:type="dxa"/>
            <w:vAlign w:val="bottom"/>
            <w:gridSpan w:val="2"/>
          </w:tcPr>
          <w:p>
            <w:pPr>
              <w:jc w:val="right"/>
              <w:ind w:right="100"/>
              <w:spacing w:after="0"/>
              <w:rPr>
                <w:rFonts w:ascii="Arial" w:cs="Arial" w:eastAsia="Arial" w:hAnsi="Arial"/>
                <w:sz w:val="18"/>
                <w:szCs w:val="18"/>
                <w:u w:val="single" w:color="auto"/>
                <w:color w:val="0000FF"/>
                <w:w w:val="97"/>
              </w:rPr>
            </w:pPr>
            <w:hyperlink r:id="rId189">
              <w:r>
                <w:rPr>
                  <w:rFonts w:ascii="Arial" w:cs="Arial" w:eastAsia="Arial" w:hAnsi="Arial"/>
                  <w:sz w:val="18"/>
                  <w:szCs w:val="18"/>
                  <w:u w:val="single" w:color="auto"/>
                  <w:color w:val="0000FF"/>
                  <w:w w:val="97"/>
                </w:rPr>
                <w:t>10.21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80"/>
              <w:spacing w:after="0"/>
              <w:rPr>
                <w:sz w:val="20"/>
                <w:szCs w:val="20"/>
                <w:color w:val="auto"/>
              </w:rPr>
            </w:pPr>
            <w:r>
              <w:rPr>
                <w:rFonts w:ascii="Arial" w:cs="Arial" w:eastAsia="Arial" w:hAnsi="Arial"/>
                <w:sz w:val="18"/>
                <w:szCs w:val="18"/>
                <w:color w:val="auto"/>
                <w:w w:val="98"/>
              </w:rPr>
              <w:t>Form of 2011</w:t>
            </w:r>
          </w:p>
        </w:tc>
        <w:tc>
          <w:tcPr>
            <w:tcW w:w="3000" w:type="dxa"/>
            <w:vAlign w:val="bottom"/>
          </w:tcPr>
          <w:p>
            <w:pPr>
              <w:ind w:left="20"/>
              <w:spacing w:after="0"/>
              <w:rPr>
                <w:sz w:val="20"/>
                <w:szCs w:val="20"/>
                <w:color w:val="auto"/>
              </w:rPr>
            </w:pPr>
            <w:r>
              <w:rPr>
                <w:rFonts w:ascii="Arial" w:cs="Arial" w:eastAsia="Arial" w:hAnsi="Arial"/>
                <w:sz w:val="18"/>
                <w:szCs w:val="18"/>
                <w:color w:val="auto"/>
              </w:rPr>
              <w:t>Omnibus Incentive Plan Restricted</w:t>
            </w:r>
          </w:p>
        </w:tc>
      </w:tr>
    </w:tbl>
    <w:p>
      <w:pPr>
        <w:ind w:left="940"/>
        <w:spacing w:after="0"/>
        <w:rPr>
          <w:sz w:val="20"/>
          <w:szCs w:val="20"/>
          <w:color w:val="auto"/>
        </w:rPr>
      </w:pPr>
      <w:r>
        <w:rPr>
          <w:rFonts w:ascii="Arial" w:cs="Arial" w:eastAsia="Arial" w:hAnsi="Arial"/>
          <w:sz w:val="18"/>
          <w:szCs w:val="18"/>
          <w:color w:val="auto"/>
        </w:rPr>
        <w:t>Stock Unit Agreement (2024).</w:t>
      </w:r>
    </w:p>
    <w:p>
      <w:pPr>
        <w:spacing w:after="0" w:line="20" w:lineRule="exact"/>
        <w:rPr>
          <w:sz w:val="20"/>
          <w:szCs w:val="20"/>
          <w:color w:val="auto"/>
        </w:rPr>
      </w:pPr>
      <w:r>
        <w:rPr>
          <w:sz w:val="20"/>
          <w:szCs w:val="20"/>
          <w:color w:val="auto"/>
        </w:rPr>
        <w:br w:type="column"/>
      </w:r>
    </w:p>
    <w:p>
      <w:pPr>
        <w:ind w:right="479"/>
        <w:spacing w:after="0" w:line="227" w:lineRule="auto"/>
        <w:rPr>
          <w:sz w:val="20"/>
          <w:szCs w:val="20"/>
          <w:color w:val="auto"/>
        </w:rPr>
      </w:pPr>
      <w:r>
        <w:rPr>
          <w:rFonts w:ascii="Arial" w:cs="Arial" w:eastAsia="Arial" w:hAnsi="Arial"/>
          <w:sz w:val="18"/>
          <w:szCs w:val="18"/>
          <w:color w:val="auto"/>
        </w:rPr>
        <w:t>Incorporated by reference to Exhibit 10.5 of Xylem Inc.’s Form 10-Q Quarterly Report filed on May 2, 2024 (CIK No. 1524472, File No. 1-35229).</w:t>
      </w:r>
    </w:p>
    <w:p>
      <w:pPr>
        <w:spacing w:after="0" w:line="61"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10.6 of Xylem Inc.’s Form 10-Q Quarterly Report filed on May 2, 2024 (CIK No. 1524472, File No. 1-35229).</w:t>
      </w:r>
    </w:p>
    <w:p>
      <w:pPr>
        <w:spacing w:after="0" w:line="35" w:lineRule="exact"/>
        <w:rPr>
          <w:sz w:val="20"/>
          <w:szCs w:val="20"/>
          <w:color w:val="auto"/>
        </w:rPr>
      </w:pPr>
    </w:p>
    <w:p>
      <w:pPr>
        <w:sectPr>
          <w:pgSz w:w="11900" w:h="16838" w:orient="portrait"/>
          <w:cols w:equalWidth="0" w:num="2">
            <w:col w:w="5020" w:space="160"/>
            <w:col w:w="4939"/>
          </w:cols>
          <w:pgMar w:left="340" w:top="1180" w:right="1440"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60" w:type="dxa"/>
            <w:vAlign w:val="bottom"/>
            <w:gridSpan w:val="2"/>
          </w:tcPr>
          <w:p>
            <w:pPr>
              <w:jc w:val="right"/>
              <w:ind w:right="100"/>
              <w:spacing w:after="0"/>
              <w:rPr>
                <w:rFonts w:ascii="Arial" w:cs="Arial" w:eastAsia="Arial" w:hAnsi="Arial"/>
                <w:sz w:val="18"/>
                <w:szCs w:val="18"/>
                <w:color w:val="0000FF"/>
                <w:w w:val="97"/>
              </w:rPr>
            </w:pPr>
            <w:hyperlink r:id="rId190">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22</w:t>
              </w:r>
            </w:hyperlink>
          </w:p>
        </w:tc>
        <w:tc>
          <w:tcPr>
            <w:tcW w:w="4560" w:type="dxa"/>
            <w:vAlign w:val="bottom"/>
          </w:tcPr>
          <w:p>
            <w:pPr>
              <w:ind w:left="120"/>
              <w:spacing w:after="0"/>
              <w:rPr>
                <w:sz w:val="20"/>
                <w:szCs w:val="20"/>
                <w:color w:val="auto"/>
              </w:rPr>
            </w:pPr>
            <w:r>
              <w:rPr>
                <w:rFonts w:ascii="Arial" w:cs="Arial" w:eastAsia="Arial" w:hAnsi="Arial"/>
                <w:sz w:val="18"/>
                <w:szCs w:val="18"/>
                <w:color w:val="auto"/>
              </w:rPr>
              <w:t>#  Form of 2011 Omnibus Incentive Plan Restricted</w:t>
            </w:r>
          </w:p>
        </w:tc>
      </w:tr>
      <w:tr>
        <w:trPr>
          <w:trHeight w:val="148"/>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ind w:left="380"/>
              <w:spacing w:after="0" w:line="149" w:lineRule="exact"/>
              <w:rPr>
                <w:sz w:val="20"/>
                <w:szCs w:val="20"/>
                <w:color w:val="auto"/>
              </w:rPr>
            </w:pPr>
            <w:r>
              <w:rPr>
                <w:rFonts w:ascii="Arial" w:cs="Arial" w:eastAsia="Arial" w:hAnsi="Arial"/>
                <w:sz w:val="17"/>
                <w:szCs w:val="17"/>
                <w:color w:val="auto"/>
              </w:rPr>
              <w:t>Stock Unit Agreement for Senior Leadership Team</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(2024).</w:t>
            </w:r>
          </w:p>
        </w:tc>
      </w:tr>
      <w:tr>
        <w:trPr>
          <w:trHeight w:val="241"/>
        </w:trPr>
        <w:tc>
          <w:tcPr>
            <w:tcW w:w="560" w:type="dxa"/>
            <w:vAlign w:val="bottom"/>
            <w:gridSpan w:val="2"/>
          </w:tcPr>
          <w:p>
            <w:pPr>
              <w:jc w:val="right"/>
              <w:ind w:right="100"/>
              <w:spacing w:after="0"/>
              <w:rPr>
                <w:rFonts w:ascii="Arial" w:cs="Arial" w:eastAsia="Arial" w:hAnsi="Arial"/>
                <w:sz w:val="18"/>
                <w:szCs w:val="18"/>
                <w:color w:val="0000FF"/>
                <w:w w:val="97"/>
              </w:rPr>
            </w:pPr>
            <w:hyperlink r:id="rId191">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23</w:t>
              </w:r>
            </w:hyperlink>
          </w:p>
        </w:tc>
        <w:tc>
          <w:tcPr>
            <w:tcW w:w="4560" w:type="dxa"/>
            <w:vAlign w:val="bottom"/>
          </w:tcPr>
          <w:p>
            <w:pPr>
              <w:ind w:left="120"/>
              <w:spacing w:after="0"/>
              <w:rPr>
                <w:sz w:val="20"/>
                <w:szCs w:val="20"/>
                <w:color w:val="auto"/>
              </w:rPr>
            </w:pPr>
            <w:r>
              <w:rPr>
                <w:rFonts w:ascii="Arial" w:cs="Arial" w:eastAsia="Arial" w:hAnsi="Arial"/>
                <w:sz w:val="18"/>
                <w:szCs w:val="18"/>
                <w:color w:val="auto"/>
              </w:rPr>
              <w:t>#  Amended and Restated Evoqua Water Technologies</w:t>
            </w:r>
          </w:p>
        </w:tc>
      </w:tr>
      <w:tr>
        <w:trPr>
          <w:trHeight w:val="212"/>
        </w:trPr>
        <w:tc>
          <w:tcPr>
            <w:tcW w:w="4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Corp. 2017 Equity Incentive Plan.</w:t>
            </w:r>
          </w:p>
        </w:tc>
      </w:tr>
      <w:tr>
        <w:trPr>
          <w:trHeight w:val="416"/>
        </w:trPr>
        <w:tc>
          <w:tcPr>
            <w:tcW w:w="560" w:type="dxa"/>
            <w:vAlign w:val="bottom"/>
            <w:gridSpan w:val="2"/>
          </w:tcPr>
          <w:p>
            <w:pPr>
              <w:jc w:val="right"/>
              <w:ind w:right="100"/>
              <w:spacing w:after="0"/>
              <w:rPr>
                <w:rFonts w:ascii="Arial" w:cs="Arial" w:eastAsia="Arial" w:hAnsi="Arial"/>
                <w:sz w:val="18"/>
                <w:szCs w:val="18"/>
                <w:color w:val="0000FF"/>
                <w:w w:val="97"/>
              </w:rPr>
            </w:pPr>
            <w:hyperlink r:id="rId192">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24</w:t>
              </w:r>
            </w:hyperlink>
          </w:p>
        </w:tc>
        <w:tc>
          <w:tcPr>
            <w:tcW w:w="4560" w:type="dxa"/>
            <w:vAlign w:val="bottom"/>
          </w:tcPr>
          <w:p>
            <w:pPr>
              <w:ind w:left="120"/>
              <w:spacing w:after="0"/>
              <w:rPr>
                <w:sz w:val="20"/>
                <w:szCs w:val="20"/>
                <w:color w:val="auto"/>
              </w:rPr>
            </w:pPr>
            <w:r>
              <w:rPr>
                <w:rFonts w:ascii="Arial" w:cs="Arial" w:eastAsia="Arial" w:hAnsi="Arial"/>
                <w:sz w:val="18"/>
                <w:szCs w:val="18"/>
                <w:color w:val="auto"/>
              </w:rPr>
              <w:t>#  Form of Restricted Stock Unit Award-Notice of Grant</w:t>
            </w:r>
          </w:p>
        </w:tc>
      </w:tr>
      <w:tr>
        <w:trPr>
          <w:trHeight w:val="148"/>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ind w:left="380"/>
              <w:spacing w:after="0" w:line="149" w:lineRule="exact"/>
              <w:rPr>
                <w:sz w:val="20"/>
                <w:szCs w:val="20"/>
                <w:color w:val="auto"/>
              </w:rPr>
            </w:pPr>
            <w:r>
              <w:rPr>
                <w:rFonts w:ascii="Arial" w:cs="Arial" w:eastAsia="Arial" w:hAnsi="Arial"/>
                <w:sz w:val="17"/>
                <w:szCs w:val="17"/>
                <w:color w:val="auto"/>
              </w:rPr>
              <w:t>under the Amended and Restated Evoqua Water</w:t>
            </w:r>
          </w:p>
        </w:tc>
      </w:tr>
      <w:tr>
        <w:trPr>
          <w:trHeight w:val="184"/>
        </w:trPr>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Pr>
          <w:p>
            <w:pPr>
              <w:ind w:left="380"/>
              <w:spacing w:after="0" w:line="183" w:lineRule="exact"/>
              <w:rPr>
                <w:sz w:val="20"/>
                <w:szCs w:val="20"/>
                <w:color w:val="auto"/>
              </w:rPr>
            </w:pPr>
            <w:r>
              <w:rPr>
                <w:rFonts w:ascii="Arial" w:cs="Arial" w:eastAsia="Arial" w:hAnsi="Arial"/>
                <w:sz w:val="18"/>
                <w:szCs w:val="18"/>
                <w:color w:val="auto"/>
              </w:rPr>
              <w:t>Technologies Corp. 2017 Equity Incentive Plan (for</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380"/>
              <w:spacing w:after="0"/>
              <w:rPr>
                <w:sz w:val="20"/>
                <w:szCs w:val="20"/>
                <w:color w:val="auto"/>
              </w:rPr>
            </w:pPr>
            <w:r>
              <w:rPr>
                <w:rFonts w:ascii="Arial" w:cs="Arial" w:eastAsia="Arial" w:hAnsi="Arial"/>
                <w:sz w:val="18"/>
                <w:szCs w:val="18"/>
                <w:color w:val="auto"/>
              </w:rPr>
              <w:t>awards made after fiscal 2021).</w:t>
            </w:r>
          </w:p>
        </w:tc>
      </w:tr>
      <w:tr>
        <w:trPr>
          <w:trHeight w:val="232"/>
        </w:trPr>
        <w:tc>
          <w:tcPr>
            <w:tcW w:w="560" w:type="dxa"/>
            <w:vAlign w:val="bottom"/>
            <w:gridSpan w:val="2"/>
          </w:tcPr>
          <w:p>
            <w:pPr>
              <w:jc w:val="right"/>
              <w:ind w:right="100"/>
              <w:spacing w:after="0"/>
              <w:rPr>
                <w:rFonts w:ascii="Arial" w:cs="Arial" w:eastAsia="Arial" w:hAnsi="Arial"/>
                <w:sz w:val="18"/>
                <w:szCs w:val="18"/>
                <w:color w:val="0000FF"/>
                <w:w w:val="97"/>
              </w:rPr>
            </w:pPr>
            <w:hyperlink r:id="rId193">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25</w:t>
              </w:r>
            </w:hyperlink>
          </w:p>
        </w:tc>
        <w:tc>
          <w:tcPr>
            <w:tcW w:w="4560" w:type="dxa"/>
            <w:vAlign w:val="bottom"/>
          </w:tcPr>
          <w:p>
            <w:pPr>
              <w:ind w:left="120"/>
              <w:spacing w:after="0"/>
              <w:rPr>
                <w:sz w:val="20"/>
                <w:szCs w:val="20"/>
                <w:color w:val="auto"/>
              </w:rPr>
            </w:pPr>
            <w:r>
              <w:rPr>
                <w:rFonts w:ascii="Arial" w:cs="Arial" w:eastAsia="Arial" w:hAnsi="Arial"/>
                <w:sz w:val="18"/>
                <w:szCs w:val="18"/>
                <w:color w:val="auto"/>
              </w:rPr>
              <w:t>#  Form of Performance Share Unit Award-Notice of</w:t>
            </w:r>
          </w:p>
        </w:tc>
      </w:tr>
      <w:tr>
        <w:trPr>
          <w:trHeight w:val="149"/>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ind w:left="380"/>
              <w:spacing w:after="0" w:line="149" w:lineRule="exact"/>
              <w:rPr>
                <w:sz w:val="20"/>
                <w:szCs w:val="20"/>
                <w:color w:val="auto"/>
              </w:rPr>
            </w:pPr>
            <w:r>
              <w:rPr>
                <w:rFonts w:ascii="Arial" w:cs="Arial" w:eastAsia="Arial" w:hAnsi="Arial"/>
                <w:sz w:val="17"/>
                <w:szCs w:val="17"/>
                <w:color w:val="auto"/>
              </w:rPr>
              <w:t>Grant under the Amended and Restated Evoqua</w:t>
            </w:r>
          </w:p>
        </w:tc>
      </w:tr>
      <w:tr>
        <w:trPr>
          <w:trHeight w:val="202"/>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tcPr>
          <w:p>
            <w:pPr>
              <w:ind w:left="380"/>
              <w:spacing w:after="0" w:line="201" w:lineRule="exact"/>
              <w:rPr>
                <w:sz w:val="20"/>
                <w:szCs w:val="20"/>
                <w:color w:val="auto"/>
              </w:rPr>
            </w:pPr>
            <w:r>
              <w:rPr>
                <w:rFonts w:ascii="Arial" w:cs="Arial" w:eastAsia="Arial" w:hAnsi="Arial"/>
                <w:sz w:val="18"/>
                <w:szCs w:val="18"/>
                <w:color w:val="auto"/>
              </w:rPr>
              <w:t>Water Technologies Corp. 2017 Equity Incentive</w:t>
            </w:r>
          </w:p>
        </w:tc>
      </w:tr>
    </w:tbl>
    <w:p>
      <w:pPr>
        <w:jc w:val="center"/>
        <w:spacing w:after="0"/>
        <w:rPr>
          <w:sz w:val="20"/>
          <w:szCs w:val="20"/>
          <w:color w:val="auto"/>
        </w:rPr>
      </w:pPr>
      <w:r>
        <w:rPr>
          <w:rFonts w:ascii="Arial" w:cs="Arial" w:eastAsia="Arial" w:hAnsi="Arial"/>
          <w:sz w:val="18"/>
          <w:szCs w:val="18"/>
          <w:color w:val="auto"/>
        </w:rPr>
        <w:t>Plan (for awards made after fiscal 2021).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79"/>
        <w:spacing w:after="0" w:line="227" w:lineRule="auto"/>
        <w:rPr>
          <w:sz w:val="20"/>
          <w:szCs w:val="20"/>
          <w:color w:val="auto"/>
        </w:rPr>
      </w:pPr>
      <w:r>
        <w:rPr>
          <w:rFonts w:ascii="Arial" w:cs="Arial" w:eastAsia="Arial" w:hAnsi="Arial"/>
          <w:sz w:val="18"/>
          <w:szCs w:val="18"/>
          <w:color w:val="auto"/>
        </w:rPr>
        <w:t>Incorporated by reference to Exhibit 10.7 of Xylem Inc.’s Form 10-Q Quarterly Report filed on May 2, 2024 (CIK No. 1524472, File No. 1-35229).</w:t>
      </w:r>
    </w:p>
    <w:p>
      <w:pPr>
        <w:spacing w:after="0" w:line="61" w:lineRule="exact"/>
        <w:rPr>
          <w:sz w:val="20"/>
          <w:szCs w:val="20"/>
          <w:color w:val="auto"/>
        </w:rPr>
      </w:pPr>
    </w:p>
    <w:p>
      <w:pPr>
        <w:ind w:right="679"/>
        <w:spacing w:after="0" w:line="227" w:lineRule="auto"/>
        <w:rPr>
          <w:sz w:val="20"/>
          <w:szCs w:val="20"/>
          <w:color w:val="auto"/>
        </w:rPr>
      </w:pPr>
      <w:r>
        <w:rPr>
          <w:rFonts w:ascii="Arial" w:cs="Arial" w:eastAsia="Arial" w:hAnsi="Arial"/>
          <w:sz w:val="18"/>
          <w:szCs w:val="18"/>
          <w:color w:val="auto"/>
        </w:rPr>
        <w:t>Incorporated by reference to Exhibit 10.1 to the Registrant’s Form 10-Q filed on May 6, 2020 (File No. 001-38272).</w:t>
      </w:r>
    </w:p>
    <w:p>
      <w:pPr>
        <w:spacing w:after="0" w:line="61" w:lineRule="exact"/>
        <w:rPr>
          <w:sz w:val="20"/>
          <w:szCs w:val="20"/>
          <w:color w:val="auto"/>
        </w:rPr>
      </w:pPr>
    </w:p>
    <w:p>
      <w:pPr>
        <w:ind w:right="619"/>
        <w:spacing w:after="0" w:line="227" w:lineRule="auto"/>
        <w:rPr>
          <w:sz w:val="20"/>
          <w:szCs w:val="20"/>
          <w:color w:val="auto"/>
        </w:rPr>
      </w:pPr>
      <w:r>
        <w:rPr>
          <w:rFonts w:ascii="Arial" w:cs="Arial" w:eastAsia="Arial" w:hAnsi="Arial"/>
          <w:sz w:val="18"/>
          <w:szCs w:val="18"/>
          <w:color w:val="auto"/>
        </w:rPr>
        <w:t>Incorporated by reference to Exhibit 10.2 to the Registrant’s Form 10-Q filed on February 1, 2022 (File No. 001-38272).</w:t>
      </w:r>
    </w:p>
    <w:p>
      <w:pPr>
        <w:spacing w:after="0" w:line="236" w:lineRule="exact"/>
        <w:rPr>
          <w:sz w:val="20"/>
          <w:szCs w:val="20"/>
          <w:color w:val="auto"/>
        </w:rPr>
      </w:pPr>
    </w:p>
    <w:p>
      <w:pPr>
        <w:ind w:right="619"/>
        <w:spacing w:after="0" w:line="227" w:lineRule="auto"/>
        <w:rPr>
          <w:sz w:val="20"/>
          <w:szCs w:val="20"/>
          <w:color w:val="auto"/>
        </w:rPr>
      </w:pPr>
      <w:r>
        <w:rPr>
          <w:rFonts w:ascii="Arial" w:cs="Arial" w:eastAsia="Arial" w:hAnsi="Arial"/>
          <w:sz w:val="18"/>
          <w:szCs w:val="18"/>
          <w:color w:val="auto"/>
        </w:rPr>
        <w:t>Incorporated by reference to Exhibit 10.3 to the Registrant’s Form 10-Q filed on February 1, 2022 (File No. 001-38272).</w:t>
      </w:r>
    </w:p>
    <w:p>
      <w:pPr>
        <w:spacing w:after="0" w:line="209" w:lineRule="exact"/>
        <w:rPr>
          <w:sz w:val="20"/>
          <w:szCs w:val="20"/>
          <w:color w:val="auto"/>
        </w:rPr>
      </w:pPr>
    </w:p>
    <w:p>
      <w:pPr>
        <w:sectPr>
          <w:pgSz w:w="11900" w:h="16838" w:orient="portrait"/>
          <w:cols w:equalWidth="0" w:num="2">
            <w:col w:w="5120" w:space="60"/>
            <w:col w:w="4939"/>
          </w:cols>
          <w:pgMar w:left="340" w:top="1180" w:right="1440"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60" w:type="dxa"/>
            <w:vAlign w:val="bottom"/>
            <w:gridSpan w:val="2"/>
          </w:tcPr>
          <w:p>
            <w:pPr>
              <w:jc w:val="right"/>
              <w:ind w:right="100"/>
              <w:spacing w:after="0"/>
              <w:rPr>
                <w:rFonts w:ascii="Arial" w:cs="Arial" w:eastAsia="Arial" w:hAnsi="Arial"/>
                <w:sz w:val="18"/>
                <w:szCs w:val="18"/>
                <w:color w:val="0000FF"/>
                <w:w w:val="97"/>
              </w:rPr>
            </w:pPr>
            <w:hyperlink r:id="rId194">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100" w:type="dxa"/>
            <w:vAlign w:val="bottom"/>
          </w:tcPr>
          <w:p>
            <w:pPr>
              <w:ind w:left="80"/>
              <w:spacing w:after="0"/>
              <w:rPr>
                <w:sz w:val="20"/>
                <w:szCs w:val="20"/>
                <w:color w:val="auto"/>
              </w:rPr>
            </w:pPr>
            <w:r>
              <w:rPr>
                <w:rFonts w:ascii="Arial" w:cs="Arial" w:eastAsia="Arial" w:hAnsi="Arial"/>
                <w:sz w:val="18"/>
                <w:szCs w:val="18"/>
                <w:color w:val="auto"/>
              </w:rPr>
              <w:t>Form of Director’s Indemnification Agreement</w:t>
            </w:r>
          </w:p>
        </w:tc>
      </w:tr>
      <w:tr>
        <w:trPr>
          <w:trHeight w:val="149"/>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100" w:type="dxa"/>
            <w:vAlign w:val="bottom"/>
          </w:tcPr>
          <w:p>
            <w:pPr>
              <w:ind w:left="80"/>
              <w:spacing w:after="0" w:line="149" w:lineRule="exact"/>
              <w:rPr>
                <w:sz w:val="20"/>
                <w:szCs w:val="20"/>
                <w:color w:val="auto"/>
              </w:rPr>
            </w:pPr>
            <w:r>
              <w:rPr>
                <w:rFonts w:ascii="Arial" w:cs="Arial" w:eastAsia="Arial" w:hAnsi="Arial"/>
                <w:sz w:val="17"/>
                <w:szCs w:val="17"/>
                <w:color w:val="auto"/>
              </w:rPr>
              <w:t>restated, with administrative changes only, on</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November 12, 2020.</w:t>
            </w:r>
          </w:p>
        </w:tc>
      </w:tr>
      <w:tr>
        <w:trPr>
          <w:trHeight w:val="241"/>
        </w:trPr>
        <w:tc>
          <w:tcPr>
            <w:tcW w:w="560" w:type="dxa"/>
            <w:vAlign w:val="bottom"/>
            <w:gridSpan w:val="2"/>
          </w:tcPr>
          <w:p>
            <w:pPr>
              <w:jc w:val="right"/>
              <w:ind w:right="100"/>
              <w:spacing w:after="0"/>
              <w:rPr>
                <w:rFonts w:ascii="Arial" w:cs="Arial" w:eastAsia="Arial" w:hAnsi="Arial"/>
                <w:sz w:val="18"/>
                <w:szCs w:val="18"/>
                <w:color w:val="0000FF"/>
                <w:w w:val="97"/>
              </w:rPr>
            </w:pPr>
            <w:hyperlink r:id="rId195">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100" w:type="dxa"/>
            <w:vAlign w:val="bottom"/>
          </w:tcPr>
          <w:p>
            <w:pPr>
              <w:ind w:left="80"/>
              <w:spacing w:after="0"/>
              <w:rPr>
                <w:sz w:val="20"/>
                <w:szCs w:val="20"/>
                <w:color w:val="auto"/>
              </w:rPr>
            </w:pPr>
            <w:r>
              <w:rPr>
                <w:rFonts w:ascii="Arial" w:cs="Arial" w:eastAsia="Arial" w:hAnsi="Arial"/>
                <w:sz w:val="18"/>
                <w:szCs w:val="18"/>
                <w:color w:val="auto"/>
                <w:w w:val="99"/>
              </w:rPr>
              <w:t>Letter Agreement between Xylem Inc. and Claudia</w:t>
            </w:r>
          </w:p>
        </w:tc>
      </w:tr>
      <w:tr>
        <w:trPr>
          <w:trHeight w:val="212"/>
        </w:trPr>
        <w:tc>
          <w:tcPr>
            <w:tcW w:w="4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S. Toussaint.</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379"/>
        <w:spacing w:after="0" w:line="227" w:lineRule="auto"/>
        <w:rPr>
          <w:sz w:val="20"/>
          <w:szCs w:val="20"/>
          <w:color w:val="auto"/>
        </w:rPr>
      </w:pPr>
      <w:r>
        <w:rPr>
          <w:rFonts w:ascii="Arial" w:cs="Arial" w:eastAsia="Arial" w:hAnsi="Arial"/>
          <w:sz w:val="18"/>
          <w:szCs w:val="18"/>
          <w:color w:val="auto"/>
        </w:rPr>
        <w:t>Incorporated by reference to Exhibit 10.20 of Xylem Inc.’s Form 10-K Annual Report filed on February 26, 2021 (CIK No. 1524472, File No. 1-35229).</w:t>
      </w:r>
    </w:p>
    <w:p>
      <w:pPr>
        <w:spacing w:after="0" w:line="61" w:lineRule="exact"/>
        <w:rPr>
          <w:sz w:val="20"/>
          <w:szCs w:val="20"/>
          <w:color w:val="auto"/>
        </w:rPr>
      </w:pPr>
    </w:p>
    <w:p>
      <w:pPr>
        <w:ind w:right="379"/>
        <w:spacing w:after="0" w:line="227" w:lineRule="auto"/>
        <w:rPr>
          <w:sz w:val="20"/>
          <w:szCs w:val="20"/>
          <w:color w:val="auto"/>
        </w:rPr>
      </w:pPr>
      <w:r>
        <w:rPr>
          <w:rFonts w:ascii="Arial" w:cs="Arial" w:eastAsia="Arial" w:hAnsi="Arial"/>
          <w:sz w:val="18"/>
          <w:szCs w:val="18"/>
          <w:color w:val="auto"/>
        </w:rPr>
        <w:t>Incorporated by reference to Exhibit 10.23 of Xylem Inc.’s Form 10-K Annual Report filed on February 26, 2021 (CIK No. 1524472, File No. 1-35229).</w:t>
      </w:r>
    </w:p>
    <w:p>
      <w:pPr>
        <w:spacing w:after="0" w:line="35" w:lineRule="exact"/>
        <w:rPr>
          <w:sz w:val="20"/>
          <w:szCs w:val="20"/>
          <w:color w:val="auto"/>
        </w:rPr>
      </w:pPr>
    </w:p>
    <w:p>
      <w:pPr>
        <w:sectPr>
          <w:pgSz w:w="11900" w:h="16838" w:orient="portrait"/>
          <w:cols w:equalWidth="0" w:num="2">
            <w:col w:w="4960" w:space="220"/>
            <w:col w:w="4939"/>
          </w:cols>
          <w:pgMar w:left="340" w:top="1180" w:right="1440"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60" w:type="dxa"/>
            <w:vAlign w:val="bottom"/>
            <w:gridSpan w:val="2"/>
          </w:tcPr>
          <w:p>
            <w:pPr>
              <w:jc w:val="right"/>
              <w:ind w:right="100"/>
              <w:spacing w:after="0"/>
              <w:rPr>
                <w:rFonts w:ascii="Arial" w:cs="Arial" w:eastAsia="Arial" w:hAnsi="Arial"/>
                <w:sz w:val="18"/>
                <w:szCs w:val="18"/>
                <w:color w:val="0000FF"/>
                <w:w w:val="97"/>
              </w:rPr>
            </w:pPr>
            <w:hyperlink r:id="rId196">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28</w:t>
              </w:r>
            </w:hyperlink>
          </w:p>
        </w:tc>
        <w:tc>
          <w:tcPr>
            <w:tcW w:w="4520" w:type="dxa"/>
            <w:vAlign w:val="bottom"/>
          </w:tcPr>
          <w:p>
            <w:pPr>
              <w:ind w:left="120"/>
              <w:spacing w:after="0"/>
              <w:rPr>
                <w:sz w:val="20"/>
                <w:szCs w:val="20"/>
                <w:color w:val="auto"/>
              </w:rPr>
            </w:pPr>
            <w:r>
              <w:rPr>
                <w:rFonts w:ascii="Arial" w:cs="Arial" w:eastAsia="Arial" w:hAnsi="Arial"/>
                <w:sz w:val="18"/>
                <w:szCs w:val="18"/>
                <w:color w:val="auto"/>
              </w:rPr>
              <w:t>#  Individual Employment Contract between Xylem</w:t>
            </w:r>
          </w:p>
        </w:tc>
        <w:tc>
          <w:tcPr>
            <w:tcW w:w="456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10.2 of Xylem Inc.’s</w:t>
            </w:r>
          </w:p>
        </w:tc>
      </w:tr>
      <w:tr>
        <w:trPr>
          <w:trHeight w:val="148"/>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ind w:left="380"/>
              <w:spacing w:after="0" w:line="149" w:lineRule="exact"/>
              <w:rPr>
                <w:sz w:val="20"/>
                <w:szCs w:val="20"/>
                <w:color w:val="auto"/>
              </w:rPr>
            </w:pPr>
            <w:r>
              <w:rPr>
                <w:rFonts w:ascii="Arial" w:cs="Arial" w:eastAsia="Arial" w:hAnsi="Arial"/>
                <w:sz w:val="17"/>
                <w:szCs w:val="17"/>
                <w:color w:val="auto"/>
              </w:rPr>
              <w:t>Europe GmbH and Hayati Yarkadas.</w:t>
            </w:r>
          </w:p>
        </w:tc>
        <w:tc>
          <w:tcPr>
            <w:tcW w:w="4560" w:type="dxa"/>
            <w:vAlign w:val="bottom"/>
          </w:tcPr>
          <w:p>
            <w:pPr>
              <w:ind w:left="100"/>
              <w:spacing w:after="0" w:line="149" w:lineRule="exact"/>
              <w:rPr>
                <w:sz w:val="20"/>
                <w:szCs w:val="20"/>
                <w:color w:val="auto"/>
              </w:rPr>
            </w:pPr>
            <w:r>
              <w:rPr>
                <w:rFonts w:ascii="Arial" w:cs="Arial" w:eastAsia="Arial" w:hAnsi="Arial"/>
                <w:sz w:val="17"/>
                <w:szCs w:val="17"/>
                <w:color w:val="auto"/>
              </w:rPr>
              <w:t>Form 10-Q Quarterly Report filed on May 4, 2021 (CIK</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No. 1524472, File No. 1-35229).</w:t>
            </w:r>
          </w:p>
        </w:tc>
      </w:tr>
      <w:tr>
        <w:trPr>
          <w:trHeight w:val="241"/>
        </w:trPr>
        <w:tc>
          <w:tcPr>
            <w:tcW w:w="560" w:type="dxa"/>
            <w:vAlign w:val="bottom"/>
            <w:gridSpan w:val="2"/>
          </w:tcPr>
          <w:p>
            <w:pPr>
              <w:jc w:val="right"/>
              <w:ind w:right="100"/>
              <w:spacing w:after="0"/>
              <w:rPr>
                <w:rFonts w:ascii="Arial" w:cs="Arial" w:eastAsia="Arial" w:hAnsi="Arial"/>
                <w:sz w:val="18"/>
                <w:szCs w:val="18"/>
                <w:color w:val="0000FF"/>
                <w:w w:val="97"/>
              </w:rPr>
            </w:pPr>
            <w:hyperlink r:id="rId19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29</w:t>
              </w:r>
            </w:hyperlink>
          </w:p>
        </w:tc>
        <w:tc>
          <w:tcPr>
            <w:tcW w:w="4520" w:type="dxa"/>
            <w:vAlign w:val="bottom"/>
          </w:tcPr>
          <w:p>
            <w:pPr>
              <w:ind w:left="120"/>
              <w:spacing w:after="0"/>
              <w:rPr>
                <w:sz w:val="20"/>
                <w:szCs w:val="20"/>
                <w:color w:val="auto"/>
              </w:rPr>
            </w:pPr>
            <w:r>
              <w:rPr>
                <w:rFonts w:ascii="Arial" w:cs="Arial" w:eastAsia="Arial" w:hAnsi="Arial"/>
                <w:sz w:val="18"/>
                <w:szCs w:val="18"/>
                <w:color w:val="auto"/>
              </w:rPr>
              <w:t>#  Letter Agreement between Xylem Inc. and Dorothy</w:t>
            </w:r>
          </w:p>
        </w:tc>
        <w:tc>
          <w:tcPr>
            <w:tcW w:w="4560" w:type="dxa"/>
            <w:vAlign w:val="bottom"/>
          </w:tcPr>
          <w:p>
            <w:pPr>
              <w:ind w:left="100"/>
              <w:spacing w:after="0"/>
              <w:rPr>
                <w:sz w:val="20"/>
                <w:szCs w:val="20"/>
                <w:color w:val="auto"/>
              </w:rPr>
            </w:pPr>
            <w:r>
              <w:rPr>
                <w:rFonts w:ascii="Arial" w:cs="Arial" w:eastAsia="Arial" w:hAnsi="Arial"/>
                <w:sz w:val="18"/>
                <w:szCs w:val="18"/>
                <w:color w:val="auto"/>
                <w:w w:val="99"/>
              </w:rPr>
              <w:t>Incorporated by reference to Exhibit 10.1 of Xylem Inc.’s</w:t>
            </w:r>
          </w:p>
        </w:tc>
      </w:tr>
      <w:tr>
        <w:trPr>
          <w:trHeight w:val="149"/>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ind w:left="380"/>
              <w:spacing w:after="0" w:line="149" w:lineRule="exact"/>
              <w:rPr>
                <w:sz w:val="20"/>
                <w:szCs w:val="20"/>
                <w:color w:val="auto"/>
              </w:rPr>
            </w:pPr>
            <w:r>
              <w:rPr>
                <w:rFonts w:ascii="Arial" w:cs="Arial" w:eastAsia="Arial" w:hAnsi="Arial"/>
                <w:sz w:val="17"/>
                <w:szCs w:val="17"/>
                <w:color w:val="auto"/>
              </w:rPr>
              <w:t>Capers.</w:t>
            </w:r>
          </w:p>
        </w:tc>
        <w:tc>
          <w:tcPr>
            <w:tcW w:w="4560" w:type="dxa"/>
            <w:vAlign w:val="bottom"/>
          </w:tcPr>
          <w:p>
            <w:pPr>
              <w:ind w:left="100"/>
              <w:spacing w:after="0" w:line="149" w:lineRule="exact"/>
              <w:rPr>
                <w:sz w:val="20"/>
                <w:szCs w:val="20"/>
                <w:color w:val="auto"/>
              </w:rPr>
            </w:pPr>
            <w:r>
              <w:rPr>
                <w:rFonts w:ascii="Arial" w:cs="Arial" w:eastAsia="Arial" w:hAnsi="Arial"/>
                <w:sz w:val="17"/>
                <w:szCs w:val="17"/>
                <w:color w:val="auto"/>
              </w:rPr>
              <w:t>Form 10-Q Quarterly Report filed on May 4, 2023 (CIK</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No. 1524472, File No. 1-35229).</w:t>
            </w:r>
          </w:p>
        </w:tc>
      </w:tr>
    </w:tbl>
    <w:p>
      <w:pPr>
        <w:spacing w:after="0" w:line="53" w:lineRule="exact"/>
        <w:rPr>
          <w:sz w:val="20"/>
          <w:szCs w:val="20"/>
          <w:color w:val="auto"/>
        </w:rPr>
      </w:pPr>
    </w:p>
    <w:p>
      <w:pPr>
        <w:sectPr>
          <w:pgSz w:w="11900" w:h="16838" w:orient="portrait"/>
          <w:cols w:equalWidth="0" w:num="1">
            <w:col w:w="10119"/>
          </w:cols>
          <w:pgMar w:left="340" w:top="1180" w:right="1440" w:bottom="1440" w:gutter="0" w:footer="0" w:header="0"/>
          <w:type w:val="continuous"/>
        </w:sectPr>
      </w:pPr>
    </w:p>
    <w:p>
      <w:pPr>
        <w:ind w:left="680" w:hanging="930"/>
        <w:spacing w:after="0"/>
        <w:tabs>
          <w:tab w:leader="none" w:pos="660" w:val="left"/>
        </w:tabs>
        <w:rPr>
          <w:rFonts w:ascii="Arial" w:cs="Arial" w:eastAsia="Arial" w:hAnsi="Arial"/>
          <w:sz w:val="18"/>
          <w:szCs w:val="18"/>
          <w:color w:val="0000FF"/>
        </w:rPr>
      </w:pPr>
      <w:hyperlink r:id="rId198">
        <w:r>
          <w:rPr>
            <w:rFonts w:ascii="Arial" w:cs="Arial" w:eastAsia="Arial" w:hAnsi="Arial"/>
            <w:sz w:val="18"/>
            <w:szCs w:val="18"/>
            <w:u w:val="single" w:color="auto"/>
            <w:color w:val="0000FF"/>
          </w:rPr>
          <w:t>10.30</w:t>
        </w:r>
      </w:hyperlink>
      <w:r>
        <w:rPr>
          <w:rFonts w:ascii="Arial" w:cs="Arial" w:eastAsia="Arial" w:hAnsi="Arial"/>
          <w:sz w:val="18"/>
          <w:szCs w:val="18"/>
          <w:color w:val="0000FF"/>
        </w:rPr>
        <w:tab/>
        <w:t># Letter agreement between Xylem Inc. and Matthew Pine dated September 1, 2023.</w:t>
      </w:r>
    </w:p>
    <w:p>
      <w:pPr>
        <w:spacing w:after="0" w:line="20" w:lineRule="exact"/>
        <w:rPr>
          <w:sz w:val="20"/>
          <w:szCs w:val="20"/>
          <w:color w:val="auto"/>
        </w:rPr>
      </w:pPr>
      <w:r>
        <w:rPr>
          <w:sz w:val="20"/>
          <w:szCs w:val="20"/>
          <w:color w:val="auto"/>
        </w:rPr>
        <w:br w:type="column"/>
      </w:r>
    </w:p>
    <w:p>
      <w:pPr>
        <w:ind w:right="379"/>
        <w:spacing w:after="0" w:line="227" w:lineRule="auto"/>
        <w:rPr>
          <w:sz w:val="20"/>
          <w:szCs w:val="20"/>
          <w:color w:val="auto"/>
        </w:rPr>
      </w:pPr>
      <w:r>
        <w:rPr>
          <w:rFonts w:ascii="Arial" w:cs="Arial" w:eastAsia="Arial" w:hAnsi="Arial"/>
          <w:sz w:val="18"/>
          <w:szCs w:val="18"/>
          <w:color w:val="auto"/>
        </w:rPr>
        <w:t>Incorporated by reference to Exhibit 10.33 of Xylem Inc.’s Form 10-K Annual Report filed on February 28, 2024 (CIK No. 1524472, File No. 1-35229).</w:t>
      </w:r>
    </w:p>
    <w:p>
      <w:pPr>
        <w:spacing w:after="0" w:line="35" w:lineRule="exact"/>
        <w:rPr>
          <w:sz w:val="20"/>
          <w:szCs w:val="20"/>
          <w:color w:val="auto"/>
        </w:rPr>
      </w:pPr>
    </w:p>
    <w:p>
      <w:pPr>
        <w:sectPr>
          <w:pgSz w:w="11900" w:h="16838" w:orient="portrait"/>
          <w:cols w:equalWidth="0" w:num="2">
            <w:col w:w="5000" w:space="180"/>
            <w:col w:w="4939"/>
          </w:cols>
          <w:pgMar w:left="340" w:top="1180" w:right="1440"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60" w:type="dxa"/>
            <w:vAlign w:val="bottom"/>
            <w:gridSpan w:val="2"/>
          </w:tcPr>
          <w:p>
            <w:pPr>
              <w:jc w:val="right"/>
              <w:ind w:right="100"/>
              <w:spacing w:after="0"/>
              <w:rPr>
                <w:rFonts w:ascii="Arial" w:cs="Arial" w:eastAsia="Arial" w:hAnsi="Arial"/>
                <w:sz w:val="18"/>
                <w:szCs w:val="18"/>
                <w:color w:val="0000FF"/>
                <w:w w:val="97"/>
              </w:rPr>
            </w:pPr>
            <w:hyperlink r:id="rId19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31</w:t>
              </w:r>
            </w:hyperlink>
          </w:p>
        </w:tc>
        <w:tc>
          <w:tcPr>
            <w:tcW w:w="4500" w:type="dxa"/>
            <w:vAlign w:val="bottom"/>
          </w:tcPr>
          <w:p>
            <w:pPr>
              <w:ind w:left="120"/>
              <w:spacing w:after="0"/>
              <w:rPr>
                <w:sz w:val="20"/>
                <w:szCs w:val="20"/>
                <w:color w:val="auto"/>
              </w:rPr>
            </w:pPr>
            <w:r>
              <w:rPr>
                <w:rFonts w:ascii="Arial" w:cs="Arial" w:eastAsia="Arial" w:hAnsi="Arial"/>
                <w:sz w:val="18"/>
                <w:szCs w:val="18"/>
                <w:color w:val="auto"/>
              </w:rPr>
              <w:t>#  Letter Agreement between Xylem Inc. and William</w:t>
            </w:r>
          </w:p>
        </w:tc>
        <w:tc>
          <w:tcPr>
            <w:tcW w:w="4580" w:type="dxa"/>
            <w:vAlign w:val="bottom"/>
          </w:tcPr>
          <w:p>
            <w:pPr>
              <w:ind w:left="120"/>
              <w:spacing w:after="0"/>
              <w:rPr>
                <w:sz w:val="20"/>
                <w:szCs w:val="20"/>
                <w:color w:val="auto"/>
              </w:rPr>
            </w:pPr>
            <w:r>
              <w:rPr>
                <w:rFonts w:ascii="Arial" w:cs="Arial" w:eastAsia="Arial" w:hAnsi="Arial"/>
                <w:sz w:val="18"/>
                <w:szCs w:val="18"/>
                <w:color w:val="auto"/>
                <w:w w:val="99"/>
              </w:rPr>
              <w:t>Incorporated by reference to Exhibit 10.3 of Xylem Inc.’s</w:t>
            </w:r>
          </w:p>
        </w:tc>
      </w:tr>
      <w:tr>
        <w:trPr>
          <w:trHeight w:val="149"/>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tcPr>
          <w:p>
            <w:pPr>
              <w:ind w:left="380"/>
              <w:spacing w:after="0" w:line="149" w:lineRule="exact"/>
              <w:rPr>
                <w:sz w:val="20"/>
                <w:szCs w:val="20"/>
                <w:color w:val="auto"/>
              </w:rPr>
            </w:pPr>
            <w:r>
              <w:rPr>
                <w:rFonts w:ascii="Arial" w:cs="Arial" w:eastAsia="Arial" w:hAnsi="Arial"/>
                <w:sz w:val="17"/>
                <w:szCs w:val="17"/>
                <w:color w:val="auto"/>
              </w:rPr>
              <w:t>K. Grogan.</w:t>
            </w:r>
          </w:p>
        </w:tc>
        <w:tc>
          <w:tcPr>
            <w:tcW w:w="4580" w:type="dxa"/>
            <w:vAlign w:val="bottom"/>
          </w:tcPr>
          <w:p>
            <w:pPr>
              <w:ind w:left="120"/>
              <w:spacing w:after="0" w:line="149" w:lineRule="exact"/>
              <w:rPr>
                <w:sz w:val="20"/>
                <w:szCs w:val="20"/>
                <w:color w:val="auto"/>
              </w:rPr>
            </w:pPr>
            <w:r>
              <w:rPr>
                <w:rFonts w:ascii="Arial" w:cs="Arial" w:eastAsia="Arial" w:hAnsi="Arial"/>
                <w:sz w:val="17"/>
                <w:szCs w:val="17"/>
                <w:color w:val="auto"/>
              </w:rPr>
              <w:t>Form 10-Q Quarterly Report filed on October 31, 2023</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(CIK No. 1524472, File No. 1-35229).</w:t>
            </w:r>
          </w:p>
        </w:tc>
      </w:tr>
      <w:tr>
        <w:trPr>
          <w:trHeight w:val="241"/>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200">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32</w:t>
              </w:r>
            </w:hyperlink>
          </w:p>
        </w:tc>
        <w:tc>
          <w:tcPr>
            <w:tcW w:w="100" w:type="dxa"/>
            <w:vAlign w:val="bottom"/>
          </w:tcPr>
          <w:p>
            <w:pPr>
              <w:spacing w:after="0"/>
              <w:rPr>
                <w:sz w:val="20"/>
                <w:szCs w:val="20"/>
                <w:color w:val="auto"/>
              </w:rPr>
            </w:pPr>
          </w:p>
        </w:tc>
        <w:tc>
          <w:tcPr>
            <w:tcW w:w="9080" w:type="dxa"/>
            <w:vAlign w:val="bottom"/>
            <w:gridSpan w:val="2"/>
          </w:tcPr>
          <w:p>
            <w:pPr>
              <w:ind w:left="120"/>
              <w:spacing w:after="0"/>
              <w:rPr>
                <w:sz w:val="20"/>
                <w:szCs w:val="20"/>
                <w:color w:val="auto"/>
              </w:rPr>
            </w:pPr>
            <w:r>
              <w:rPr>
                <w:rFonts w:ascii="Arial" w:cs="Arial" w:eastAsia="Arial" w:hAnsi="Arial"/>
                <w:sz w:val="18"/>
                <w:szCs w:val="18"/>
                <w:color w:val="auto"/>
              </w:rPr>
              <w:t>#  Transition Services Agreement entered into between Incorporated by reference to Exhibit 10.1 of Xylem Inc.’s</w:t>
            </w:r>
          </w:p>
        </w:tc>
      </w:tr>
      <w:tr>
        <w:trPr>
          <w:trHeight w:val="149"/>
        </w:trPr>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tcPr>
          <w:p>
            <w:pPr>
              <w:ind w:left="380"/>
              <w:spacing w:after="0" w:line="149" w:lineRule="exact"/>
              <w:rPr>
                <w:sz w:val="20"/>
                <w:szCs w:val="20"/>
                <w:color w:val="auto"/>
              </w:rPr>
            </w:pPr>
            <w:r>
              <w:rPr>
                <w:rFonts w:ascii="Arial" w:cs="Arial" w:eastAsia="Arial" w:hAnsi="Arial"/>
                <w:sz w:val="17"/>
                <w:szCs w:val="17"/>
                <w:color w:val="auto"/>
              </w:rPr>
              <w:t>Franz W. Cerwinka and Xylem Inc. dated October</w:t>
            </w:r>
          </w:p>
        </w:tc>
        <w:tc>
          <w:tcPr>
            <w:tcW w:w="4580" w:type="dxa"/>
            <w:vAlign w:val="bottom"/>
          </w:tcPr>
          <w:p>
            <w:pPr>
              <w:ind w:left="120"/>
              <w:spacing w:after="0" w:line="149" w:lineRule="exact"/>
              <w:rPr>
                <w:sz w:val="20"/>
                <w:szCs w:val="20"/>
                <w:color w:val="auto"/>
              </w:rPr>
            </w:pPr>
            <w:r>
              <w:rPr>
                <w:rFonts w:ascii="Arial" w:cs="Arial" w:eastAsia="Arial" w:hAnsi="Arial"/>
                <w:sz w:val="17"/>
                <w:szCs w:val="17"/>
                <w:color w:val="auto"/>
              </w:rPr>
              <w:t>Form 8-K filed on October 15, 2024 (CIK No. 1524472,</w:t>
            </w: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14, 2024.</w:t>
            </w:r>
          </w:p>
        </w:tc>
        <w:tc>
          <w:tcPr>
            <w:tcW w:w="4580" w:type="dxa"/>
            <w:vAlign w:val="bottom"/>
          </w:tcPr>
          <w:p>
            <w:pPr>
              <w:ind w:left="120"/>
              <w:spacing w:after="0"/>
              <w:rPr>
                <w:sz w:val="20"/>
                <w:szCs w:val="20"/>
                <w:color w:val="auto"/>
              </w:rPr>
            </w:pPr>
            <w:r>
              <w:rPr>
                <w:rFonts w:ascii="Arial" w:cs="Arial" w:eastAsia="Arial" w:hAnsi="Arial"/>
                <w:sz w:val="18"/>
                <w:szCs w:val="18"/>
                <w:color w:val="auto"/>
              </w:rPr>
              <w:t>File No. 1-35229).</w:t>
            </w:r>
          </w:p>
        </w:tc>
      </w:tr>
      <w:tr>
        <w:trPr>
          <w:trHeight w:val="241"/>
        </w:trPr>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33</w:t>
            </w:r>
          </w:p>
        </w:tc>
        <w:tc>
          <w:tcPr>
            <w:tcW w:w="4500" w:type="dxa"/>
            <w:vAlign w:val="bottom"/>
          </w:tcPr>
          <w:p>
            <w:pPr>
              <w:ind w:left="120"/>
              <w:spacing w:after="0"/>
              <w:rPr>
                <w:sz w:val="20"/>
                <w:szCs w:val="20"/>
                <w:color w:val="auto"/>
              </w:rPr>
            </w:pPr>
            <w:r>
              <w:rPr>
                <w:rFonts w:ascii="Arial" w:cs="Arial" w:eastAsia="Arial" w:hAnsi="Arial"/>
                <w:sz w:val="18"/>
                <w:szCs w:val="18"/>
                <w:color w:val="auto"/>
              </w:rPr>
              <w:t>#  Separation Memorandum and Separation</w:t>
            </w:r>
          </w:p>
        </w:tc>
        <w:tc>
          <w:tcPr>
            <w:tcW w:w="458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149"/>
        </w:trPr>
        <w:tc>
          <w:tcPr>
            <w:tcW w:w="46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tcPr>
          <w:p>
            <w:pPr>
              <w:ind w:left="380"/>
              <w:spacing w:after="0" w:line="149" w:lineRule="exact"/>
              <w:rPr>
                <w:sz w:val="20"/>
                <w:szCs w:val="20"/>
                <w:color w:val="auto"/>
              </w:rPr>
            </w:pPr>
            <w:r>
              <w:rPr>
                <w:rFonts w:ascii="Arial" w:cs="Arial" w:eastAsia="Arial" w:hAnsi="Arial"/>
                <w:sz w:val="17"/>
                <w:szCs w:val="17"/>
                <w:color w:val="auto"/>
              </w:rPr>
              <w:t>Agreement entered into between Sandra Rowland</w:t>
            </w:r>
          </w:p>
        </w:tc>
        <w:tc>
          <w:tcPr>
            <w:tcW w:w="4580" w:type="dxa"/>
            <w:vAlign w:val="bottom"/>
          </w:tcPr>
          <w:p>
            <w:pPr>
              <w:spacing w:after="0"/>
              <w:rPr>
                <w:sz w:val="12"/>
                <w:szCs w:val="12"/>
                <w:color w:val="auto"/>
              </w:rPr>
            </w:pPr>
          </w:p>
        </w:tc>
      </w:tr>
      <w:tr>
        <w:trPr>
          <w:trHeight w:val="239"/>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and Xylem Inc. dated April 4, 2024.</w:t>
            </w:r>
          </w:p>
        </w:tc>
        <w:tc>
          <w:tcPr>
            <w:tcW w:w="4580" w:type="dxa"/>
            <w:vAlign w:val="bottom"/>
          </w:tcPr>
          <w:p>
            <w:pPr>
              <w:spacing w:after="0"/>
              <w:rPr>
                <w:sz w:val="20"/>
                <w:szCs w:val="20"/>
                <w:color w:val="auto"/>
              </w:rPr>
            </w:pPr>
          </w:p>
        </w:tc>
      </w:tr>
    </w:tbl>
    <w:p>
      <w:pPr>
        <w:spacing w:after="0" w:line="53" w:lineRule="exact"/>
        <w:rPr>
          <w:sz w:val="20"/>
          <w:szCs w:val="20"/>
          <w:color w:val="auto"/>
        </w:rPr>
      </w:pPr>
    </w:p>
    <w:p>
      <w:pPr>
        <w:sectPr>
          <w:pgSz w:w="11900" w:h="16838" w:orient="portrait"/>
          <w:cols w:equalWidth="0" w:num="1">
            <w:col w:w="10119"/>
          </w:cols>
          <w:pgMar w:left="340" w:top="1180" w:right="1440" w:bottom="1440" w:gutter="0" w:footer="0" w:header="0"/>
          <w:type w:val="continuous"/>
        </w:sectPr>
      </w:pPr>
    </w:p>
    <w:p>
      <w:pPr>
        <w:ind w:left="680" w:hanging="930"/>
        <w:spacing w:after="0" w:line="227" w:lineRule="auto"/>
        <w:tabs>
          <w:tab w:leader="none" w:pos="660" w:val="left"/>
        </w:tabs>
        <w:rPr>
          <w:rFonts w:ascii="Arial" w:cs="Arial" w:eastAsia="Arial" w:hAnsi="Arial"/>
          <w:sz w:val="18"/>
          <w:szCs w:val="18"/>
          <w:color w:val="0000FF"/>
        </w:rPr>
      </w:pPr>
      <w:hyperlink r:id="rId201">
        <w:r>
          <w:rPr>
            <w:rFonts w:ascii="Arial" w:cs="Arial" w:eastAsia="Arial" w:hAnsi="Arial"/>
            <w:sz w:val="18"/>
            <w:szCs w:val="18"/>
            <w:u w:val="single" w:color="auto"/>
            <w:color w:val="0000FF"/>
          </w:rPr>
          <w:t>10.34</w:t>
        </w:r>
      </w:hyperlink>
      <w:r>
        <w:rPr>
          <w:rFonts w:ascii="Arial" w:cs="Arial" w:eastAsia="Arial" w:hAnsi="Arial"/>
          <w:sz w:val="18"/>
          <w:szCs w:val="18"/>
          <w:color w:val="0000FF"/>
        </w:rPr>
        <w:tab/>
        <w:t># Five-Year Revolving Credit Facility Agreement, dated as of March 1, 2023 among Xylem Inc. and the Lenders party thereto.</w:t>
      </w:r>
    </w:p>
    <w:p>
      <w:pPr>
        <w:spacing w:after="0" w:line="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0000FF"/>
        </w:rPr>
        <w:t>19.0</w:t>
      </w:r>
      <w:r>
        <w:rPr>
          <w:sz w:val="20"/>
          <w:szCs w:val="20"/>
          <w:color w:val="auto"/>
        </w:rPr>
        <w:tab/>
      </w:r>
      <w:r>
        <w:rPr>
          <w:rFonts w:ascii="Arial" w:cs="Arial" w:eastAsia="Arial" w:hAnsi="Arial"/>
          <w:sz w:val="17"/>
          <w:szCs w:val="17"/>
          <w:color w:val="auto"/>
        </w:rPr>
        <w:t>Insider Trading and 10b5-1 Trading Plans Policy.</w:t>
      </w:r>
    </w:p>
    <w:p>
      <w:pPr>
        <w:spacing w:after="0" w:line="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0000FF"/>
        </w:rPr>
        <w:t>21.0</w:t>
      </w:r>
      <w:r>
        <w:rPr>
          <w:sz w:val="20"/>
          <w:szCs w:val="20"/>
          <w:color w:val="auto"/>
        </w:rPr>
        <w:tab/>
      </w:r>
      <w:r>
        <w:rPr>
          <w:rFonts w:ascii="Arial" w:cs="Arial" w:eastAsia="Arial" w:hAnsi="Arial"/>
          <w:sz w:val="17"/>
          <w:szCs w:val="17"/>
          <w:color w:val="auto"/>
        </w:rPr>
        <w:t>Subsidiaries of the Registrant.</w:t>
      </w:r>
    </w:p>
    <w:p>
      <w:pPr>
        <w:spacing w:after="0" w:line="77" w:lineRule="exact"/>
        <w:rPr>
          <w:sz w:val="20"/>
          <w:szCs w:val="20"/>
          <w:color w:val="auto"/>
        </w:rPr>
      </w:pPr>
    </w:p>
    <w:p>
      <w:pPr>
        <w:ind w:left="940" w:right="540" w:hanging="930"/>
        <w:spacing w:after="0"/>
        <w:tabs>
          <w:tab w:leader="none" w:pos="920" w:val="left"/>
        </w:tabs>
        <w:rPr>
          <w:sz w:val="20"/>
          <w:szCs w:val="20"/>
          <w:color w:val="auto"/>
        </w:rPr>
      </w:pPr>
      <w:r>
        <w:rPr>
          <w:rFonts w:ascii="Arial" w:cs="Arial" w:eastAsia="Arial" w:hAnsi="Arial"/>
          <w:sz w:val="18"/>
          <w:szCs w:val="18"/>
          <w:u w:val="single" w:color="auto"/>
          <w:color w:val="0000FF"/>
        </w:rPr>
        <w:t>23.1</w:t>
      </w:r>
      <w:r>
        <w:rPr>
          <w:sz w:val="20"/>
          <w:szCs w:val="20"/>
          <w:color w:val="auto"/>
        </w:rPr>
        <w:tab/>
      </w:r>
      <w:r>
        <w:rPr>
          <w:rFonts w:ascii="Arial" w:cs="Arial" w:eastAsia="Arial" w:hAnsi="Arial"/>
          <w:sz w:val="18"/>
          <w:szCs w:val="18"/>
          <w:color w:val="auto"/>
        </w:rPr>
        <w:t>Consent of Independent Registered Public Accounting Firm.</w:t>
      </w:r>
    </w:p>
    <w:p>
      <w:pPr>
        <w:spacing w:after="0" w:line="20" w:lineRule="exact"/>
        <w:rPr>
          <w:sz w:val="20"/>
          <w:szCs w:val="20"/>
          <w:color w:val="auto"/>
        </w:rPr>
      </w:pPr>
      <w:r>
        <w:rPr>
          <w:sz w:val="20"/>
          <w:szCs w:val="20"/>
          <w:color w:val="auto"/>
        </w:rPr>
        <w:br w:type="column"/>
      </w:r>
    </w:p>
    <w:p>
      <w:pPr>
        <w:jc w:val="both"/>
        <w:ind w:right="479"/>
        <w:spacing w:after="0" w:line="227" w:lineRule="auto"/>
        <w:rPr>
          <w:sz w:val="20"/>
          <w:szCs w:val="20"/>
          <w:color w:val="auto"/>
        </w:rPr>
      </w:pPr>
      <w:r>
        <w:rPr>
          <w:rFonts w:ascii="Arial" w:cs="Arial" w:eastAsia="Arial" w:hAnsi="Arial"/>
          <w:sz w:val="18"/>
          <w:szCs w:val="18"/>
          <w:color w:val="auto"/>
        </w:rPr>
        <w:t>Incorporated by reference to Exhibit 10.1 of Xylem Inc.’s Form 8-K filed on March 2, 2023 (CIK No. 1524472, File No. 1-35229).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06" w:lineRule="exact"/>
        <w:rPr>
          <w:sz w:val="20"/>
          <w:szCs w:val="20"/>
          <w:color w:val="auto"/>
        </w:rPr>
      </w:pPr>
    </w:p>
    <w:p>
      <w:pPr>
        <w:sectPr>
          <w:pgSz w:w="11900" w:h="16838" w:orient="portrait"/>
          <w:cols w:equalWidth="0" w:num="2">
            <w:col w:w="4860" w:space="320"/>
            <w:col w:w="4939"/>
          </w:cols>
          <w:pgMar w:left="340" w:top="11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80" w:right="1440"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60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3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00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0" w:type="dxa"/>
            <w:vAlign w:val="bottom"/>
            <w:gridSpan w:val="3"/>
          </w:tcPr>
          <w:p>
            <w:pPr>
              <w:jc w:val="right"/>
              <w:ind w:right="400"/>
              <w:spacing w:after="0" w:line="16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6000" w:type="dxa"/>
            <w:vAlign w:val="bottom"/>
          </w:tcPr>
          <w:p>
            <w:pPr>
              <w:ind w:left="180"/>
              <w:spacing w:after="0" w:line="169" w:lineRule="exact"/>
              <w:rPr>
                <w:sz w:val="20"/>
                <w:szCs w:val="20"/>
                <w:color w:val="auto"/>
              </w:rPr>
            </w:pPr>
            <w:r>
              <w:rPr>
                <w:rFonts w:ascii="Arial" w:cs="Arial" w:eastAsia="Arial" w:hAnsi="Arial"/>
                <w:sz w:val="18"/>
                <w:szCs w:val="18"/>
                <w:color w:val="auto"/>
              </w:rPr>
              <w:t>Certification pursuant to Rule 13a-14(a)/15d-14(a) of Filed herewith.</w:t>
            </w: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6000" w:type="dxa"/>
            <w:vAlign w:val="bottom"/>
          </w:tcPr>
          <w:p>
            <w:pPr>
              <w:ind w:left="180"/>
              <w:spacing w:after="0" w:line="149" w:lineRule="exact"/>
              <w:rPr>
                <w:sz w:val="20"/>
                <w:szCs w:val="20"/>
                <w:color w:val="auto"/>
              </w:rPr>
            </w:pPr>
            <w:r>
              <w:rPr>
                <w:rFonts w:ascii="Arial" w:cs="Arial" w:eastAsia="Arial" w:hAnsi="Arial"/>
                <w:sz w:val="17"/>
                <w:szCs w:val="17"/>
                <w:color w:val="auto"/>
              </w:rPr>
              <w:t>the Securities Exchange Act of 1934, as adopted</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0" w:type="dxa"/>
            <w:vAlign w:val="bottom"/>
          </w:tcPr>
          <w:p>
            <w:pPr>
              <w:ind w:left="180"/>
              <w:spacing w:after="0" w:line="183" w:lineRule="exact"/>
              <w:rPr>
                <w:sz w:val="20"/>
                <w:szCs w:val="20"/>
                <w:color w:val="auto"/>
              </w:rPr>
            </w:pPr>
            <w:r>
              <w:rPr>
                <w:rFonts w:ascii="Arial" w:cs="Arial" w:eastAsia="Arial" w:hAnsi="Arial"/>
                <w:sz w:val="18"/>
                <w:szCs w:val="18"/>
                <w:color w:val="auto"/>
              </w:rPr>
              <w:t>pursuant to Section 302 of the Sarbanes-Oxley Act</w:t>
            </w: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of 2002.</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6000" w:type="dxa"/>
            <w:vAlign w:val="bottom"/>
          </w:tcPr>
          <w:p>
            <w:pPr>
              <w:ind w:left="180"/>
              <w:spacing w:after="0"/>
              <w:rPr>
                <w:sz w:val="20"/>
                <w:szCs w:val="20"/>
                <w:color w:val="auto"/>
              </w:rPr>
            </w:pPr>
            <w:r>
              <w:rPr>
                <w:rFonts w:ascii="Arial" w:cs="Arial" w:eastAsia="Arial" w:hAnsi="Arial"/>
                <w:sz w:val="18"/>
                <w:szCs w:val="18"/>
                <w:color w:val="auto"/>
              </w:rPr>
              <w:t>Certification pursuant to Rule 13a-14(a)/15d-14(a) of Filed herewith.</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6000" w:type="dxa"/>
            <w:vAlign w:val="bottom"/>
          </w:tcPr>
          <w:p>
            <w:pPr>
              <w:ind w:left="180"/>
              <w:spacing w:after="0" w:line="149" w:lineRule="exact"/>
              <w:rPr>
                <w:sz w:val="20"/>
                <w:szCs w:val="20"/>
                <w:color w:val="auto"/>
              </w:rPr>
            </w:pPr>
            <w:r>
              <w:rPr>
                <w:rFonts w:ascii="Arial" w:cs="Arial" w:eastAsia="Arial" w:hAnsi="Arial"/>
                <w:sz w:val="17"/>
                <w:szCs w:val="17"/>
                <w:color w:val="auto"/>
              </w:rPr>
              <w:t>the Securities Exchange Act of 1934, as adopted</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0" w:type="dxa"/>
            <w:vAlign w:val="bottom"/>
          </w:tcPr>
          <w:p>
            <w:pPr>
              <w:ind w:left="180"/>
              <w:spacing w:after="0" w:line="183" w:lineRule="exact"/>
              <w:rPr>
                <w:sz w:val="20"/>
                <w:szCs w:val="20"/>
                <w:color w:val="auto"/>
              </w:rPr>
            </w:pPr>
            <w:r>
              <w:rPr>
                <w:rFonts w:ascii="Arial" w:cs="Arial" w:eastAsia="Arial" w:hAnsi="Arial"/>
                <w:sz w:val="18"/>
                <w:szCs w:val="18"/>
                <w:color w:val="auto"/>
              </w:rPr>
              <w:t>pursuant to Section 302 of the Sarbanes-Oxley Act</w:t>
            </w: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of 2002.</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ectPr>
          <w:pgSz w:w="11900" w:h="16838" w:orient="portrait"/>
          <w:cols w:equalWidth="0" w:num="1">
            <w:col w:w="10139"/>
          </w:cols>
          <w:pgMar w:left="320" w:top="1180" w:right="1440" w:bottom="1440" w:gutter="0" w:footer="0" w:header="0"/>
        </w:sectPr>
      </w:pPr>
    </w:p>
    <w:p>
      <w:pPr>
        <w:ind w:left="960" w:right="60" w:hanging="930"/>
        <w:spacing w:after="0" w:line="227" w:lineRule="auto"/>
        <w:tabs>
          <w:tab w:leader="none" w:pos="94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60" w:right="440" w:hanging="934"/>
        <w:spacing w:after="0"/>
        <w:tabs>
          <w:tab w:leader="none" w:pos="960" w:val="left"/>
        </w:tabs>
        <w:numPr>
          <w:ilvl w:val="0"/>
          <w:numId w:val="41"/>
        </w:numPr>
        <w:rPr>
          <w:rFonts w:ascii="Arial" w:cs="Arial" w:eastAsia="Arial" w:hAnsi="Arial"/>
          <w:sz w:val="18"/>
          <w:szCs w:val="18"/>
          <w:u w:val="single" w:color="auto"/>
          <w:color w:val="0000FF"/>
        </w:rPr>
      </w:pPr>
      <w:r>
        <w:rPr>
          <w:rFonts w:ascii="Arial" w:cs="Arial" w:eastAsia="Arial" w:hAnsi="Arial"/>
          <w:sz w:val="18"/>
          <w:szCs w:val="18"/>
          <w:color w:val="auto"/>
        </w:rPr>
        <w:t>Recoupment of Incentive-Based Compensation ("Clawback") Policy.</w:t>
      </w:r>
    </w:p>
    <w:p>
      <w:pPr>
        <w:spacing w:after="0" w:line="234" w:lineRule="exact"/>
        <w:rPr>
          <w:sz w:val="20"/>
          <w:szCs w:val="20"/>
          <w:color w:val="auto"/>
        </w:rPr>
      </w:pPr>
    </w:p>
    <w:p>
      <w:pPr>
        <w:ind w:left="960" w:right="120" w:hanging="930"/>
        <w:spacing w:after="0" w:line="228"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Annual Report on Form 10-K for the year ended December 31, 2024, formatted in Inline Extensible Business</w:t>
      </w:r>
    </w:p>
    <w:p>
      <w:pPr>
        <w:spacing w:after="0" w:line="1" w:lineRule="exact"/>
        <w:rPr>
          <w:sz w:val="20"/>
          <w:szCs w:val="20"/>
          <w:color w:val="auto"/>
        </w:rPr>
      </w:pPr>
    </w:p>
    <w:p>
      <w:pPr>
        <w:jc w:val="both"/>
        <w:ind w:left="960" w:right="100"/>
        <w:spacing w:after="0" w:line="221" w:lineRule="auto"/>
        <w:rPr>
          <w:sz w:val="20"/>
          <w:szCs w:val="20"/>
          <w:color w:val="auto"/>
        </w:rPr>
      </w:pPr>
      <w:r>
        <w:rPr>
          <w:rFonts w:ascii="Arial" w:cs="Arial" w:eastAsia="Arial" w:hAnsi="Arial"/>
          <w:sz w:val="17"/>
          <w:szCs w:val="17"/>
          <w:color w:val="auto"/>
        </w:rPr>
        <w:t>Reporting Language (Inline XBRL): (i) Consolidated Income Statements, (ii) Consolidated Statements of Comprehensive Income, (iii) Consolidated Balance</w:t>
      </w:r>
    </w:p>
    <w:p>
      <w:pPr>
        <w:ind w:left="960" w:right="120"/>
        <w:spacing w:after="0" w:line="208" w:lineRule="auto"/>
        <w:rPr>
          <w:sz w:val="20"/>
          <w:szCs w:val="20"/>
          <w:color w:val="auto"/>
        </w:rPr>
      </w:pPr>
      <w:r>
        <w:rPr>
          <w:rFonts w:ascii="Arial" w:cs="Arial" w:eastAsia="Arial" w:hAnsi="Arial"/>
          <w:sz w:val="18"/>
          <w:szCs w:val="18"/>
          <w:color w:val="auto"/>
        </w:rPr>
        <w:t>Sheets, (iv) Consolidated Statements of Cash Flows, (v) Consolidated Statement of Stockholder's Equity</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and (vi) Notes to Consolidated Financial Statements.</w:t>
      </w:r>
    </w:p>
    <w:p>
      <w:pPr>
        <w:spacing w:after="0" w:line="25" w:lineRule="exact"/>
        <w:rPr>
          <w:sz w:val="20"/>
          <w:szCs w:val="20"/>
          <w:color w:val="auto"/>
        </w:rPr>
      </w:pPr>
    </w:p>
    <w:p>
      <w:pPr>
        <w:jc w:val="both"/>
        <w:ind w:left="960" w:right="80" w:hanging="930"/>
        <w:spacing w:after="0" w:line="224"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Annual Report on Form 10-K for the year ended December 31, 2024, formatted in Inline XBRL and contained in Exhibit</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br w:type="column"/>
      </w:r>
    </w:p>
    <w:p>
      <w:pPr>
        <w:ind w:right="459"/>
        <w:spacing w:after="0" w:line="215"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w:t>
      </w:r>
    </w:p>
    <w:p>
      <w:pPr>
        <w:spacing w:after="0" w:line="2" w:lineRule="exact"/>
        <w:rPr>
          <w:sz w:val="20"/>
          <w:szCs w:val="20"/>
          <w:color w:val="auto"/>
        </w:rPr>
      </w:pPr>
    </w:p>
    <w:p>
      <w:pPr>
        <w:ind w:right="479"/>
        <w:spacing w:after="0" w:line="221" w:lineRule="auto"/>
        <w:rPr>
          <w:sz w:val="20"/>
          <w:szCs w:val="20"/>
          <w:color w:val="auto"/>
        </w:rPr>
      </w:pPr>
      <w:r>
        <w:rPr>
          <w:rFonts w:ascii="Arial" w:cs="Arial" w:eastAsia="Arial" w:hAnsi="Arial"/>
          <w:sz w:val="17"/>
          <w:szCs w:val="17"/>
          <w:color w:val="auto"/>
        </w:rPr>
        <w:t>Securities Exchange Act of 1934 or incorporated by reference into any filing under the Securities Act of 1933 or the Securities Exchange Act of 1934, except as shall</w:t>
      </w:r>
    </w:p>
    <w:p>
      <w:pPr>
        <w:spacing w:after="0"/>
        <w:rPr>
          <w:sz w:val="20"/>
          <w:szCs w:val="20"/>
          <w:color w:val="auto"/>
        </w:rPr>
      </w:pPr>
      <w:r>
        <w:rPr>
          <w:rFonts w:ascii="Arial" w:cs="Arial" w:eastAsia="Arial" w:hAnsi="Arial"/>
          <w:sz w:val="18"/>
          <w:szCs w:val="18"/>
          <w:color w:val="auto"/>
        </w:rPr>
        <w:t>be expressly set forth by specific reference</w:t>
      </w:r>
    </w:p>
    <w:p>
      <w:pPr>
        <w:spacing w:after="0" w:line="59" w:lineRule="exact"/>
        <w:rPr>
          <w:sz w:val="20"/>
          <w:szCs w:val="20"/>
          <w:color w:val="auto"/>
        </w:rPr>
      </w:pPr>
    </w:p>
    <w:p>
      <w:pPr>
        <w:ind w:right="619"/>
        <w:spacing w:after="0" w:line="227" w:lineRule="auto"/>
        <w:rPr>
          <w:sz w:val="20"/>
          <w:szCs w:val="20"/>
          <w:color w:val="auto"/>
        </w:rPr>
      </w:pPr>
      <w:r>
        <w:rPr>
          <w:rFonts w:ascii="Arial" w:cs="Arial" w:eastAsia="Arial" w:hAnsi="Arial"/>
          <w:sz w:val="18"/>
          <w:szCs w:val="18"/>
          <w:color w:val="auto"/>
        </w:rPr>
        <w:t>Incorporated by reference to Exhibit 97 of Xylem Inc.’s Form 10-K Annual Report filed on February 28, 2024 (CIK No. 1524472, File No. 1-35229).</w:t>
      </w:r>
    </w:p>
    <w:p>
      <w:pPr>
        <w:spacing w:after="0" w:line="61" w:lineRule="exact"/>
        <w:rPr>
          <w:sz w:val="20"/>
          <w:szCs w:val="20"/>
          <w:color w:val="auto"/>
        </w:rPr>
      </w:pPr>
    </w:p>
    <w:p>
      <w:pPr>
        <w:jc w:val="both"/>
        <w:ind w:right="359"/>
        <w:spacing w:after="0" w:line="22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227" w:lineRule="exact"/>
        <w:rPr>
          <w:sz w:val="20"/>
          <w:szCs w:val="20"/>
          <w:color w:val="auto"/>
        </w:rPr>
      </w:pPr>
    </w:p>
    <w:p>
      <w:pPr>
        <w:sectPr>
          <w:pgSz w:w="11900" w:h="16838" w:orient="portrait"/>
          <w:cols w:equalWidth="0" w:num="2">
            <w:col w:w="5160" w:space="40"/>
            <w:col w:w="4939"/>
          </w:cols>
          <w:pgMar w:left="320" w:top="1180"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94"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0" w:right="1440" w:bottom="1440" w:gutter="0" w:footer="0" w:header="0"/>
          <w:type w:val="continuous"/>
        </w:sectPr>
      </w:pPr>
    </w:p>
    <w:bookmarkStart w:id="136" w:name="page137"/>
    <w:bookmarkEnd w:id="136"/>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u w:val="single" w:color="auto"/>
          <w:color w:val="auto"/>
        </w:rPr>
        <w:t>(Registrant)</w:t>
      </w: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17780</wp:posOffset>
            </wp:positionV>
            <wp:extent cx="37801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Geri-Michelle McShane</w:t>
      </w:r>
    </w:p>
    <w:p>
      <w:pPr>
        <w:spacing w:after="0" w:line="1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Controller and Chief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March 3, 2025</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Matthew F. Pine</w:t>
            </w:r>
          </w:p>
        </w:tc>
      </w:tr>
      <w:tr>
        <w:trPr>
          <w:trHeight w:val="230"/>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K. Grogan</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William K. Grogan</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Senior Vice President, Chief Financial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Geri-Michelle McShane</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Geri-Michelle McShane</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F. Friel</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Robert F. Friel, Board Chair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Jeanne Beliveau-Dunn</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Jeanne Beliveau-Dunn,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Earl R. Ellis</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Earl R. Ellis,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Glatch</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Lisa Glatch,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Victoria D. Harker</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Victoria D. Harker,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 Morelli</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 D. Morelli,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A. Peribere</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Jerome A. Peribere,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Lila Tretikov</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Lila Tretikov,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March 3, 2025</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Uday Yadav</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Uday Yadav, Director</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00"/>
          </w:cols>
          <w:pgMar w:left="340" w:top="1187" w:right="359" w:bottom="1440" w:gutter="0" w:footer="0" w:header="0"/>
        </w:sectPr>
      </w:pPr>
    </w:p>
    <w:bookmarkStart w:id="138" w:name="page139"/>
    <w:bookmarkEnd w:id="138"/>
    <w:p>
      <w:pPr>
        <w:ind w:left="9920"/>
        <w:spacing w:after="0"/>
        <w:rPr>
          <w:sz w:val="20"/>
          <w:szCs w:val="20"/>
          <w:color w:val="auto"/>
        </w:rPr>
      </w:pPr>
      <w:r>
        <w:rPr>
          <w:rFonts w:ascii="Cambria" w:cs="Cambria" w:eastAsia="Cambria" w:hAnsi="Cambria"/>
          <w:sz w:val="21"/>
          <w:szCs w:val="21"/>
          <w:b w:val="1"/>
          <w:bCs w:val="1"/>
          <w:color w:val="auto"/>
        </w:rPr>
        <w:t>Exhibit 10.33</w:t>
      </w:r>
    </w:p>
    <w:p>
      <w:pPr>
        <w:spacing w:after="0" w:line="224" w:lineRule="auto"/>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Xylem Inc.</w:t>
      </w:r>
    </w:p>
    <w:p>
      <w:pPr>
        <w:spacing w:after="0" w:line="238" w:lineRule="auto"/>
        <w:rPr>
          <w:sz w:val="20"/>
          <w:szCs w:val="20"/>
          <w:color w:val="auto"/>
        </w:rPr>
      </w:pPr>
      <w:r>
        <w:rPr>
          <w:rFonts w:ascii="Cambria" w:cs="Cambria" w:eastAsia="Cambria" w:hAnsi="Cambria"/>
          <w:sz w:val="22"/>
          <w:szCs w:val="22"/>
          <w:b w:val="1"/>
          <w:bCs w:val="1"/>
          <w:color w:val="auto"/>
        </w:rPr>
        <w:t>301 Water Street SE</w:t>
      </w:r>
    </w:p>
    <w:p>
      <w:pPr>
        <w:spacing w:after="0"/>
        <w:rPr>
          <w:sz w:val="20"/>
          <w:szCs w:val="20"/>
          <w:color w:val="auto"/>
        </w:rPr>
      </w:pPr>
      <w:r>
        <w:rPr>
          <w:rFonts w:ascii="Cambria" w:cs="Cambria" w:eastAsia="Cambria" w:hAnsi="Cambria"/>
          <w:sz w:val="22"/>
          <w:szCs w:val="22"/>
          <w:b w:val="1"/>
          <w:bCs w:val="1"/>
          <w:color w:val="auto"/>
        </w:rPr>
        <w:t>Washington, DC, 20003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13335</wp:posOffset>
            </wp:positionV>
            <wp:extent cx="1405890" cy="5657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14058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Personal and Confdental</w:t>
      </w:r>
    </w:p>
    <w:p>
      <w:pPr>
        <w:sectPr>
          <w:pgSz w:w="11900" w:h="16838" w:orient="portrait"/>
          <w:cols w:equalWidth="0" w:num="1">
            <w:col w:w="11240"/>
          </w:cols>
          <w:pgMar w:left="320" w:top="177" w:right="339" w:bottom="1440" w:gutter="0" w:footer="0" w:header="0"/>
        </w:sectPr>
      </w:pP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Date: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Calibri" w:cs="Calibri" w:eastAsia="Calibri" w:hAnsi="Calibri"/>
          <w:sz w:val="17"/>
          <w:szCs w:val="17"/>
          <w:color w:val="auto"/>
        </w:rPr>
        <w:t>March 20, 2024</w:t>
      </w:r>
    </w:p>
    <w:p>
      <w:pPr>
        <w:spacing w:after="0" w:line="116" w:lineRule="exact"/>
        <w:rPr>
          <w:sz w:val="20"/>
          <w:szCs w:val="20"/>
          <w:color w:val="auto"/>
        </w:rPr>
      </w:pPr>
    </w:p>
    <w:p>
      <w:pPr>
        <w:sectPr>
          <w:pgSz w:w="11900" w:h="16838" w:orient="portrait"/>
          <w:cols w:equalWidth="0" w:num="2">
            <w:col w:w="400" w:space="300"/>
            <w:col w:w="10540"/>
          </w:cols>
          <w:pgMar w:left="320" w:top="177" w:right="339" w:bottom="1440" w:gutter="0" w:footer="0" w:header="0"/>
          <w:type w:val="continuous"/>
        </w:sectPr>
      </w:pPr>
    </w:p>
    <w:p>
      <w:pPr>
        <w:spacing w:after="0"/>
        <w:rPr>
          <w:sz w:val="20"/>
          <w:szCs w:val="20"/>
          <w:color w:val="auto"/>
        </w:rPr>
      </w:pPr>
      <w:r>
        <w:rPr>
          <w:rFonts w:ascii="Calibri" w:cs="Calibri" w:eastAsia="Calibri" w:hAnsi="Calibri"/>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Sandy Rowland</w:t>
      </w:r>
    </w:p>
    <w:p>
      <w:pPr>
        <w:spacing w:after="0" w:line="116" w:lineRule="exact"/>
        <w:rPr>
          <w:sz w:val="20"/>
          <w:szCs w:val="20"/>
          <w:color w:val="auto"/>
        </w:rPr>
      </w:pPr>
    </w:p>
    <w:p>
      <w:pPr>
        <w:sectPr>
          <w:pgSz w:w="11900" w:h="16838" w:orient="portrait"/>
          <w:cols w:equalWidth="0" w:num="2">
            <w:col w:w="220" w:space="320"/>
            <w:col w:w="10700"/>
          </w:cols>
          <w:pgMar w:left="320" w:top="177" w:right="339" w:bottom="1440" w:gutter="0" w:footer="0" w:header="0"/>
          <w:type w:val="continuous"/>
        </w:sectPr>
      </w:pPr>
    </w:p>
    <w:p>
      <w:pPr>
        <w:spacing w:after="0"/>
        <w:rPr>
          <w:sz w:val="20"/>
          <w:szCs w:val="20"/>
          <w:color w:val="auto"/>
        </w:rPr>
      </w:pPr>
      <w:r>
        <w:rPr>
          <w:rFonts w:ascii="Calibri" w:cs="Calibri" w:eastAsia="Calibri" w:hAnsi="Calibri"/>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Claudia Toussaint and Shan Jarvis</w:t>
      </w:r>
    </w:p>
    <w:p>
      <w:pPr>
        <w:spacing w:after="0" w:line="112" w:lineRule="exact"/>
        <w:rPr>
          <w:sz w:val="20"/>
          <w:szCs w:val="20"/>
          <w:color w:val="auto"/>
        </w:rPr>
      </w:pPr>
    </w:p>
    <w:p>
      <w:pPr>
        <w:sectPr>
          <w:pgSz w:w="11900" w:h="16838" w:orient="portrait"/>
          <w:cols w:equalWidth="0" w:num="2">
            <w:col w:w="420" w:space="320"/>
            <w:col w:w="10500"/>
          </w:cols>
          <w:pgMar w:left="320" w:top="177" w:right="339" w:bottom="1440" w:gutter="0" w:footer="0" w:header="0"/>
          <w:type w:val="continuous"/>
        </w:sectPr>
      </w:pPr>
    </w:p>
    <w:p>
      <w:pPr>
        <w:spacing w:after="0"/>
        <w:tabs>
          <w:tab w:leader="none" w:pos="880" w:val="left"/>
        </w:tabs>
        <w:rPr>
          <w:sz w:val="20"/>
          <w:szCs w:val="20"/>
          <w:color w:val="auto"/>
        </w:rPr>
      </w:pPr>
      <w:r>
        <w:rPr>
          <w:rFonts w:ascii="Calibri" w:cs="Calibri" w:eastAsia="Calibri" w:hAnsi="Calibri"/>
          <w:sz w:val="18"/>
          <w:szCs w:val="18"/>
          <w:color w:val="auto"/>
        </w:rPr>
        <w:t>Subject:</w:t>
      </w:r>
      <w:r>
        <w:rPr>
          <w:sz w:val="20"/>
          <w:szCs w:val="20"/>
          <w:color w:val="auto"/>
        </w:rPr>
        <w:tab/>
      </w:r>
      <w:r>
        <w:rPr>
          <w:rFonts w:ascii="Calibri" w:cs="Calibri" w:eastAsia="Calibri" w:hAnsi="Calibri"/>
          <w:sz w:val="18"/>
          <w:szCs w:val="18"/>
          <w:color w:val="auto"/>
        </w:rPr>
        <w:t>Separaton Documents</w:t>
      </w:r>
    </w:p>
    <w:p>
      <w:pPr>
        <w:spacing w:after="0" w:line="244" w:lineRule="exact"/>
        <w:rPr>
          <w:sz w:val="20"/>
          <w:szCs w:val="20"/>
          <w:color w:val="auto"/>
        </w:rPr>
      </w:pPr>
    </w:p>
    <w:p>
      <w:pPr>
        <w:jc w:val="both"/>
        <w:spacing w:after="0" w:line="277" w:lineRule="auto"/>
        <w:rPr>
          <w:sz w:val="20"/>
          <w:szCs w:val="20"/>
          <w:color w:val="auto"/>
        </w:rPr>
      </w:pPr>
      <w:r>
        <w:rPr>
          <w:rFonts w:ascii="Calibri" w:cs="Calibri" w:eastAsia="Calibri" w:hAnsi="Calibri"/>
          <w:sz w:val="18"/>
          <w:szCs w:val="18"/>
          <w:color w:val="161616"/>
        </w:rPr>
        <w:t xml:space="preserve">As referenced in Paragraph 2 of your transiton services agreement, enclosed please fnd the Separaton Memorandum ("Memorandum") and Separaton Agreement and General Release ("the Release"). These documents </w:t>
      </w:r>
      <w:r>
        <w:rPr>
          <w:rFonts w:ascii="Calibri" w:cs="Calibri" w:eastAsia="Calibri" w:hAnsi="Calibri"/>
          <w:sz w:val="18"/>
          <w:szCs w:val="18"/>
          <w:color w:val="262626"/>
        </w:rPr>
        <w:t>set</w:t>
      </w:r>
      <w:r>
        <w:rPr>
          <w:rFonts w:ascii="Calibri" w:cs="Calibri" w:eastAsia="Calibri" w:hAnsi="Calibri"/>
          <w:sz w:val="18"/>
          <w:szCs w:val="18"/>
          <w:color w:val="161616"/>
        </w:rPr>
        <w:t xml:space="preserve"> out the terms and benefts </w:t>
      </w:r>
      <w:r>
        <w:rPr>
          <w:rFonts w:ascii="Calibri" w:cs="Calibri" w:eastAsia="Calibri" w:hAnsi="Calibri"/>
          <w:sz w:val="18"/>
          <w:szCs w:val="18"/>
          <w:color w:val="262626"/>
        </w:rPr>
        <w:t>we</w:t>
      </w:r>
      <w:r>
        <w:rPr>
          <w:rFonts w:ascii="Calibri" w:cs="Calibri" w:eastAsia="Calibri" w:hAnsi="Calibri"/>
          <w:sz w:val="18"/>
          <w:szCs w:val="18"/>
          <w:color w:val="161616"/>
        </w:rPr>
        <w:t xml:space="preserve"> are ofering you relatve to the separaton from employment with </w:t>
      </w:r>
      <w:r>
        <w:rPr>
          <w:rFonts w:ascii="Calibri" w:cs="Calibri" w:eastAsia="Calibri" w:hAnsi="Calibri"/>
          <w:sz w:val="18"/>
          <w:szCs w:val="18"/>
          <w:color w:val="262626"/>
        </w:rPr>
        <w:t>Xylem Inc.,</w:t>
      </w:r>
      <w:r>
        <w:rPr>
          <w:rFonts w:ascii="Calibri" w:cs="Calibri" w:eastAsia="Calibri" w:hAnsi="Calibri"/>
          <w:sz w:val="18"/>
          <w:szCs w:val="18"/>
          <w:color w:val="161616"/>
        </w:rPr>
        <w:t xml:space="preserve"> and the </w:t>
      </w:r>
      <w:r>
        <w:rPr>
          <w:rFonts w:ascii="Calibri" w:cs="Calibri" w:eastAsia="Calibri" w:hAnsi="Calibri"/>
          <w:sz w:val="18"/>
          <w:szCs w:val="18"/>
          <w:color w:val="262626"/>
        </w:rPr>
        <w:t>conditons</w:t>
      </w:r>
      <w:r>
        <w:rPr>
          <w:rFonts w:ascii="Calibri" w:cs="Calibri" w:eastAsia="Calibri" w:hAnsi="Calibri"/>
          <w:sz w:val="18"/>
          <w:szCs w:val="18"/>
          <w:color w:val="161616"/>
        </w:rPr>
        <w:t xml:space="preserve"> under which you will be </w:t>
      </w:r>
      <w:r>
        <w:rPr>
          <w:rFonts w:ascii="Calibri" w:cs="Calibri" w:eastAsia="Calibri" w:hAnsi="Calibri"/>
          <w:sz w:val="18"/>
          <w:szCs w:val="18"/>
          <w:color w:val="262626"/>
        </w:rPr>
        <w:t>eligible</w:t>
      </w:r>
      <w:r>
        <w:rPr>
          <w:rFonts w:ascii="Calibri" w:cs="Calibri" w:eastAsia="Calibri" w:hAnsi="Calibri"/>
          <w:sz w:val="18"/>
          <w:szCs w:val="18"/>
          <w:color w:val="161616"/>
        </w:rPr>
        <w:t xml:space="preserve"> to receive </w:t>
      </w:r>
      <w:r>
        <w:rPr>
          <w:rFonts w:ascii="Calibri" w:cs="Calibri" w:eastAsia="Calibri" w:hAnsi="Calibri"/>
          <w:sz w:val="18"/>
          <w:szCs w:val="18"/>
          <w:color w:val="262626"/>
        </w:rPr>
        <w:t>severance</w:t>
      </w:r>
      <w:r>
        <w:rPr>
          <w:rFonts w:ascii="Calibri" w:cs="Calibri" w:eastAsia="Calibri" w:hAnsi="Calibri"/>
          <w:sz w:val="18"/>
          <w:szCs w:val="18"/>
          <w:color w:val="161616"/>
        </w:rPr>
        <w:t xml:space="preserve"> benefts from </w:t>
      </w:r>
      <w:r>
        <w:rPr>
          <w:rFonts w:ascii="Calibri" w:cs="Calibri" w:eastAsia="Calibri" w:hAnsi="Calibri"/>
          <w:sz w:val="18"/>
          <w:szCs w:val="18"/>
          <w:color w:val="262626"/>
        </w:rPr>
        <w:t>Xylem</w:t>
      </w:r>
      <w:r>
        <w:rPr>
          <w:rFonts w:ascii="Calibri" w:cs="Calibri" w:eastAsia="Calibri" w:hAnsi="Calibri"/>
          <w:sz w:val="18"/>
          <w:szCs w:val="18"/>
          <w:color w:val="161616"/>
        </w:rPr>
        <w:t xml:space="preserve"> Inc.</w:t>
      </w:r>
    </w:p>
    <w:p>
      <w:pPr>
        <w:spacing w:after="0" w:line="103" w:lineRule="exact"/>
        <w:rPr>
          <w:sz w:val="20"/>
          <w:szCs w:val="20"/>
          <w:color w:val="auto"/>
        </w:rPr>
      </w:pPr>
    </w:p>
    <w:p>
      <w:pPr>
        <w:jc w:val="both"/>
        <w:spacing w:after="0" w:line="299" w:lineRule="auto"/>
        <w:rPr>
          <w:sz w:val="20"/>
          <w:szCs w:val="20"/>
          <w:color w:val="auto"/>
        </w:rPr>
      </w:pPr>
      <w:r>
        <w:rPr>
          <w:rFonts w:ascii="Calibri" w:cs="Calibri" w:eastAsia="Calibri" w:hAnsi="Calibri"/>
          <w:sz w:val="17"/>
          <w:szCs w:val="17"/>
          <w:color w:val="161616"/>
        </w:rPr>
        <w:t xml:space="preserve">These </w:t>
      </w:r>
      <w:r>
        <w:rPr>
          <w:rFonts w:ascii="Calibri" w:cs="Calibri" w:eastAsia="Calibri" w:hAnsi="Calibri"/>
          <w:sz w:val="17"/>
          <w:szCs w:val="17"/>
          <w:color w:val="262626"/>
        </w:rPr>
        <w:t>are confdental</w:t>
      </w:r>
      <w:r>
        <w:rPr>
          <w:rFonts w:ascii="Calibri" w:cs="Calibri" w:eastAsia="Calibri" w:hAnsi="Calibri"/>
          <w:sz w:val="17"/>
          <w:szCs w:val="17"/>
          <w:color w:val="161616"/>
        </w:rPr>
        <w:t xml:space="preserve"> legal </w:t>
      </w:r>
      <w:r>
        <w:rPr>
          <w:rFonts w:ascii="Calibri" w:cs="Calibri" w:eastAsia="Calibri" w:hAnsi="Calibri"/>
          <w:sz w:val="17"/>
          <w:szCs w:val="17"/>
          <w:color w:val="262626"/>
        </w:rPr>
        <w:t>documents, which we encourage you</w:t>
      </w:r>
      <w:r>
        <w:rPr>
          <w:rFonts w:ascii="Calibri" w:cs="Calibri" w:eastAsia="Calibri" w:hAnsi="Calibri"/>
          <w:sz w:val="17"/>
          <w:szCs w:val="17"/>
          <w:color w:val="161616"/>
        </w:rPr>
        <w:t xml:space="preserve"> to read </w:t>
      </w:r>
      <w:r>
        <w:rPr>
          <w:rFonts w:ascii="Calibri" w:cs="Calibri" w:eastAsia="Calibri" w:hAnsi="Calibri"/>
          <w:sz w:val="17"/>
          <w:szCs w:val="17"/>
          <w:color w:val="262626"/>
        </w:rPr>
        <w:t>very carefully.</w:t>
      </w:r>
      <w:r>
        <w:rPr>
          <w:rFonts w:ascii="Calibri" w:cs="Calibri" w:eastAsia="Calibri" w:hAnsi="Calibri"/>
          <w:sz w:val="17"/>
          <w:szCs w:val="17"/>
          <w:color w:val="161616"/>
        </w:rPr>
        <w:t xml:space="preserve"> You are also encouraged to have them reviewed by </w:t>
      </w:r>
      <w:r>
        <w:rPr>
          <w:rFonts w:ascii="Calibri" w:cs="Calibri" w:eastAsia="Calibri" w:hAnsi="Calibri"/>
          <w:sz w:val="17"/>
          <w:szCs w:val="17"/>
          <w:color w:val="262626"/>
        </w:rPr>
        <w:t>an</w:t>
      </w:r>
      <w:r>
        <w:rPr>
          <w:rFonts w:ascii="Calibri" w:cs="Calibri" w:eastAsia="Calibri" w:hAnsi="Calibri"/>
          <w:sz w:val="17"/>
          <w:szCs w:val="17"/>
          <w:color w:val="161616"/>
        </w:rPr>
        <w:t xml:space="preserve"> atorney of your choice. </w:t>
      </w:r>
      <w:r>
        <w:rPr>
          <w:rFonts w:ascii="Calibri" w:cs="Calibri" w:eastAsia="Calibri" w:hAnsi="Calibri"/>
          <w:sz w:val="17"/>
          <w:szCs w:val="17"/>
          <w:color w:val="262626"/>
        </w:rPr>
        <w:t>You</w:t>
      </w:r>
      <w:r>
        <w:rPr>
          <w:rFonts w:ascii="Calibri" w:cs="Calibri" w:eastAsia="Calibri" w:hAnsi="Calibri"/>
          <w:sz w:val="17"/>
          <w:szCs w:val="17"/>
          <w:color w:val="161616"/>
        </w:rPr>
        <w:t xml:space="preserve"> have 21 calendar days during which to consider the Release, </w:t>
      </w:r>
      <w:r>
        <w:rPr>
          <w:rFonts w:ascii="Calibri" w:cs="Calibri" w:eastAsia="Calibri" w:hAnsi="Calibri"/>
          <w:sz w:val="17"/>
          <w:szCs w:val="17"/>
          <w:color w:val="262626"/>
        </w:rPr>
        <w:t>although</w:t>
      </w:r>
      <w:r>
        <w:rPr>
          <w:rFonts w:ascii="Calibri" w:cs="Calibri" w:eastAsia="Calibri" w:hAnsi="Calibri"/>
          <w:sz w:val="17"/>
          <w:szCs w:val="17"/>
          <w:color w:val="161616"/>
        </w:rPr>
        <w:t xml:space="preserve"> you may </w:t>
      </w:r>
      <w:r>
        <w:rPr>
          <w:rFonts w:ascii="Calibri" w:cs="Calibri" w:eastAsia="Calibri" w:hAnsi="Calibri"/>
          <w:sz w:val="17"/>
          <w:szCs w:val="17"/>
          <w:color w:val="262626"/>
        </w:rPr>
        <w:t>sign</w:t>
      </w:r>
      <w:r>
        <w:rPr>
          <w:rFonts w:ascii="Calibri" w:cs="Calibri" w:eastAsia="Calibri" w:hAnsi="Calibri"/>
          <w:sz w:val="17"/>
          <w:szCs w:val="17"/>
          <w:color w:val="161616"/>
        </w:rPr>
        <w:t xml:space="preserve"> and return it </w:t>
      </w:r>
      <w:r>
        <w:rPr>
          <w:rFonts w:ascii="Calibri" w:cs="Calibri" w:eastAsia="Calibri" w:hAnsi="Calibri"/>
          <w:sz w:val="17"/>
          <w:szCs w:val="17"/>
          <w:color w:val="262626"/>
        </w:rPr>
        <w:t>sooner if</w:t>
      </w:r>
      <w:r>
        <w:rPr>
          <w:rFonts w:ascii="Calibri" w:cs="Calibri" w:eastAsia="Calibri" w:hAnsi="Calibri"/>
          <w:sz w:val="17"/>
          <w:szCs w:val="17"/>
          <w:color w:val="161616"/>
        </w:rPr>
        <w:t xml:space="preserve"> you choose to do </w:t>
      </w:r>
      <w:r>
        <w:rPr>
          <w:rFonts w:ascii="Calibri" w:cs="Calibri" w:eastAsia="Calibri" w:hAnsi="Calibri"/>
          <w:sz w:val="17"/>
          <w:szCs w:val="17"/>
          <w:color w:val="262626"/>
        </w:rPr>
        <w:t>so.</w:t>
      </w:r>
      <w:r>
        <w:rPr>
          <w:rFonts w:ascii="Calibri" w:cs="Calibri" w:eastAsia="Calibri" w:hAnsi="Calibri"/>
          <w:sz w:val="17"/>
          <w:szCs w:val="17"/>
          <w:color w:val="161616"/>
        </w:rPr>
        <w:t xml:space="preserve"> Additonally, </w:t>
      </w:r>
      <w:r>
        <w:rPr>
          <w:rFonts w:ascii="Calibri" w:cs="Calibri" w:eastAsia="Calibri" w:hAnsi="Calibri"/>
          <w:sz w:val="17"/>
          <w:szCs w:val="17"/>
          <w:color w:val="262626"/>
        </w:rPr>
        <w:t xml:space="preserve">you </w:t>
      </w:r>
      <w:r>
        <w:rPr>
          <w:rFonts w:ascii="Calibri" w:cs="Calibri" w:eastAsia="Calibri" w:hAnsi="Calibri"/>
          <w:sz w:val="17"/>
          <w:szCs w:val="17"/>
          <w:color w:val="161616"/>
        </w:rPr>
        <w:t>also have 7 calendar days to revoke the Release afer</w:t>
      </w:r>
      <w:r>
        <w:rPr>
          <w:rFonts w:ascii="Calibri" w:cs="Calibri" w:eastAsia="Calibri" w:hAnsi="Calibri"/>
          <w:sz w:val="17"/>
          <w:szCs w:val="17"/>
          <w:color w:val="262626"/>
        </w:rPr>
        <w:t xml:space="preserve"> signing it. </w:t>
      </w:r>
      <w:r>
        <w:rPr>
          <w:rFonts w:ascii="Calibri" w:cs="Calibri" w:eastAsia="Calibri" w:hAnsi="Calibri"/>
          <w:sz w:val="17"/>
          <w:szCs w:val="17"/>
          <w:color w:val="161616"/>
        </w:rPr>
        <w:t>Should you decide to accept the benefts described in</w:t>
      </w:r>
      <w:r>
        <w:rPr>
          <w:rFonts w:ascii="Calibri" w:cs="Calibri" w:eastAsia="Calibri" w:hAnsi="Calibri"/>
          <w:sz w:val="17"/>
          <w:szCs w:val="17"/>
          <w:color w:val="262626"/>
        </w:rPr>
        <w:t xml:space="preserve"> the </w:t>
      </w:r>
      <w:r>
        <w:rPr>
          <w:rFonts w:ascii="Calibri" w:cs="Calibri" w:eastAsia="Calibri" w:hAnsi="Calibri"/>
          <w:sz w:val="17"/>
          <w:szCs w:val="17"/>
          <w:color w:val="161616"/>
        </w:rPr>
        <w:t>Memorandum, please</w:t>
      </w:r>
      <w:r>
        <w:rPr>
          <w:rFonts w:ascii="Calibri" w:cs="Calibri" w:eastAsia="Calibri" w:hAnsi="Calibri"/>
          <w:sz w:val="17"/>
          <w:szCs w:val="17"/>
          <w:color w:val="262626"/>
        </w:rPr>
        <w:t xml:space="preserve"> sign and </w:t>
      </w:r>
      <w:r>
        <w:rPr>
          <w:rFonts w:ascii="Calibri" w:cs="Calibri" w:eastAsia="Calibri" w:hAnsi="Calibri"/>
          <w:sz w:val="17"/>
          <w:szCs w:val="17"/>
          <w:color w:val="161616"/>
        </w:rPr>
        <w:t>return them to me no later than 21 calendar days afer your Terminaton Date</w:t>
      </w:r>
      <w:r>
        <w:rPr>
          <w:rFonts w:ascii="Calibri" w:cs="Calibri" w:eastAsia="Calibri" w:hAnsi="Calibri"/>
          <w:sz w:val="17"/>
          <w:szCs w:val="17"/>
          <w:color w:val="262626"/>
        </w:rPr>
        <w:t>.</w:t>
      </w:r>
      <w:r>
        <w:rPr>
          <w:rFonts w:ascii="Calibri" w:cs="Calibri" w:eastAsia="Calibri" w:hAnsi="Calibri"/>
          <w:sz w:val="17"/>
          <w:szCs w:val="17"/>
          <w:color w:val="161616"/>
        </w:rPr>
        <w:t xml:space="preserve"> We will then forward a </w:t>
      </w:r>
      <w:r>
        <w:rPr>
          <w:rFonts w:ascii="Calibri" w:cs="Calibri" w:eastAsia="Calibri" w:hAnsi="Calibri"/>
          <w:sz w:val="17"/>
          <w:szCs w:val="17"/>
          <w:color w:val="262626"/>
        </w:rPr>
        <w:t>signed</w:t>
      </w:r>
      <w:r>
        <w:rPr>
          <w:rFonts w:ascii="Calibri" w:cs="Calibri" w:eastAsia="Calibri" w:hAnsi="Calibri"/>
          <w:sz w:val="17"/>
          <w:szCs w:val="17"/>
          <w:color w:val="161616"/>
        </w:rPr>
        <w:t xml:space="preserve"> copy back to you for </w:t>
      </w:r>
      <w:r>
        <w:rPr>
          <w:rFonts w:ascii="Calibri" w:cs="Calibri" w:eastAsia="Calibri" w:hAnsi="Calibri"/>
          <w:sz w:val="17"/>
          <w:szCs w:val="17"/>
          <w:color w:val="262626"/>
        </w:rPr>
        <w:t>your</w:t>
      </w:r>
      <w:r>
        <w:rPr>
          <w:rFonts w:ascii="Calibri" w:cs="Calibri" w:eastAsia="Calibri" w:hAnsi="Calibri"/>
          <w:sz w:val="17"/>
          <w:szCs w:val="17"/>
          <w:color w:val="161616"/>
        </w:rPr>
        <w:t xml:space="preserve"> records</w:t>
      </w:r>
      <w:r>
        <w:rPr>
          <w:rFonts w:ascii="Calibri" w:cs="Calibri" w:eastAsia="Calibri" w:hAnsi="Calibri"/>
          <w:sz w:val="17"/>
          <w:szCs w:val="17"/>
          <w:color w:val="424242"/>
        </w:rPr>
        <w:t>.</w:t>
      </w:r>
    </w:p>
    <w:p>
      <w:pPr>
        <w:spacing w:after="0" w:line="113" w:lineRule="exact"/>
        <w:rPr>
          <w:sz w:val="20"/>
          <w:szCs w:val="20"/>
          <w:color w:val="auto"/>
        </w:rPr>
      </w:pPr>
    </w:p>
    <w:p>
      <w:pPr>
        <w:jc w:val="both"/>
        <w:spacing w:after="0" w:line="274" w:lineRule="auto"/>
        <w:rPr>
          <w:sz w:val="20"/>
          <w:szCs w:val="20"/>
          <w:color w:val="auto"/>
        </w:rPr>
      </w:pPr>
      <w:r>
        <w:rPr>
          <w:rFonts w:ascii="Calibri" w:cs="Calibri" w:eastAsia="Calibri" w:hAnsi="Calibri"/>
          <w:sz w:val="18"/>
          <w:szCs w:val="18"/>
          <w:color w:val="161616"/>
        </w:rPr>
        <w:t xml:space="preserve">While </w:t>
      </w:r>
      <w:r>
        <w:rPr>
          <w:rFonts w:ascii="Calibri" w:cs="Calibri" w:eastAsia="Calibri" w:hAnsi="Calibri"/>
          <w:sz w:val="18"/>
          <w:szCs w:val="18"/>
          <w:color w:val="262626"/>
        </w:rPr>
        <w:t>your acceptance</w:t>
      </w:r>
      <w:r>
        <w:rPr>
          <w:rFonts w:ascii="Calibri" w:cs="Calibri" w:eastAsia="Calibri" w:hAnsi="Calibri"/>
          <w:sz w:val="18"/>
          <w:szCs w:val="18"/>
          <w:color w:val="161616"/>
        </w:rPr>
        <w:t xml:space="preserve"> of the terms of the </w:t>
      </w:r>
      <w:r>
        <w:rPr>
          <w:rFonts w:ascii="Calibri" w:cs="Calibri" w:eastAsia="Calibri" w:hAnsi="Calibri"/>
          <w:sz w:val="18"/>
          <w:szCs w:val="18"/>
          <w:color w:val="262626"/>
        </w:rPr>
        <w:t>Memorandum and</w:t>
      </w:r>
      <w:r>
        <w:rPr>
          <w:rFonts w:ascii="Calibri" w:cs="Calibri" w:eastAsia="Calibri" w:hAnsi="Calibri"/>
          <w:sz w:val="18"/>
          <w:szCs w:val="18"/>
          <w:color w:val="161616"/>
        </w:rPr>
        <w:t xml:space="preserve"> Release is voluntary, to receive these benefts you must return the </w:t>
      </w:r>
      <w:r>
        <w:rPr>
          <w:rFonts w:ascii="Calibri" w:cs="Calibri" w:eastAsia="Calibri" w:hAnsi="Calibri"/>
          <w:sz w:val="18"/>
          <w:szCs w:val="18"/>
          <w:color w:val="262626"/>
        </w:rPr>
        <w:t>signed</w:t>
      </w:r>
      <w:r>
        <w:rPr>
          <w:rFonts w:ascii="Calibri" w:cs="Calibri" w:eastAsia="Calibri" w:hAnsi="Calibri"/>
          <w:sz w:val="18"/>
          <w:szCs w:val="18"/>
          <w:color w:val="161616"/>
        </w:rPr>
        <w:t xml:space="preserve"> Release on or before the date indicated in that document.</w:t>
      </w:r>
    </w:p>
    <w:p>
      <w:pPr>
        <w:spacing w:after="0" w:line="115" w:lineRule="exact"/>
        <w:rPr>
          <w:sz w:val="20"/>
          <w:szCs w:val="20"/>
          <w:color w:val="auto"/>
        </w:rPr>
      </w:pPr>
    </w:p>
    <w:p>
      <w:pPr>
        <w:spacing w:after="0"/>
        <w:rPr>
          <w:sz w:val="20"/>
          <w:szCs w:val="20"/>
          <w:color w:val="auto"/>
        </w:rPr>
      </w:pPr>
      <w:r>
        <w:rPr>
          <w:rFonts w:ascii="Calibri" w:cs="Calibri" w:eastAsia="Calibri" w:hAnsi="Calibri"/>
          <w:sz w:val="18"/>
          <w:szCs w:val="18"/>
          <w:color w:val="161616"/>
        </w:rPr>
        <w:t xml:space="preserve">Please </w:t>
      </w:r>
      <w:r>
        <w:rPr>
          <w:rFonts w:ascii="Calibri" w:cs="Calibri" w:eastAsia="Calibri" w:hAnsi="Calibri"/>
          <w:sz w:val="18"/>
          <w:szCs w:val="18"/>
          <w:color w:val="262626"/>
        </w:rPr>
        <w:t>contact</w:t>
      </w:r>
      <w:r>
        <w:rPr>
          <w:rFonts w:ascii="Calibri" w:cs="Calibri" w:eastAsia="Calibri" w:hAnsi="Calibri"/>
          <w:sz w:val="18"/>
          <w:szCs w:val="18"/>
          <w:color w:val="161616"/>
        </w:rPr>
        <w:t xml:space="preserve"> me </w:t>
      </w:r>
      <w:r>
        <w:rPr>
          <w:rFonts w:ascii="Calibri" w:cs="Calibri" w:eastAsia="Calibri" w:hAnsi="Calibri"/>
          <w:sz w:val="18"/>
          <w:szCs w:val="18"/>
          <w:color w:val="262626"/>
        </w:rPr>
        <w:t>should</w:t>
      </w:r>
      <w:r>
        <w:rPr>
          <w:rFonts w:ascii="Calibri" w:cs="Calibri" w:eastAsia="Calibri" w:hAnsi="Calibri"/>
          <w:sz w:val="18"/>
          <w:szCs w:val="18"/>
          <w:color w:val="161616"/>
        </w:rPr>
        <w:t xml:space="preserve"> you have </w:t>
      </w:r>
      <w:r>
        <w:rPr>
          <w:rFonts w:ascii="Calibri" w:cs="Calibri" w:eastAsia="Calibri" w:hAnsi="Calibri"/>
          <w:sz w:val="18"/>
          <w:szCs w:val="18"/>
          <w:color w:val="262626"/>
        </w:rPr>
        <w:t>any</w:t>
      </w:r>
      <w:r>
        <w:rPr>
          <w:rFonts w:ascii="Calibri" w:cs="Calibri" w:eastAsia="Calibri" w:hAnsi="Calibri"/>
          <w:sz w:val="18"/>
          <w:szCs w:val="18"/>
          <w:color w:val="161616"/>
        </w:rPr>
        <w:t xml:space="preserve"> questons related to this mater. Lastly, please </w:t>
      </w:r>
      <w:r>
        <w:rPr>
          <w:rFonts w:ascii="Calibri" w:cs="Calibri" w:eastAsia="Calibri" w:hAnsi="Calibri"/>
          <w:sz w:val="18"/>
          <w:szCs w:val="18"/>
          <w:color w:val="262626"/>
        </w:rPr>
        <w:t>sign</w:t>
      </w:r>
      <w:r>
        <w:rPr>
          <w:rFonts w:ascii="Calibri" w:cs="Calibri" w:eastAsia="Calibri" w:hAnsi="Calibri"/>
          <w:sz w:val="18"/>
          <w:szCs w:val="18"/>
          <w:color w:val="161616"/>
        </w:rPr>
        <w:t xml:space="preserve"> this leter below, </w:t>
      </w:r>
      <w:r>
        <w:rPr>
          <w:rFonts w:ascii="Calibri" w:cs="Calibri" w:eastAsia="Calibri" w:hAnsi="Calibri"/>
          <w:sz w:val="18"/>
          <w:szCs w:val="18"/>
          <w:color w:val="262626"/>
        </w:rPr>
        <w:t>signifying</w:t>
      </w:r>
      <w:r>
        <w:rPr>
          <w:rFonts w:ascii="Calibri" w:cs="Calibri" w:eastAsia="Calibri" w:hAnsi="Calibri"/>
          <w:sz w:val="18"/>
          <w:szCs w:val="18"/>
          <w:color w:val="161616"/>
        </w:rPr>
        <w:t xml:space="preserve"> your receipt of this informaton.</w:t>
      </w:r>
    </w:p>
    <w:p>
      <w:pPr>
        <w:spacing w:after="0" w:line="118" w:lineRule="exact"/>
        <w:rPr>
          <w:sz w:val="20"/>
          <w:szCs w:val="20"/>
          <w:color w:val="auto"/>
        </w:rPr>
      </w:pPr>
    </w:p>
    <w:p>
      <w:pPr>
        <w:ind w:left="1280"/>
        <w:spacing w:after="0"/>
        <w:rPr>
          <w:sz w:val="20"/>
          <w:szCs w:val="20"/>
          <w:color w:val="auto"/>
        </w:rPr>
      </w:pPr>
      <w:r>
        <w:rPr>
          <w:rFonts w:ascii="Calibri" w:cs="Calibri" w:eastAsia="Calibri" w:hAnsi="Calibri"/>
          <w:sz w:val="18"/>
          <w:szCs w:val="18"/>
          <w:color w:val="262626"/>
        </w:rPr>
        <w:t>Sincerely,</w:t>
      </w:r>
    </w:p>
    <w:p>
      <w:pPr>
        <w:spacing w:after="0" w:line="212" w:lineRule="exact"/>
        <w:rPr>
          <w:sz w:val="20"/>
          <w:szCs w:val="20"/>
          <w:color w:val="auto"/>
        </w:rPr>
      </w:pPr>
    </w:p>
    <w:p>
      <w:pPr>
        <w:ind w:left="6020"/>
        <w:spacing w:after="0"/>
        <w:rPr>
          <w:sz w:val="20"/>
          <w:szCs w:val="20"/>
          <w:color w:val="auto"/>
        </w:rPr>
      </w:pPr>
      <w:r>
        <w:rPr>
          <w:rFonts w:ascii="Calibri" w:cs="Calibri" w:eastAsia="Calibri" w:hAnsi="Calibri"/>
          <w:sz w:val="18"/>
          <w:szCs w:val="18"/>
          <w:color w:val="161616"/>
        </w:rPr>
        <w:t>Shan Jarvis</w:t>
      </w:r>
    </w:p>
    <w:p>
      <w:pPr>
        <w:spacing w:after="0" w:line="104" w:lineRule="exact"/>
        <w:rPr>
          <w:sz w:val="20"/>
          <w:szCs w:val="20"/>
          <w:color w:val="auto"/>
        </w:rPr>
      </w:pPr>
    </w:p>
    <w:p>
      <w:pPr>
        <w:ind w:left="6020"/>
        <w:spacing w:after="0"/>
        <w:rPr>
          <w:sz w:val="20"/>
          <w:szCs w:val="20"/>
          <w:color w:val="auto"/>
        </w:rPr>
      </w:pPr>
      <w:r>
        <w:rPr>
          <w:rFonts w:ascii="Calibri" w:cs="Calibri" w:eastAsia="Calibri" w:hAnsi="Calibri"/>
          <w:sz w:val="18"/>
          <w:szCs w:val="18"/>
          <w:color w:val="262626"/>
        </w:rPr>
        <w:t>VP</w:t>
      </w:r>
      <w:r>
        <w:rPr>
          <w:rFonts w:ascii="Calibri" w:cs="Calibri" w:eastAsia="Calibri" w:hAnsi="Calibri"/>
          <w:sz w:val="18"/>
          <w:szCs w:val="18"/>
          <w:color w:val="161616"/>
        </w:rPr>
        <w:t>, Global Compensaton, Benefts &amp; Wellness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alibri" w:cs="Calibri" w:eastAsia="Calibri" w:hAnsi="Calibri"/>
          <w:sz w:val="18"/>
          <w:szCs w:val="18"/>
          <w:color w:val="auto"/>
        </w:rPr>
        <w:t>Enclosures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EMPLOYEE: Sandy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44062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560" w:val="left"/>
        </w:tabs>
        <w:rPr>
          <w:sz w:val="20"/>
          <w:szCs w:val="20"/>
          <w:color w:val="auto"/>
        </w:rPr>
      </w:pPr>
      <w:r>
        <w:rPr>
          <w:rFonts w:ascii="Calibri" w:cs="Calibri" w:eastAsia="Calibri" w:hAnsi="Calibri"/>
          <w:sz w:val="18"/>
          <w:szCs w:val="18"/>
          <w:color w:val="181618"/>
        </w:rPr>
        <w:t>Employee Signature</w:t>
      </w:r>
      <w:r>
        <w:rPr>
          <w:sz w:val="20"/>
          <w:szCs w:val="20"/>
          <w:color w:val="auto"/>
        </w:rPr>
        <w:tab/>
      </w:r>
      <w:r>
        <w:rPr>
          <w:rFonts w:ascii="Calibri" w:cs="Calibri" w:eastAsia="Calibri" w:hAnsi="Calibri"/>
          <w:sz w:val="17"/>
          <w:szCs w:val="17"/>
          <w:color w:val="181618"/>
        </w:rPr>
        <w:t>Date</w:t>
      </w:r>
    </w:p>
    <w:p>
      <w:pPr>
        <w:sectPr>
          <w:pgSz w:w="11900" w:h="16838" w:orient="portrait"/>
          <w:cols w:equalWidth="0" w:num="1">
            <w:col w:w="11240"/>
          </w:cols>
          <w:pgMar w:left="320" w:top="177" w:right="339"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ambria" w:cs="Cambria" w:eastAsia="Cambria" w:hAnsi="Cambria"/>
          <w:sz w:val="22"/>
          <w:szCs w:val="22"/>
          <w:b w:val="1"/>
          <w:bCs w:val="1"/>
          <w:color w:val="auto"/>
        </w:rPr>
        <w:t>Xylem Inc.</w:t>
      </w:r>
    </w:p>
    <w:p>
      <w:pPr>
        <w:spacing w:after="0" w:line="238" w:lineRule="auto"/>
        <w:rPr>
          <w:sz w:val="20"/>
          <w:szCs w:val="20"/>
          <w:color w:val="auto"/>
        </w:rPr>
      </w:pPr>
      <w:r>
        <w:rPr>
          <w:rFonts w:ascii="Cambria" w:cs="Cambria" w:eastAsia="Cambria" w:hAnsi="Cambria"/>
          <w:sz w:val="22"/>
          <w:szCs w:val="22"/>
          <w:b w:val="1"/>
          <w:bCs w:val="1"/>
          <w:color w:val="auto"/>
        </w:rPr>
        <w:t>301 Water Street SE</w:t>
      </w:r>
    </w:p>
    <w:p>
      <w:pPr>
        <w:spacing w:after="0"/>
        <w:rPr>
          <w:sz w:val="20"/>
          <w:szCs w:val="20"/>
          <w:color w:val="auto"/>
        </w:rPr>
      </w:pPr>
      <w:r>
        <w:rPr>
          <w:rFonts w:ascii="Cambria" w:cs="Cambria" w:eastAsia="Cambria" w:hAnsi="Cambria"/>
          <w:sz w:val="22"/>
          <w:szCs w:val="22"/>
          <w:b w:val="1"/>
          <w:bCs w:val="1"/>
          <w:color w:val="auto"/>
        </w:rPr>
        <w:t>Washington, DC, 20003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13335</wp:posOffset>
            </wp:positionV>
            <wp:extent cx="1405890" cy="5657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14058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u w:val="single" w:color="auto"/>
          <w:color w:val="auto"/>
        </w:rPr>
        <w:t>Personal and Confdental</w:t>
      </w:r>
    </w:p>
    <w:p>
      <w:pPr>
        <w:spacing w:after="0" w:line="239"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8"/>
          <w:szCs w:val="18"/>
          <w:color w:val="auto"/>
        </w:rPr>
        <w:t>March 20, 2024</w:t>
      </w:r>
    </w:p>
    <w:p>
      <w:pPr>
        <w:spacing w:after="0" w:line="104" w:lineRule="exact"/>
        <w:rPr>
          <w:sz w:val="20"/>
          <w:szCs w:val="20"/>
          <w:color w:val="auto"/>
        </w:rPr>
      </w:pPr>
    </w:p>
    <w:p>
      <w:pPr>
        <w:spacing w:after="0"/>
        <w:tabs>
          <w:tab w:leader="none" w:pos="520" w:val="left"/>
        </w:tabs>
        <w:rPr>
          <w:sz w:val="20"/>
          <w:szCs w:val="20"/>
          <w:color w:val="auto"/>
        </w:rPr>
      </w:pPr>
      <w:r>
        <w:rPr>
          <w:rFonts w:ascii="Calibri" w:cs="Calibri" w:eastAsia="Calibri" w:hAnsi="Calibri"/>
          <w:sz w:val="18"/>
          <w:szCs w:val="18"/>
          <w:color w:val="auto"/>
        </w:rPr>
        <w:t>To:</w:t>
      </w:r>
      <w:r>
        <w:rPr>
          <w:sz w:val="20"/>
          <w:szCs w:val="20"/>
          <w:color w:val="auto"/>
        </w:rPr>
        <w:tab/>
      </w:r>
      <w:r>
        <w:rPr>
          <w:rFonts w:ascii="Calibri" w:cs="Calibri" w:eastAsia="Calibri" w:hAnsi="Calibri"/>
          <w:sz w:val="18"/>
          <w:szCs w:val="18"/>
          <w:color w:val="auto"/>
        </w:rPr>
        <w:t>Sandy Rowland</w:t>
      </w:r>
    </w:p>
    <w:p>
      <w:pPr>
        <w:spacing w:after="0" w:line="104"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18"/>
          <w:szCs w:val="18"/>
          <w:color w:val="auto"/>
        </w:rPr>
        <w:t>From:</w:t>
      </w:r>
      <w:r>
        <w:rPr>
          <w:sz w:val="20"/>
          <w:szCs w:val="20"/>
          <w:color w:val="auto"/>
        </w:rPr>
        <w:tab/>
      </w:r>
      <w:r>
        <w:rPr>
          <w:rFonts w:ascii="Calibri" w:cs="Calibri" w:eastAsia="Calibri" w:hAnsi="Calibri"/>
          <w:sz w:val="18"/>
          <w:szCs w:val="18"/>
          <w:color w:val="auto"/>
        </w:rPr>
        <w:t>Shan Jarvis</w:t>
      </w:r>
    </w:p>
    <w:p>
      <w:pPr>
        <w:spacing w:after="0" w:line="104" w:lineRule="exact"/>
        <w:rPr>
          <w:sz w:val="20"/>
          <w:szCs w:val="20"/>
          <w:color w:val="auto"/>
        </w:rPr>
      </w:pPr>
    </w:p>
    <w:p>
      <w:pPr>
        <w:spacing w:after="0"/>
        <w:tabs>
          <w:tab w:leader="none" w:pos="880" w:val="left"/>
        </w:tabs>
        <w:rPr>
          <w:sz w:val="20"/>
          <w:szCs w:val="20"/>
          <w:color w:val="auto"/>
        </w:rPr>
      </w:pPr>
      <w:r>
        <w:rPr>
          <w:rFonts w:ascii="Calibri" w:cs="Calibri" w:eastAsia="Calibri" w:hAnsi="Calibri"/>
          <w:sz w:val="18"/>
          <w:szCs w:val="18"/>
          <w:color w:val="auto"/>
        </w:rPr>
        <w:t>Subject:</w:t>
      </w:r>
      <w:r>
        <w:rPr>
          <w:sz w:val="20"/>
          <w:szCs w:val="20"/>
          <w:color w:val="auto"/>
        </w:rPr>
        <w:tab/>
      </w:r>
      <w:r>
        <w:rPr>
          <w:rFonts w:ascii="Calibri" w:cs="Calibri" w:eastAsia="Calibri" w:hAnsi="Calibri"/>
          <w:sz w:val="18"/>
          <w:szCs w:val="18"/>
          <w:color w:val="auto"/>
        </w:rPr>
        <w:t>Separaton Memorandum</w:t>
      </w:r>
    </w:p>
    <w:p>
      <w:pPr>
        <w:spacing w:after="0" w:line="352"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The purpose of this Separaton Memorandum (the "Memorandum") is to confrm our mutual understanding regarding your severance arrangements and separaton from employment from Xylem Inc. ("Xylem" or the "Company") as set forth in this Memorandum and the accompanying Separaton Agreement and General Release (the "Release"), and in accordance with the terms of the Xylem Inc. Senior Executve Severance Pay Plan (the "Severance Plan"). The Severance Plan accompanies these documents and is incorporated herein. We suggest that you review the Severance Plan carefully, along with the Memorandum and the Release, and have them reviewed by your atorney, partcularly since these documents specify eligibility requirements for the receipt of severance pay, and other important provisions. Upon the executon of the Release and expiraton of the review and revocaton period set forth therein, Xylem agrees to make the payments and provide the benefts to you as set forth herein.</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Expiraton of Service and Severance Arrangements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Terminaton Date – </w:t>
      </w:r>
      <w:r>
        <w:rPr>
          <w:rFonts w:ascii="Calibri" w:cs="Calibri" w:eastAsia="Calibri" w:hAnsi="Calibri"/>
          <w:sz w:val="18"/>
          <w:szCs w:val="18"/>
          <w:color w:val="auto"/>
        </w:rPr>
        <w:t>Your last day of employment will be March 31, 2024 (“Terminaton Date”).</w:t>
      </w:r>
    </w:p>
    <w:p>
      <w:pPr>
        <w:spacing w:after="0" w:line="109"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b w:val="1"/>
          <w:bCs w:val="1"/>
          <w:color w:val="auto"/>
        </w:rPr>
        <w:t xml:space="preserve">Severance Pay – </w:t>
      </w:r>
      <w:r>
        <w:rPr>
          <w:rFonts w:ascii="Calibri" w:cs="Calibri" w:eastAsia="Calibri" w:hAnsi="Calibri"/>
          <w:sz w:val="18"/>
          <w:szCs w:val="18"/>
          <w:color w:val="auto"/>
        </w:rPr>
        <w:t>You will be eligible for Severance Pay of 12 months’ salary contnuaton (“Severance Payments”). Xylem will make these Severance Payments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on the Company's regular payroll schedule (currently bi-weekly) for the period from the Terminaton Date through 12 months thereafer ("Severance Period")</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Provided you do not become eligible for disability payments on or prior to your Terminaton Date, you will contnue to receive the Severance Payments at the rate of your current annual base salary of $750,130 through the "Severance End Date", which is the earlier of (i) 12 months from the Terminaton Date or (ii) the date your Severance Payments end in accordance with the "Right to Terminate Benefts" secton of the Severance Plan. In the event that you become disabled on or prior to your Terminaton Date, your enttlement to any short-term disability and/or long-term disability benefts shall be determined in accordance with the applicable disability plans, and the treatment of any such benefts in coordinaton with the Severance Payments will be in accordance with the terms of such disability plans.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You will not be enttled to receive any other pay or any other compensaton from Xylem except as described in this Memorandum.</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818"/>
        </w:rPr>
        <w:t>Long Term Incentve Awards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181818"/>
        </w:rPr>
        <w:t>Details regarding your long-term incentve grants are provided in Exhibit A of the atached Separaton Agreement and General Release. You will receive the net vested shares afer setlement of shares in respect of your tax liability.</w:t>
      </w:r>
    </w:p>
    <w:p>
      <w:pPr>
        <w:sectPr>
          <w:pgSz w:w="11900" w:h="16838" w:orient="portrait"/>
          <w:cols w:equalWidth="0" w:num="1">
            <w:col w:w="11240"/>
          </w:cols>
          <w:pgMar w:left="320" w:top="139" w:right="339" w:bottom="1440" w:gutter="0" w:footer="0" w:header="0"/>
        </w:sectPr>
      </w:pPr>
    </w:p>
    <w:bookmarkStart w:id="140" w:name="page141"/>
    <w:bookmarkEnd w:id="140"/>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181818"/>
        </w:rPr>
        <w:t>You will contnue to have access to your equity grants and holdings through Xylem</w:t>
      </w:r>
      <w:r>
        <w:rPr>
          <w:rFonts w:ascii="Calibri" w:cs="Calibri" w:eastAsia="Calibri" w:hAnsi="Calibri"/>
          <w:sz w:val="18"/>
          <w:szCs w:val="18"/>
          <w:color w:val="3D3B3D"/>
        </w:rPr>
        <w:t>'</w:t>
      </w:r>
      <w:r>
        <w:rPr>
          <w:rFonts w:ascii="Calibri" w:cs="Calibri" w:eastAsia="Calibri" w:hAnsi="Calibri"/>
          <w:sz w:val="18"/>
          <w:szCs w:val="18"/>
          <w:color w:val="181818"/>
        </w:rPr>
        <w:t>s plan administrator</w:t>
      </w:r>
      <w:r>
        <w:rPr>
          <w:rFonts w:ascii="Calibri" w:cs="Calibri" w:eastAsia="Calibri" w:hAnsi="Calibri"/>
          <w:sz w:val="18"/>
          <w:szCs w:val="18"/>
          <w:color w:val="3D3B3D"/>
        </w:rPr>
        <w:t>,</w:t>
      </w:r>
      <w:r>
        <w:rPr>
          <w:rFonts w:ascii="Calibri" w:cs="Calibri" w:eastAsia="Calibri" w:hAnsi="Calibri"/>
          <w:sz w:val="18"/>
          <w:szCs w:val="18"/>
          <w:color w:val="181818"/>
        </w:rPr>
        <w:t xml:space="preserve"> Morgan Stanley. Their contact informaton is </w:t>
      </w:r>
      <w:r>
        <w:rPr>
          <w:rFonts w:ascii="Calibri" w:cs="Calibri" w:eastAsia="Calibri" w:hAnsi="Calibri"/>
          <w:sz w:val="18"/>
          <w:szCs w:val="18"/>
          <w:u w:val="single" w:color="auto"/>
          <w:color w:val="0000FF"/>
        </w:rPr>
        <w:t>www.stockplanconnect.com</w:t>
      </w:r>
      <w:r>
        <w:rPr>
          <w:rFonts w:ascii="Calibri" w:cs="Calibri" w:eastAsia="Calibri" w:hAnsi="Calibri"/>
          <w:sz w:val="18"/>
          <w:szCs w:val="18"/>
          <w:color w:val="0000FF"/>
        </w:rPr>
        <w:t xml:space="preserve"> </w:t>
      </w:r>
      <w:r>
        <w:rPr>
          <w:rFonts w:ascii="Calibri" w:cs="Calibri" w:eastAsia="Calibri" w:hAnsi="Calibri"/>
          <w:sz w:val="18"/>
          <w:szCs w:val="18"/>
          <w:color w:val="181818"/>
        </w:rPr>
        <w:t>or 1-800-367-4777. Seaneen Cline</w:t>
      </w:r>
      <w:r>
        <w:rPr>
          <w:rFonts w:ascii="Calibri" w:cs="Calibri" w:eastAsia="Calibri" w:hAnsi="Calibri"/>
          <w:sz w:val="18"/>
          <w:szCs w:val="18"/>
          <w:color w:val="0000FF"/>
        </w:rPr>
        <w:t xml:space="preserve"> </w:t>
      </w:r>
      <w:r>
        <w:rPr>
          <w:rFonts w:ascii="Calibri" w:cs="Calibri" w:eastAsia="Calibri" w:hAnsi="Calibri"/>
          <w:sz w:val="18"/>
          <w:szCs w:val="18"/>
          <w:color w:val="2D2B2D"/>
        </w:rPr>
        <w:t>can</w:t>
      </w:r>
      <w:r>
        <w:rPr>
          <w:rFonts w:ascii="Calibri" w:cs="Calibri" w:eastAsia="Calibri" w:hAnsi="Calibri"/>
          <w:sz w:val="18"/>
          <w:szCs w:val="18"/>
          <w:color w:val="0000FF"/>
        </w:rPr>
        <w:t xml:space="preserve"> </w:t>
      </w:r>
      <w:r>
        <w:rPr>
          <w:rFonts w:ascii="Calibri" w:cs="Calibri" w:eastAsia="Calibri" w:hAnsi="Calibri"/>
          <w:sz w:val="18"/>
          <w:szCs w:val="18"/>
          <w:color w:val="181818"/>
        </w:rPr>
        <w:t>also assist with any questons. Seaneen can be reached at</w:t>
      </w:r>
      <w:r>
        <w:rPr>
          <w:rFonts w:ascii="Calibri" w:cs="Calibri" w:eastAsia="Calibri" w:hAnsi="Calibri"/>
          <w:sz w:val="18"/>
          <w:szCs w:val="18"/>
          <w:color w:val="0000FF"/>
        </w:rPr>
        <w:t xml:space="preserve"> </w:t>
      </w:r>
      <w:r>
        <w:rPr>
          <w:rFonts w:ascii="Calibri" w:cs="Calibri" w:eastAsia="Calibri" w:hAnsi="Calibri"/>
          <w:sz w:val="18"/>
          <w:szCs w:val="18"/>
          <w:u w:val="single" w:color="auto"/>
          <w:color w:val="0000FF"/>
        </w:rPr>
        <w:t>Seaneen.Cline@xylem.com</w:t>
      </w:r>
      <w:r>
        <w:rPr>
          <w:rFonts w:ascii="Calibri" w:cs="Calibri" w:eastAsia="Calibri" w:hAnsi="Calibri"/>
          <w:sz w:val="18"/>
          <w:szCs w:val="18"/>
          <w:color w:val="0000FF"/>
        </w:rPr>
        <w:t xml:space="preserve"> </w:t>
      </w:r>
      <w:r>
        <w:rPr>
          <w:rFonts w:ascii="Calibri" w:cs="Calibri" w:eastAsia="Calibri" w:hAnsi="Calibri"/>
          <w:sz w:val="18"/>
          <w:szCs w:val="18"/>
          <w:color w:val="181818"/>
        </w:rPr>
        <w:t>or</w:t>
      </w:r>
      <w:r>
        <w:rPr>
          <w:rFonts w:ascii="Calibri" w:cs="Calibri" w:eastAsia="Calibri" w:hAnsi="Calibri"/>
          <w:sz w:val="18"/>
          <w:szCs w:val="18"/>
          <w:color w:val="0000FF"/>
        </w:rPr>
        <w:t xml:space="preserve"> </w:t>
      </w:r>
      <w:r>
        <w:rPr>
          <w:rFonts w:ascii="Calibri" w:cs="Calibri" w:eastAsia="Calibri" w:hAnsi="Calibri"/>
          <w:sz w:val="18"/>
          <w:szCs w:val="18"/>
          <w:color w:val="181818"/>
        </w:rPr>
        <w:t>1-724-772-1219.</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818"/>
        </w:rPr>
        <w:t>Outplacement Services</w:t>
      </w:r>
    </w:p>
    <w:p>
      <w:pPr>
        <w:spacing w:after="0" w:line="10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u w:val="single" w:color="auto"/>
          <w:color w:val="181818"/>
        </w:rPr>
        <w:t>I</w:t>
      </w:r>
      <w:r>
        <w:rPr>
          <w:rFonts w:ascii="Calibri" w:cs="Calibri" w:eastAsia="Calibri" w:hAnsi="Calibri"/>
          <w:sz w:val="18"/>
          <w:szCs w:val="18"/>
          <w:color w:val="181818"/>
        </w:rPr>
        <w:t>n lieu of outplacement services, the Company will make a payment to you of $5,000 (subject to all applicable taxes). The payment will be made by the next payroll date afer your Terminaton Date.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818"/>
        </w:rPr>
        <w:t>Workday</w:t>
      </w:r>
    </w:p>
    <w:p>
      <w:pPr>
        <w:spacing w:after="0" w:line="109" w:lineRule="exact"/>
        <w:rPr>
          <w:sz w:val="20"/>
          <w:szCs w:val="20"/>
          <w:color w:val="auto"/>
        </w:rPr>
      </w:pPr>
    </w:p>
    <w:p>
      <w:pPr>
        <w:jc w:val="both"/>
        <w:ind w:right="20"/>
        <w:spacing w:after="0"/>
        <w:rPr>
          <w:sz w:val="20"/>
          <w:szCs w:val="20"/>
          <w:color w:val="auto"/>
        </w:rPr>
      </w:pPr>
      <w:r>
        <w:rPr>
          <w:rFonts w:ascii="Calibri" w:cs="Calibri" w:eastAsia="Calibri" w:hAnsi="Calibri"/>
          <w:sz w:val="18"/>
          <w:szCs w:val="18"/>
          <w:color w:val="181818"/>
        </w:rPr>
        <w:t xml:space="preserve">You will contnue to have access to Workday afer your terminaton. Prior to your departure, please review Workday to make sure your personal email address has been entered into the system. You can also reach out to People Operatons at </w:t>
      </w:r>
      <w:r>
        <w:rPr>
          <w:rFonts w:ascii="Calibri" w:cs="Calibri" w:eastAsia="Calibri" w:hAnsi="Calibri"/>
          <w:sz w:val="18"/>
          <w:szCs w:val="18"/>
          <w:u w:val="single" w:color="auto"/>
          <w:color w:val="0000FF"/>
        </w:rPr>
        <w:t>askhrus@xylem.com</w:t>
      </w:r>
      <w:r>
        <w:rPr>
          <w:rFonts w:ascii="Calibri" w:cs="Calibri" w:eastAsia="Calibri" w:hAnsi="Calibri"/>
          <w:sz w:val="18"/>
          <w:szCs w:val="18"/>
          <w:color w:val="181818"/>
        </w:rPr>
        <w:t xml:space="preserve"> to assist with updatng Workday with your personal email address.</w:t>
      </w:r>
    </w:p>
    <w:p>
      <w:pPr>
        <w:spacing w:after="0" w:line="110" w:lineRule="exact"/>
        <w:rPr>
          <w:sz w:val="20"/>
          <w:szCs w:val="20"/>
          <w:color w:val="auto"/>
        </w:rPr>
      </w:pPr>
    </w:p>
    <w:p>
      <w:pPr>
        <w:jc w:val="both"/>
        <w:spacing w:after="0"/>
        <w:rPr>
          <w:sz w:val="20"/>
          <w:szCs w:val="20"/>
          <w:color w:val="auto"/>
        </w:rPr>
      </w:pPr>
      <w:r>
        <w:rPr>
          <w:rFonts w:ascii="Calibri" w:cs="Calibri" w:eastAsia="Calibri" w:hAnsi="Calibri"/>
          <w:sz w:val="18"/>
          <w:szCs w:val="18"/>
          <w:color w:val="181818"/>
        </w:rPr>
        <w:t xml:space="preserve">If needed, afer your Terminaton Date, please reach out to People Operatons at </w:t>
      </w:r>
      <w:r>
        <w:rPr>
          <w:rFonts w:ascii="Calibri" w:cs="Calibri" w:eastAsia="Calibri" w:hAnsi="Calibri"/>
          <w:sz w:val="18"/>
          <w:szCs w:val="18"/>
          <w:u w:val="single" w:color="auto"/>
          <w:color w:val="0000FF"/>
        </w:rPr>
        <w:t>askhrus@xylem.com</w:t>
      </w:r>
      <w:r>
        <w:rPr>
          <w:rFonts w:ascii="Calibri" w:cs="Calibri" w:eastAsia="Calibri" w:hAnsi="Calibri"/>
          <w:sz w:val="18"/>
          <w:szCs w:val="18"/>
          <w:color w:val="181818"/>
        </w:rPr>
        <w:t xml:space="preserve"> to have a temporary password generated and sent to your personal email address. You can access Workday at </w:t>
      </w:r>
      <w:r>
        <w:rPr>
          <w:rFonts w:ascii="Calibri" w:cs="Calibri" w:eastAsia="Calibri" w:hAnsi="Calibri"/>
          <w:sz w:val="18"/>
          <w:szCs w:val="18"/>
          <w:u w:val="single" w:color="auto"/>
          <w:color w:val="0000FF"/>
        </w:rPr>
        <w:t>htps://wd5.myworkday.com/xylem</w:t>
      </w:r>
      <w:r>
        <w:rPr>
          <w:rFonts w:ascii="Calibri" w:cs="Calibri" w:eastAsia="Calibri" w:hAnsi="Calibri"/>
          <w:sz w:val="18"/>
          <w:szCs w:val="18"/>
          <w:color w:val="181818"/>
        </w:rPr>
        <w:t xml:space="preserve"> and you will need to select Natve Login to log into Workday. Your user name will be the same user name used as an actve employee with Xylem.</w:t>
      </w:r>
    </w:p>
    <w:p>
      <w:pPr>
        <w:spacing w:after="0" w:line="12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181818"/>
        </w:rPr>
        <w:t>Pay Statements and W2 statements for calendar year 2021 and beyond should be accessed through Workday. We encourage you to update your address if needed to assure important informaton, including year-end W2 forms, are sent to the correct address in the future.</w:t>
      </w:r>
    </w:p>
    <w:p>
      <w:pPr>
        <w:spacing w:after="0" w:line="123" w:lineRule="exact"/>
        <w:rPr>
          <w:sz w:val="20"/>
          <w:szCs w:val="20"/>
          <w:color w:val="auto"/>
        </w:rPr>
      </w:pPr>
    </w:p>
    <w:p>
      <w:pPr>
        <w:ind w:right="520"/>
        <w:spacing w:after="0" w:line="348" w:lineRule="auto"/>
        <w:rPr>
          <w:sz w:val="20"/>
          <w:szCs w:val="20"/>
          <w:color w:val="auto"/>
        </w:rPr>
      </w:pPr>
      <w:r>
        <w:rPr>
          <w:rFonts w:ascii="Calibri" w:cs="Calibri" w:eastAsia="Calibri" w:hAnsi="Calibri"/>
          <w:sz w:val="18"/>
          <w:szCs w:val="18"/>
          <w:color w:val="181818"/>
        </w:rPr>
        <w:t xml:space="preserve">For W2 statements, pay stubs, or earning/deducton details for the year 2020 and prior, please reach out to People Operatons at </w:t>
      </w:r>
      <w:r>
        <w:rPr>
          <w:rFonts w:ascii="Calibri" w:cs="Calibri" w:eastAsia="Calibri" w:hAnsi="Calibri"/>
          <w:sz w:val="18"/>
          <w:szCs w:val="18"/>
          <w:u w:val="single" w:color="auto"/>
          <w:color w:val="0000FF"/>
        </w:rPr>
        <w:t>askhrus@xylem.com</w:t>
      </w:r>
      <w:r>
        <w:rPr>
          <w:rFonts w:ascii="Calibri" w:cs="Calibri" w:eastAsia="Calibri" w:hAnsi="Calibri"/>
          <w:sz w:val="18"/>
          <w:szCs w:val="18"/>
          <w:color w:val="181818"/>
        </w:rPr>
        <w:t xml:space="preserve">. </w:t>
      </w:r>
      <w:r>
        <w:rPr>
          <w:rFonts w:ascii="Calibri" w:cs="Calibri" w:eastAsia="Calibri" w:hAnsi="Calibri"/>
          <w:sz w:val="18"/>
          <w:szCs w:val="18"/>
          <w:b w:val="1"/>
          <w:bCs w:val="1"/>
          <w:u w:val="single" w:color="auto"/>
          <w:color w:val="181818"/>
        </w:rPr>
        <w:t>Beneft Plans</w:t>
      </w:r>
    </w:p>
    <w:p>
      <w:pPr>
        <w:spacing w:after="0" w:line="11"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b w:val="1"/>
          <w:bCs w:val="1"/>
          <w:color w:val="181818"/>
        </w:rPr>
        <w:t xml:space="preserve">Beneft Plan Eligibility </w:t>
      </w:r>
      <w:r>
        <w:rPr>
          <w:rFonts w:ascii="Calibri" w:cs="Calibri" w:eastAsia="Calibri" w:hAnsi="Calibri"/>
          <w:sz w:val="18"/>
          <w:szCs w:val="18"/>
          <w:color w:val="2D2B2D"/>
        </w:rPr>
        <w:t>–</w:t>
      </w:r>
      <w:r>
        <w:rPr>
          <w:rFonts w:ascii="Calibri" w:cs="Calibri" w:eastAsia="Calibri" w:hAnsi="Calibri"/>
          <w:sz w:val="18"/>
          <w:szCs w:val="18"/>
          <w:b w:val="1"/>
          <w:bCs w:val="1"/>
          <w:color w:val="181818"/>
        </w:rPr>
        <w:t xml:space="preserve"> </w:t>
      </w:r>
      <w:r>
        <w:rPr>
          <w:rFonts w:ascii="Calibri" w:cs="Calibri" w:eastAsia="Calibri" w:hAnsi="Calibri"/>
          <w:sz w:val="18"/>
          <w:szCs w:val="18"/>
          <w:color w:val="181818"/>
        </w:rPr>
        <w:t>Your eligibility for</w:t>
      </w:r>
      <w:r>
        <w:rPr>
          <w:rFonts w:ascii="Calibri" w:cs="Calibri" w:eastAsia="Calibri" w:hAnsi="Calibri"/>
          <w:sz w:val="18"/>
          <w:szCs w:val="18"/>
          <w:b w:val="1"/>
          <w:bCs w:val="1"/>
          <w:color w:val="181818"/>
        </w:rPr>
        <w:t xml:space="preserve"> </w:t>
      </w:r>
      <w:r>
        <w:rPr>
          <w:rFonts w:ascii="Calibri" w:cs="Calibri" w:eastAsia="Calibri" w:hAnsi="Calibri"/>
          <w:sz w:val="18"/>
          <w:szCs w:val="18"/>
          <w:color w:val="2D2B2D"/>
        </w:rPr>
        <w:t>certain</w:t>
      </w:r>
      <w:r>
        <w:rPr>
          <w:rFonts w:ascii="Calibri" w:cs="Calibri" w:eastAsia="Calibri" w:hAnsi="Calibri"/>
          <w:sz w:val="18"/>
          <w:szCs w:val="18"/>
          <w:b w:val="1"/>
          <w:bCs w:val="1"/>
          <w:color w:val="181818"/>
        </w:rPr>
        <w:t xml:space="preserve"> </w:t>
      </w:r>
      <w:r>
        <w:rPr>
          <w:rFonts w:ascii="Calibri" w:cs="Calibri" w:eastAsia="Calibri" w:hAnsi="Calibri"/>
          <w:sz w:val="18"/>
          <w:szCs w:val="18"/>
          <w:color w:val="181818"/>
        </w:rPr>
        <w:t>employee beneft plans outlined in subsequent paragraphs of this Memorandum is</w:t>
      </w:r>
      <w:r>
        <w:rPr>
          <w:rFonts w:ascii="Calibri" w:cs="Calibri" w:eastAsia="Calibri" w:hAnsi="Calibri"/>
          <w:sz w:val="18"/>
          <w:szCs w:val="18"/>
          <w:b w:val="1"/>
          <w:bCs w:val="1"/>
          <w:color w:val="181818"/>
        </w:rPr>
        <w:t xml:space="preserve"> </w:t>
      </w:r>
      <w:r>
        <w:rPr>
          <w:rFonts w:ascii="Calibri" w:cs="Calibri" w:eastAsia="Calibri" w:hAnsi="Calibri"/>
          <w:sz w:val="18"/>
          <w:szCs w:val="18"/>
          <w:color w:val="2D2B2D"/>
        </w:rPr>
        <w:t>subject</w:t>
      </w:r>
      <w:r>
        <w:rPr>
          <w:rFonts w:ascii="Calibri" w:cs="Calibri" w:eastAsia="Calibri" w:hAnsi="Calibri"/>
          <w:sz w:val="18"/>
          <w:szCs w:val="18"/>
          <w:b w:val="1"/>
          <w:bCs w:val="1"/>
          <w:color w:val="181818"/>
        </w:rPr>
        <w:t xml:space="preserve"> </w:t>
      </w:r>
      <w:r>
        <w:rPr>
          <w:rFonts w:ascii="Calibri" w:cs="Calibri" w:eastAsia="Calibri" w:hAnsi="Calibri"/>
          <w:sz w:val="18"/>
          <w:szCs w:val="18"/>
          <w:color w:val="181818"/>
        </w:rPr>
        <w:t>to the actual</w:t>
      </w:r>
      <w:r>
        <w:rPr>
          <w:rFonts w:ascii="Calibri" w:cs="Calibri" w:eastAsia="Calibri" w:hAnsi="Calibri"/>
          <w:sz w:val="18"/>
          <w:szCs w:val="18"/>
          <w:b w:val="1"/>
          <w:bCs w:val="1"/>
          <w:color w:val="181818"/>
        </w:rPr>
        <w:t xml:space="preserve"> </w:t>
      </w:r>
      <w:r>
        <w:rPr>
          <w:rFonts w:ascii="Calibri" w:cs="Calibri" w:eastAsia="Calibri" w:hAnsi="Calibri"/>
          <w:sz w:val="18"/>
          <w:szCs w:val="18"/>
          <w:color w:val="181818"/>
        </w:rPr>
        <w:t xml:space="preserve">terms of the applicable plan documents. You will not be enttled to any benefts or perquisites beyond those specifcally described in this Memorandum. In the event of revisions to any or all of the subject beneft plans, your </w:t>
      </w:r>
      <w:r>
        <w:rPr>
          <w:rFonts w:ascii="Calibri" w:cs="Calibri" w:eastAsia="Calibri" w:hAnsi="Calibri"/>
          <w:sz w:val="18"/>
          <w:szCs w:val="18"/>
          <w:color w:val="3D3B3D"/>
        </w:rPr>
        <w:t>b</w:t>
      </w:r>
      <w:r>
        <w:rPr>
          <w:rFonts w:ascii="Calibri" w:cs="Calibri" w:eastAsia="Calibri" w:hAnsi="Calibri"/>
          <w:sz w:val="18"/>
          <w:szCs w:val="18"/>
          <w:color w:val="181818"/>
        </w:rPr>
        <w:t xml:space="preserve">enefts will not be diminished except in accordance </w:t>
      </w:r>
      <w:r>
        <w:rPr>
          <w:rFonts w:ascii="Calibri" w:cs="Calibri" w:eastAsia="Calibri" w:hAnsi="Calibri"/>
          <w:sz w:val="18"/>
          <w:szCs w:val="18"/>
          <w:color w:val="2D2B2D"/>
        </w:rPr>
        <w:t>with</w:t>
      </w:r>
      <w:r>
        <w:rPr>
          <w:rFonts w:ascii="Calibri" w:cs="Calibri" w:eastAsia="Calibri" w:hAnsi="Calibri"/>
          <w:sz w:val="18"/>
          <w:szCs w:val="18"/>
          <w:color w:val="181818"/>
        </w:rPr>
        <w:t xml:space="preserve"> the changes that </w:t>
      </w:r>
      <w:r>
        <w:rPr>
          <w:rFonts w:ascii="Calibri" w:cs="Calibri" w:eastAsia="Calibri" w:hAnsi="Calibri"/>
          <w:sz w:val="18"/>
          <w:szCs w:val="18"/>
          <w:color w:val="2D2B2D"/>
        </w:rPr>
        <w:t>are</w:t>
      </w:r>
      <w:r>
        <w:rPr>
          <w:rFonts w:ascii="Calibri" w:cs="Calibri" w:eastAsia="Calibri" w:hAnsi="Calibri"/>
          <w:sz w:val="18"/>
          <w:szCs w:val="18"/>
          <w:color w:val="181818"/>
        </w:rPr>
        <w:t xml:space="preserve"> generally applicable to all similarly situated beneft plan partcipants.</w:t>
      </w:r>
    </w:p>
    <w:p>
      <w:pPr>
        <w:spacing w:after="0" w:line="119"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181818"/>
        </w:rPr>
        <w:t xml:space="preserve">Xylem Retrement Savings Plan (RSP) </w:t>
      </w:r>
      <w:r>
        <w:rPr>
          <w:rFonts w:ascii="Calibri" w:cs="Calibri" w:eastAsia="Calibri" w:hAnsi="Calibri"/>
          <w:sz w:val="18"/>
          <w:szCs w:val="18"/>
          <w:color w:val="181818"/>
        </w:rPr>
        <w:t>– Your contributons and</w:t>
      </w:r>
      <w:r>
        <w:rPr>
          <w:rFonts w:ascii="Calibri" w:cs="Calibri" w:eastAsia="Calibri" w:hAnsi="Calibri"/>
          <w:sz w:val="18"/>
          <w:szCs w:val="18"/>
          <w:b w:val="1"/>
          <w:bCs w:val="1"/>
          <w:color w:val="181818"/>
        </w:rPr>
        <w:t xml:space="preserve"> </w:t>
      </w:r>
      <w:r>
        <w:rPr>
          <w:rFonts w:ascii="Calibri" w:cs="Calibri" w:eastAsia="Calibri" w:hAnsi="Calibri"/>
          <w:sz w:val="18"/>
          <w:szCs w:val="18"/>
          <w:color w:val="3D3B3D"/>
        </w:rPr>
        <w:t>C</w:t>
      </w:r>
      <w:r>
        <w:rPr>
          <w:rFonts w:ascii="Calibri" w:cs="Calibri" w:eastAsia="Calibri" w:hAnsi="Calibri"/>
          <w:sz w:val="18"/>
          <w:szCs w:val="18"/>
          <w:color w:val="181818"/>
        </w:rPr>
        <w:t>ompany matching and core contributons to the RSP</w:t>
      </w:r>
      <w:r>
        <w:rPr>
          <w:rFonts w:ascii="Calibri" w:cs="Calibri" w:eastAsia="Calibri" w:hAnsi="Calibri"/>
          <w:sz w:val="18"/>
          <w:szCs w:val="18"/>
          <w:b w:val="1"/>
          <w:bCs w:val="1"/>
          <w:color w:val="181818"/>
        </w:rPr>
        <w:t xml:space="preserve"> </w:t>
      </w:r>
      <w:r>
        <w:rPr>
          <w:rFonts w:ascii="Calibri" w:cs="Calibri" w:eastAsia="Calibri" w:hAnsi="Calibri"/>
          <w:sz w:val="18"/>
          <w:szCs w:val="18"/>
          <w:color w:val="2D2B2D"/>
        </w:rPr>
        <w:t>will</w:t>
      </w:r>
      <w:r>
        <w:rPr>
          <w:rFonts w:ascii="Calibri" w:cs="Calibri" w:eastAsia="Calibri" w:hAnsi="Calibri"/>
          <w:sz w:val="18"/>
          <w:szCs w:val="18"/>
          <w:b w:val="1"/>
          <w:bCs w:val="1"/>
          <w:color w:val="181818"/>
        </w:rPr>
        <w:t xml:space="preserve"> </w:t>
      </w:r>
      <w:r>
        <w:rPr>
          <w:rFonts w:ascii="Calibri" w:cs="Calibri" w:eastAsia="Calibri" w:hAnsi="Calibri"/>
          <w:sz w:val="18"/>
          <w:szCs w:val="18"/>
          <w:color w:val="181818"/>
        </w:rPr>
        <w:t>cease as of your Separaton</w:t>
      </w:r>
    </w:p>
    <w:p>
      <w:pPr>
        <w:spacing w:after="0" w:line="68" w:lineRule="exact"/>
        <w:rPr>
          <w:rFonts w:ascii="Times New Roman" w:cs="Times New Roman" w:eastAsia="Times New Roman" w:hAnsi="Times New Roman"/>
          <w:sz w:val="18"/>
          <w:szCs w:val="18"/>
          <w:color w:val="auto"/>
        </w:rPr>
      </w:pPr>
    </w:p>
    <w:p>
      <w:pPr>
        <w:ind w:left="340"/>
        <w:spacing w:after="0" w:line="235" w:lineRule="auto"/>
        <w:rPr>
          <w:rFonts w:ascii="Times New Roman" w:cs="Times New Roman" w:eastAsia="Times New Roman" w:hAnsi="Times New Roman"/>
          <w:sz w:val="18"/>
          <w:szCs w:val="18"/>
          <w:color w:val="auto"/>
        </w:rPr>
      </w:pPr>
      <w:r>
        <w:rPr>
          <w:rFonts w:ascii="Calibri" w:cs="Calibri" w:eastAsia="Calibri" w:hAnsi="Calibri"/>
          <w:sz w:val="18"/>
          <w:szCs w:val="18"/>
          <w:color w:val="181818"/>
        </w:rPr>
        <w:t>Date. Please contact Fidelity at 1</w:t>
      </w:r>
      <w:r>
        <w:rPr>
          <w:rFonts w:ascii="Calibri" w:cs="Calibri" w:eastAsia="Calibri" w:hAnsi="Calibri"/>
          <w:sz w:val="18"/>
          <w:szCs w:val="18"/>
          <w:color w:val="3D3B3D"/>
        </w:rPr>
        <w:t>-</w:t>
      </w:r>
      <w:r>
        <w:rPr>
          <w:rFonts w:ascii="Calibri" w:cs="Calibri" w:eastAsia="Calibri" w:hAnsi="Calibri"/>
          <w:sz w:val="18"/>
          <w:szCs w:val="18"/>
          <w:color w:val="181818"/>
        </w:rPr>
        <w:t>800</w:t>
      </w:r>
      <w:r>
        <w:rPr>
          <w:rFonts w:ascii="Calibri" w:cs="Calibri" w:eastAsia="Calibri" w:hAnsi="Calibri"/>
          <w:sz w:val="18"/>
          <w:szCs w:val="18"/>
          <w:color w:val="3D3B3D"/>
        </w:rPr>
        <w:t>-</w:t>
      </w:r>
      <w:r>
        <w:rPr>
          <w:rFonts w:ascii="Calibri" w:cs="Calibri" w:eastAsia="Calibri" w:hAnsi="Calibri"/>
          <w:sz w:val="18"/>
          <w:szCs w:val="18"/>
          <w:color w:val="181818"/>
        </w:rPr>
        <w:t>835</w:t>
      </w:r>
      <w:r>
        <w:rPr>
          <w:rFonts w:ascii="Calibri" w:cs="Calibri" w:eastAsia="Calibri" w:hAnsi="Calibri"/>
          <w:sz w:val="18"/>
          <w:szCs w:val="18"/>
          <w:color w:val="57595B"/>
        </w:rPr>
        <w:t>-</w:t>
      </w:r>
      <w:r>
        <w:rPr>
          <w:rFonts w:ascii="Calibri" w:cs="Calibri" w:eastAsia="Calibri" w:hAnsi="Calibri"/>
          <w:sz w:val="18"/>
          <w:szCs w:val="18"/>
          <w:color w:val="181818"/>
        </w:rPr>
        <w:t xml:space="preserve">5095 or online at </w:t>
      </w:r>
      <w:r>
        <w:rPr>
          <w:rFonts w:ascii="Calibri" w:cs="Calibri" w:eastAsia="Calibri" w:hAnsi="Calibri"/>
          <w:sz w:val="18"/>
          <w:szCs w:val="18"/>
          <w:u w:val="single" w:color="auto"/>
          <w:color w:val="0000FF"/>
        </w:rPr>
        <w:t>www.netbenefts.com</w:t>
      </w:r>
      <w:r>
        <w:rPr>
          <w:rFonts w:ascii="Calibri" w:cs="Calibri" w:eastAsia="Calibri" w:hAnsi="Calibri"/>
          <w:sz w:val="18"/>
          <w:szCs w:val="18"/>
          <w:color w:val="181818"/>
        </w:rPr>
        <w:t xml:space="preserve"> to </w:t>
      </w:r>
      <w:r>
        <w:rPr>
          <w:rFonts w:ascii="Calibri" w:cs="Calibri" w:eastAsia="Calibri" w:hAnsi="Calibri"/>
          <w:sz w:val="18"/>
          <w:szCs w:val="18"/>
          <w:color w:val="2D2B2D"/>
        </w:rPr>
        <w:t>review</w:t>
      </w:r>
      <w:r>
        <w:rPr>
          <w:rFonts w:ascii="Calibri" w:cs="Calibri" w:eastAsia="Calibri" w:hAnsi="Calibri"/>
          <w:sz w:val="18"/>
          <w:szCs w:val="18"/>
          <w:color w:val="181818"/>
        </w:rPr>
        <w:t xml:space="preserve"> your distributon optons efectve as of the start date of your Severance Period. In additon, please reach out to Fidelity with any address changes so they can update your Fidelity account.</w:t>
      </w:r>
    </w:p>
    <w:p>
      <w:pPr>
        <w:spacing w:after="0" w:line="136"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35"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181818"/>
        </w:rPr>
        <w:t xml:space="preserve">Xylem Supplemental Retrement Savings Plan (SRSP) </w:t>
      </w:r>
      <w:r>
        <w:rPr>
          <w:rFonts w:ascii="Calibri" w:cs="Calibri" w:eastAsia="Calibri" w:hAnsi="Calibri"/>
          <w:sz w:val="18"/>
          <w:szCs w:val="18"/>
          <w:color w:val="181818"/>
        </w:rPr>
        <w:t>– Company contributons will cease as of your Separaton Date. The balance will be automatcally</w:t>
      </w:r>
      <w:r>
        <w:rPr>
          <w:rFonts w:ascii="Calibri" w:cs="Calibri" w:eastAsia="Calibri" w:hAnsi="Calibri"/>
          <w:sz w:val="18"/>
          <w:szCs w:val="18"/>
          <w:b w:val="1"/>
          <w:bCs w:val="1"/>
          <w:color w:val="181818"/>
        </w:rPr>
        <w:t xml:space="preserve"> </w:t>
      </w:r>
      <w:r>
        <w:rPr>
          <w:rFonts w:ascii="Calibri" w:cs="Calibri" w:eastAsia="Calibri" w:hAnsi="Calibri"/>
          <w:sz w:val="18"/>
          <w:szCs w:val="18"/>
          <w:color w:val="181818"/>
        </w:rPr>
        <w:t>disbursed on the frst business day of the month following six (6) months from your Separaton Date and will be paid to you on the next regular payroll date, subject to applicable tax withholding. The balance is not rollover-eligible. The disbursement will be included as ordinary income on your Form W-2 from Xylem.</w:t>
      </w:r>
    </w:p>
    <w:p>
      <w:pPr>
        <w:spacing w:after="0" w:line="123"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35" w:val="left"/>
        </w:tabs>
        <w:numPr>
          <w:ilvl w:val="0"/>
          <w:numId w:val="42"/>
        </w:numPr>
        <w:rPr>
          <w:rFonts w:ascii="Times New Roman" w:cs="Times New Roman" w:eastAsia="Times New Roman" w:hAnsi="Times New Roman"/>
          <w:sz w:val="18"/>
          <w:szCs w:val="18"/>
          <w:color w:val="161616"/>
        </w:rPr>
      </w:pPr>
      <w:r>
        <w:rPr>
          <w:rFonts w:ascii="Calibri" w:cs="Calibri" w:eastAsia="Calibri" w:hAnsi="Calibri"/>
          <w:sz w:val="18"/>
          <w:szCs w:val="18"/>
          <w:b w:val="1"/>
          <w:bCs w:val="1"/>
          <w:color w:val="181818"/>
        </w:rPr>
        <w:t xml:space="preserve">Medical, Dental and Vision Plans </w:t>
      </w:r>
      <w:r>
        <w:rPr>
          <w:rFonts w:ascii="Calibri" w:cs="Calibri" w:eastAsia="Calibri" w:hAnsi="Calibri"/>
          <w:sz w:val="18"/>
          <w:szCs w:val="18"/>
          <w:color w:val="181818"/>
        </w:rPr>
        <w:t>–</w:t>
      </w:r>
      <w:r>
        <w:rPr>
          <w:rFonts w:ascii="Calibri" w:cs="Calibri" w:eastAsia="Calibri" w:hAnsi="Calibri"/>
          <w:sz w:val="18"/>
          <w:szCs w:val="18"/>
          <w:b w:val="1"/>
          <w:bCs w:val="1"/>
          <w:color w:val="181818"/>
        </w:rPr>
        <w:t xml:space="preserve"> </w:t>
      </w:r>
      <w:r>
        <w:rPr>
          <w:rFonts w:ascii="Calibri" w:cs="Calibri" w:eastAsia="Calibri" w:hAnsi="Calibri"/>
          <w:sz w:val="18"/>
          <w:szCs w:val="18"/>
          <w:color w:val="161616"/>
        </w:rPr>
        <w:t>Your current Medical, Dental and Vision coverage under the Xylem plans will cease on your Separaton Date. Startng</w:t>
      </w:r>
      <w:r>
        <w:rPr>
          <w:rFonts w:ascii="Calibri" w:cs="Calibri" w:eastAsia="Calibri" w:hAnsi="Calibri"/>
          <w:sz w:val="18"/>
          <w:szCs w:val="18"/>
          <w:b w:val="1"/>
          <w:bCs w:val="1"/>
          <w:color w:val="181818"/>
        </w:rPr>
        <w:t xml:space="preserve"> </w:t>
      </w:r>
      <w:r>
        <w:rPr>
          <w:rFonts w:ascii="Calibri" w:cs="Calibri" w:eastAsia="Calibri" w:hAnsi="Calibri"/>
          <w:sz w:val="18"/>
          <w:szCs w:val="18"/>
          <w:color w:val="161616"/>
        </w:rPr>
        <w:t>April 1, 2024, you will be eligible to elect contnuaton of coverage under COBRA for a maximum period of 18 months – the cost for Medical (including prescripton drug), Dental, and Vision plans will contnue at the same rates as an actve employee during the Severance Period, provided all terms and conditons of the Separaton Agreement and General Release have been met.</w:t>
      </w:r>
    </w:p>
    <w:p>
      <w:pPr>
        <w:spacing w:after="0" w:line="123" w:lineRule="exact"/>
        <w:rPr>
          <w:rFonts w:ascii="Times New Roman" w:cs="Times New Roman" w:eastAsia="Times New Roman" w:hAnsi="Times New Roman"/>
          <w:sz w:val="18"/>
          <w:szCs w:val="18"/>
          <w:color w:val="161616"/>
        </w:rPr>
      </w:pPr>
    </w:p>
    <w:p>
      <w:pPr>
        <w:jc w:val="both"/>
        <w:ind w:left="340"/>
        <w:spacing w:after="0" w:line="239" w:lineRule="auto"/>
        <w:rPr>
          <w:rFonts w:ascii="Times New Roman" w:cs="Times New Roman" w:eastAsia="Times New Roman" w:hAnsi="Times New Roman"/>
          <w:sz w:val="18"/>
          <w:szCs w:val="18"/>
          <w:color w:val="161616"/>
        </w:rPr>
      </w:pPr>
      <w:r>
        <w:rPr>
          <w:rFonts w:ascii="Calibri" w:cs="Calibri" w:eastAsia="Calibri" w:hAnsi="Calibri"/>
          <w:sz w:val="18"/>
          <w:szCs w:val="18"/>
          <w:color w:val="161616"/>
        </w:rPr>
        <w:t>To contnue coverage under COBRA, you will be required to make the monthly subsidized premium payments directly to PayFlex, Xylem’s COBRA administrator. If you wish to contnue your current coverages, please complete the COBRA Enrollment Form and return it to PayFlex within the tmeframe indicated in the leter. COBRA paperwork is generally mailed to partcipants approximately two weeks following the coverage terminaton date directly from PayFlex. Should you want to contact PayFlex directly regarding COBRA and get</w:t>
      </w:r>
    </w:p>
    <w:p>
      <w:pPr>
        <w:sectPr>
          <w:pgSz w:w="11900" w:h="16838" w:orient="portrait"/>
          <w:cols w:equalWidth="0" w:num="1">
            <w:col w:w="11240"/>
          </w:cols>
          <w:pgMar w:left="320" w:top="112" w:right="339" w:bottom="1440" w:gutter="0" w:footer="0" w:header="0"/>
        </w:sectPr>
      </w:pPr>
    </w:p>
    <w:bookmarkStart w:id="141" w:name="page142"/>
    <w:bookmarkEnd w:id="141"/>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Calibri" w:cs="Calibri" w:eastAsia="Calibri" w:hAnsi="Calibri"/>
          <w:sz w:val="17"/>
          <w:szCs w:val="17"/>
          <w:color w:val="161616"/>
        </w:rPr>
        <w:t>the process started prior to receiving your paperwork, their phone number is 844-729-3539 and the online registraton is available at www.payfex.com.</w:t>
      </w:r>
    </w:p>
    <w:p>
      <w:pPr>
        <w:spacing w:after="0" w:line="116" w:lineRule="exact"/>
        <w:rPr>
          <w:sz w:val="20"/>
          <w:szCs w:val="20"/>
          <w:color w:val="auto"/>
        </w:rPr>
      </w:pPr>
    </w:p>
    <w:p>
      <w:pPr>
        <w:jc w:val="both"/>
        <w:ind w:left="340"/>
        <w:spacing w:after="0"/>
        <w:rPr>
          <w:sz w:val="20"/>
          <w:szCs w:val="20"/>
          <w:color w:val="auto"/>
        </w:rPr>
      </w:pPr>
      <w:r>
        <w:rPr>
          <w:rFonts w:ascii="Calibri" w:cs="Calibri" w:eastAsia="Calibri" w:hAnsi="Calibri"/>
          <w:sz w:val="18"/>
          <w:szCs w:val="18"/>
          <w:color w:val="161616"/>
        </w:rPr>
        <w:t>If you elect to contnue coverage under COBRA, Xylem will provide you a lump sum payment equivalent to the tax gross-up amount of your monthly subsidized premium payment (up to 12 months). This lump sum payment will be provided to you when the COBRA plan is renewed and/or expired based on then efectve tax rate per our payroll record.</w:t>
      </w:r>
    </w:p>
    <w:p>
      <w:pPr>
        <w:spacing w:after="0" w:line="119"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Afer your Severance End Date, you will be responsible for the full cost of the COBRA coverage.</w:t>
      </w:r>
    </w:p>
    <w:p>
      <w:pPr>
        <w:spacing w:after="0" w:line="123" w:lineRule="exact"/>
        <w:rPr>
          <w:sz w:val="20"/>
          <w:szCs w:val="20"/>
          <w:color w:val="auto"/>
        </w:rPr>
      </w:pPr>
    </w:p>
    <w:p>
      <w:pPr>
        <w:jc w:val="both"/>
        <w:ind w:left="340" w:hanging="332"/>
        <w:spacing w:after="0" w:line="241" w:lineRule="auto"/>
        <w:tabs>
          <w:tab w:leader="none" w:pos="335"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161616"/>
        </w:rPr>
        <w:t xml:space="preserve">Group Life Insurance Conversion </w:t>
      </w:r>
      <w:r>
        <w:rPr>
          <w:rFonts w:ascii="Calibri" w:cs="Calibri" w:eastAsia="Calibri" w:hAnsi="Calibri"/>
          <w:sz w:val="18"/>
          <w:szCs w:val="18"/>
          <w:color w:val="161616"/>
        </w:rPr>
        <w:t>– Your company-paid group basic life insurance coverage ends on your Terminaton Date. You may convert this life</w:t>
      </w:r>
      <w:r>
        <w:rPr>
          <w:rFonts w:ascii="Calibri" w:cs="Calibri" w:eastAsia="Calibri" w:hAnsi="Calibri"/>
          <w:sz w:val="18"/>
          <w:szCs w:val="18"/>
          <w:b w:val="1"/>
          <w:bCs w:val="1"/>
          <w:color w:val="161616"/>
        </w:rPr>
        <w:t xml:space="preserve"> </w:t>
      </w:r>
      <w:r>
        <w:rPr>
          <w:rFonts w:ascii="Calibri" w:cs="Calibri" w:eastAsia="Calibri" w:hAnsi="Calibri"/>
          <w:sz w:val="18"/>
          <w:szCs w:val="18"/>
          <w:color w:val="161616"/>
        </w:rPr>
        <w:t xml:space="preserve">insurance coverage to an individual policy issued by Reliance Standard Life Insurance Company. If you are interested in learning more, please complete the atached conversion applicaton and submit it to Reliance Standard as directed on the form. You may also contact Reliance Standard directly at 1-800-644-1103 to learn more. Xylem will provide a lump sum payment (including any tax gross-up amount) to cover the premium cost for the Severance Period. </w:t>
      </w:r>
      <w:r>
        <w:rPr>
          <w:rFonts w:ascii="Calibri" w:cs="Calibri" w:eastAsia="Calibri" w:hAnsi="Calibri"/>
          <w:sz w:val="18"/>
          <w:szCs w:val="18"/>
          <w:b w:val="1"/>
          <w:bCs w:val="1"/>
          <w:color w:val="161616"/>
        </w:rPr>
        <w:t>Conversions must be completed within 31 days of your Terminaton Date.</w:t>
      </w:r>
    </w:p>
    <w:p>
      <w:pPr>
        <w:spacing w:after="0" w:line="125"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35" w:val="left"/>
        </w:tabs>
        <w:numPr>
          <w:ilvl w:val="0"/>
          <w:numId w:val="43"/>
        </w:numPr>
        <w:rPr>
          <w:rFonts w:ascii="Times New Roman" w:cs="Times New Roman" w:eastAsia="Times New Roman" w:hAnsi="Times New Roman"/>
          <w:sz w:val="18"/>
          <w:szCs w:val="18"/>
          <w:color w:val="161616"/>
        </w:rPr>
      </w:pPr>
      <w:r>
        <w:rPr>
          <w:rFonts w:ascii="Calibri" w:cs="Calibri" w:eastAsia="Calibri" w:hAnsi="Calibri"/>
          <w:sz w:val="18"/>
          <w:szCs w:val="18"/>
          <w:b w:val="1"/>
          <w:bCs w:val="1"/>
          <w:color w:val="161616"/>
        </w:rPr>
        <w:t xml:space="preserve">Voluntary Accidental Death &amp; Dismemberment (AD&amp;D) </w:t>
      </w:r>
      <w:r>
        <w:rPr>
          <w:rFonts w:ascii="Calibri" w:cs="Calibri" w:eastAsia="Calibri" w:hAnsi="Calibri"/>
          <w:sz w:val="18"/>
          <w:szCs w:val="18"/>
          <w:color w:val="161616"/>
        </w:rPr>
        <w:t>– If you have elected to partcipate in this coverage, coverage ends on your Terminaton Date.</w:t>
      </w:r>
      <w:r>
        <w:rPr>
          <w:rFonts w:ascii="Calibri" w:cs="Calibri" w:eastAsia="Calibri" w:hAnsi="Calibri"/>
          <w:sz w:val="18"/>
          <w:szCs w:val="18"/>
          <w:b w:val="1"/>
          <w:bCs w:val="1"/>
          <w:color w:val="161616"/>
        </w:rPr>
        <w:t xml:space="preserve"> </w:t>
      </w:r>
      <w:r>
        <w:rPr>
          <w:rFonts w:ascii="Calibri" w:cs="Calibri" w:eastAsia="Calibri" w:hAnsi="Calibri"/>
          <w:sz w:val="18"/>
          <w:szCs w:val="18"/>
          <w:color w:val="161616"/>
        </w:rPr>
        <w:t>However, you may elect to convert this coverage to an individual policy. If you are interested in convertng this coverage, please complete the atached conversion applicaton and submit it to Reliance Standard as directed on the form. You may also contact Reliance Standard directly at 1-800-644-1103 to learn more. You must complete the conversion applicaton and return it to Reliance Standard within 31 days of your Terminaton Date.</w:t>
      </w:r>
    </w:p>
    <w:p>
      <w:pPr>
        <w:spacing w:after="0" w:line="123" w:lineRule="exact"/>
        <w:rPr>
          <w:rFonts w:ascii="Times New Roman" w:cs="Times New Roman" w:eastAsia="Times New Roman" w:hAnsi="Times New Roman"/>
          <w:sz w:val="18"/>
          <w:szCs w:val="18"/>
          <w:color w:val="161616"/>
        </w:rPr>
      </w:pPr>
    </w:p>
    <w:p>
      <w:pPr>
        <w:jc w:val="both"/>
        <w:ind w:left="340" w:hanging="332"/>
        <w:spacing w:after="0" w:line="244" w:lineRule="auto"/>
        <w:tabs>
          <w:tab w:leader="none" w:pos="335" w:val="left"/>
        </w:tabs>
        <w:numPr>
          <w:ilvl w:val="0"/>
          <w:numId w:val="43"/>
        </w:numPr>
        <w:rPr>
          <w:rFonts w:ascii="Times New Roman" w:cs="Times New Roman" w:eastAsia="Times New Roman" w:hAnsi="Times New Roman"/>
          <w:sz w:val="18"/>
          <w:szCs w:val="18"/>
          <w:color w:val="161616"/>
        </w:rPr>
      </w:pPr>
      <w:r>
        <w:rPr>
          <w:rFonts w:ascii="Calibri" w:cs="Calibri" w:eastAsia="Calibri" w:hAnsi="Calibri"/>
          <w:sz w:val="18"/>
          <w:szCs w:val="18"/>
          <w:b w:val="1"/>
          <w:bCs w:val="1"/>
          <w:color w:val="161616"/>
        </w:rPr>
        <w:t xml:space="preserve">UnitedHealthcare (UHC) Critcal Illness, Accident and Hospital Indemnity Coverage </w:t>
      </w:r>
      <w:r>
        <w:rPr>
          <w:rFonts w:ascii="Calibri" w:cs="Calibri" w:eastAsia="Calibri" w:hAnsi="Calibri"/>
          <w:sz w:val="18"/>
          <w:szCs w:val="18"/>
          <w:color w:val="161616"/>
        </w:rPr>
        <w:t>– If partcipatng, payroll contributons will end upon your</w:t>
      </w:r>
      <w:r>
        <w:rPr>
          <w:rFonts w:ascii="Calibri" w:cs="Calibri" w:eastAsia="Calibri" w:hAnsi="Calibri"/>
          <w:sz w:val="18"/>
          <w:szCs w:val="18"/>
          <w:b w:val="1"/>
          <w:bCs w:val="1"/>
          <w:color w:val="161616"/>
        </w:rPr>
        <w:t xml:space="preserve"> </w:t>
      </w:r>
      <w:r>
        <w:rPr>
          <w:rFonts w:ascii="Calibri" w:cs="Calibri" w:eastAsia="Calibri" w:hAnsi="Calibri"/>
          <w:sz w:val="18"/>
          <w:szCs w:val="18"/>
          <w:color w:val="161616"/>
        </w:rPr>
        <w:t>Terminaton Date. However, you may elect to contnue your UHC coverage afer your Terminaton Date. You will have 31 days from your Terminaton Date to port the coverage. You can call UHC Customer Service at 1-888-299-2070 and work with a representatve to set up your policy on a direct bill basis. If you do not set up this direct bill process, your coverage will end on your Terminaton Date.</w:t>
      </w:r>
    </w:p>
    <w:p>
      <w:pPr>
        <w:spacing w:after="0" w:line="118" w:lineRule="exact"/>
        <w:rPr>
          <w:rFonts w:ascii="Times New Roman" w:cs="Times New Roman" w:eastAsia="Times New Roman" w:hAnsi="Times New Roman"/>
          <w:sz w:val="18"/>
          <w:szCs w:val="18"/>
          <w:color w:val="161616"/>
        </w:rPr>
      </w:pPr>
    </w:p>
    <w:p>
      <w:pPr>
        <w:jc w:val="both"/>
        <w:ind w:left="340" w:hanging="332"/>
        <w:spacing w:after="0" w:line="235" w:lineRule="auto"/>
        <w:tabs>
          <w:tab w:leader="none" w:pos="335" w:val="left"/>
        </w:tabs>
        <w:numPr>
          <w:ilvl w:val="0"/>
          <w:numId w:val="43"/>
        </w:numPr>
        <w:rPr>
          <w:rFonts w:ascii="Times New Roman" w:cs="Times New Roman" w:eastAsia="Times New Roman" w:hAnsi="Times New Roman"/>
          <w:sz w:val="18"/>
          <w:szCs w:val="18"/>
          <w:color w:val="161616"/>
        </w:rPr>
      </w:pPr>
      <w:r>
        <w:rPr>
          <w:rFonts w:ascii="Calibri" w:cs="Calibri" w:eastAsia="Calibri" w:hAnsi="Calibri"/>
          <w:sz w:val="18"/>
          <w:szCs w:val="18"/>
          <w:b w:val="1"/>
          <w:bCs w:val="1"/>
          <w:color w:val="161616"/>
        </w:rPr>
        <w:t xml:space="preserve">Health Savings Account (HSA) </w:t>
      </w:r>
      <w:r>
        <w:rPr>
          <w:rFonts w:ascii="Calibri" w:cs="Calibri" w:eastAsia="Calibri" w:hAnsi="Calibri"/>
          <w:sz w:val="18"/>
          <w:szCs w:val="18"/>
          <w:color w:val="161616"/>
        </w:rPr>
        <w:t>– If enrolled, your HSA will remain actve and belongs to you. You will contnue to have access to your account at</w:t>
      </w:r>
      <w:r>
        <w:rPr>
          <w:rFonts w:ascii="Calibri" w:cs="Calibri" w:eastAsia="Calibri" w:hAnsi="Calibri"/>
          <w:sz w:val="18"/>
          <w:szCs w:val="18"/>
          <w:b w:val="1"/>
          <w:bCs w:val="1"/>
          <w:color w:val="161616"/>
        </w:rPr>
        <w:t xml:space="preserve"> </w:t>
      </w:r>
      <w:r>
        <w:rPr>
          <w:rFonts w:ascii="Calibri" w:cs="Calibri" w:eastAsia="Calibri" w:hAnsi="Calibri"/>
          <w:sz w:val="18"/>
          <w:szCs w:val="18"/>
          <w:color w:val="161616"/>
        </w:rPr>
        <w:t>www.netbenefts.com. For assistance with your account, please contact Fidelity Investments at 1-800-835-5095. Please note that Fidelity does not assess any monthly fees to your HSA account afer leaving Xylem.</w:t>
      </w:r>
    </w:p>
    <w:p>
      <w:pPr>
        <w:spacing w:after="0" w:line="124" w:lineRule="exact"/>
        <w:rPr>
          <w:rFonts w:ascii="Times New Roman" w:cs="Times New Roman" w:eastAsia="Times New Roman" w:hAnsi="Times New Roman"/>
          <w:sz w:val="18"/>
          <w:szCs w:val="18"/>
          <w:color w:val="161616"/>
        </w:rPr>
      </w:pPr>
    </w:p>
    <w:p>
      <w:pPr>
        <w:jc w:val="both"/>
        <w:ind w:left="340" w:right="20" w:hanging="332"/>
        <w:spacing w:after="0" w:line="235" w:lineRule="auto"/>
        <w:tabs>
          <w:tab w:leader="none" w:pos="335"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Limited Purpose Flexible Spending Account (LPFSA) </w:t>
      </w:r>
      <w:r>
        <w:rPr>
          <w:rFonts w:ascii="Calibri" w:cs="Calibri" w:eastAsia="Calibri" w:hAnsi="Calibri"/>
          <w:sz w:val="18"/>
          <w:szCs w:val="18"/>
          <w:color w:val="auto"/>
        </w:rPr>
        <w:t>– If enrolled, your partcipaton will cease as of your terminaton date. You may elect to contnue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your partcipaton in this program based on your analysis of plan costs vs. benefts through a COBRA arrangement on an afer-tax basis. Our COBRA administrator will send you an electon form to contnue this beneft if you wish to do so.</w:t>
      </w:r>
    </w:p>
    <w:p>
      <w:pPr>
        <w:spacing w:after="0" w:line="1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161616"/>
        </w:rPr>
        <w:t xml:space="preserve">Disability Insurance </w:t>
      </w:r>
      <w:r>
        <w:rPr>
          <w:rFonts w:ascii="Calibri" w:cs="Calibri" w:eastAsia="Calibri" w:hAnsi="Calibri"/>
          <w:sz w:val="18"/>
          <w:szCs w:val="18"/>
          <w:color w:val="161616"/>
        </w:rPr>
        <w:t>– Coverage ends on your Terminaton Date for both Short-Term and Long-Term Disability.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161616"/>
        </w:rPr>
        <w:t xml:space="preserve">Business Travel Accident Insurance Plan </w:t>
      </w:r>
      <w:r>
        <w:rPr>
          <w:rFonts w:ascii="Calibri" w:cs="Calibri" w:eastAsia="Calibri" w:hAnsi="Calibri"/>
          <w:sz w:val="18"/>
          <w:szCs w:val="18"/>
          <w:color w:val="161616"/>
        </w:rPr>
        <w:t>– Coverage terminates on your Terminaton Date.</w:t>
      </w:r>
    </w:p>
    <w:p>
      <w:pPr>
        <w:spacing w:after="0" w:line="136" w:lineRule="exact"/>
        <w:rPr>
          <w:rFonts w:ascii="Times New Roman" w:cs="Times New Roman" w:eastAsia="Times New Roman" w:hAnsi="Times New Roman"/>
          <w:sz w:val="18"/>
          <w:szCs w:val="18"/>
          <w:color w:val="auto"/>
        </w:rPr>
      </w:pPr>
    </w:p>
    <w:p>
      <w:pPr>
        <w:ind w:left="340" w:hanging="332"/>
        <w:spacing w:after="0" w:line="235" w:lineRule="auto"/>
        <w:tabs>
          <w:tab w:leader="none" w:pos="335"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161616"/>
        </w:rPr>
        <w:t xml:space="preserve">Employee Assistance Program (EAP) </w:t>
      </w:r>
      <w:r>
        <w:rPr>
          <w:rFonts w:ascii="Calibri" w:cs="Calibri" w:eastAsia="Calibri" w:hAnsi="Calibri"/>
          <w:sz w:val="18"/>
          <w:szCs w:val="18"/>
          <w:color w:val="161616"/>
        </w:rPr>
        <w:t>– Your coverage ends 90 days afer your Terminaton Date</w:t>
      </w:r>
      <w:r>
        <w:rPr>
          <w:rFonts w:ascii="Calibri" w:cs="Calibri" w:eastAsia="Calibri" w:hAnsi="Calibri"/>
          <w:sz w:val="18"/>
          <w:szCs w:val="18"/>
          <w:color w:val="383838"/>
        </w:rPr>
        <w:t>. For EAP access, contact UHC at 1-866-374-6061 or online</w:t>
      </w:r>
      <w:r>
        <w:rPr>
          <w:rFonts w:ascii="Calibri" w:cs="Calibri" w:eastAsia="Calibri" w:hAnsi="Calibri"/>
          <w:sz w:val="18"/>
          <w:szCs w:val="18"/>
          <w:b w:val="1"/>
          <w:bCs w:val="1"/>
          <w:color w:val="161616"/>
        </w:rPr>
        <w:t xml:space="preserve"> </w:t>
      </w:r>
      <w:r>
        <w:rPr>
          <w:rFonts w:ascii="Calibri" w:cs="Calibri" w:eastAsia="Calibri" w:hAnsi="Calibri"/>
          <w:sz w:val="18"/>
          <w:szCs w:val="18"/>
          <w:color w:val="383838"/>
        </w:rPr>
        <w:t>at www.liveandworkwell.com. The access code is: Xylem.</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618"/>
        </w:rPr>
        <w:t>Payroll Deductons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181618"/>
        </w:rPr>
        <w:t xml:space="preserve">To the extent applicable, payroll deductons currently authorized by you, as well as appropriate tax withholding, will contnue untl your Severance End Date. If you wish to change your deductons afer your Separaton Date but before the Severance End Date, please contact People Operatons at </w:t>
      </w:r>
      <w:r>
        <w:rPr>
          <w:rFonts w:ascii="Calibri" w:cs="Calibri" w:eastAsia="Calibri" w:hAnsi="Calibri"/>
          <w:sz w:val="18"/>
          <w:szCs w:val="18"/>
          <w:u w:val="single" w:color="auto"/>
          <w:color w:val="0000FF"/>
        </w:rPr>
        <w:t>askhrus@xylem.com</w:t>
      </w:r>
      <w:r>
        <w:rPr>
          <w:rFonts w:ascii="Calibri" w:cs="Calibri" w:eastAsia="Calibri" w:hAnsi="Calibri"/>
          <w:sz w:val="18"/>
          <w:szCs w:val="18"/>
          <w:color w:val="181618"/>
        </w:rPr>
        <w:t xml:space="preserve"> or 1-855-995-7877.</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618"/>
        </w:rPr>
        <w:t>Miscellaneous</w:t>
      </w:r>
    </w:p>
    <w:p>
      <w:pPr>
        <w:spacing w:after="0" w:line="109" w:lineRule="exact"/>
        <w:rPr>
          <w:sz w:val="20"/>
          <w:szCs w:val="20"/>
          <w:color w:val="auto"/>
        </w:rPr>
      </w:pPr>
    </w:p>
    <w:p>
      <w:pPr>
        <w:jc w:val="both"/>
        <w:spacing w:after="0"/>
        <w:rPr>
          <w:sz w:val="20"/>
          <w:szCs w:val="20"/>
          <w:color w:val="auto"/>
        </w:rPr>
      </w:pPr>
      <w:r>
        <w:rPr>
          <w:rFonts w:ascii="Calibri" w:cs="Calibri" w:eastAsia="Calibri" w:hAnsi="Calibri"/>
          <w:sz w:val="18"/>
          <w:szCs w:val="18"/>
          <w:b w:val="1"/>
          <w:bCs w:val="1"/>
          <w:color w:val="181618"/>
        </w:rPr>
        <w:t xml:space="preserve">Company Equipment </w:t>
      </w:r>
      <w:r>
        <w:rPr>
          <w:rFonts w:ascii="Calibri" w:cs="Calibri" w:eastAsia="Calibri" w:hAnsi="Calibri"/>
          <w:sz w:val="18"/>
          <w:szCs w:val="18"/>
          <w:color w:val="181618"/>
        </w:rPr>
        <w:t>– Please plan on returning all Company-provided equipment such as c</w:t>
      </w:r>
      <w:r>
        <w:rPr>
          <w:rFonts w:ascii="Calibri" w:cs="Calibri" w:eastAsia="Calibri" w:hAnsi="Calibri"/>
          <w:sz w:val="18"/>
          <w:szCs w:val="18"/>
          <w:color w:val="333133"/>
        </w:rPr>
        <w:t>r</w:t>
      </w:r>
      <w:r>
        <w:rPr>
          <w:rFonts w:ascii="Calibri" w:cs="Calibri" w:eastAsia="Calibri" w:hAnsi="Calibri"/>
          <w:sz w:val="18"/>
          <w:szCs w:val="18"/>
          <w:color w:val="181618"/>
        </w:rPr>
        <w:t>ed</w:t>
      </w:r>
      <w:r>
        <w:rPr>
          <w:rFonts w:ascii="Calibri" w:cs="Calibri" w:eastAsia="Calibri" w:hAnsi="Calibri"/>
          <w:sz w:val="18"/>
          <w:szCs w:val="18"/>
          <w:color w:val="333133"/>
        </w:rPr>
        <w:t>i</w:t>
      </w:r>
      <w:r>
        <w:rPr>
          <w:rFonts w:ascii="Calibri" w:cs="Calibri" w:eastAsia="Calibri" w:hAnsi="Calibri"/>
          <w:sz w:val="18"/>
          <w:szCs w:val="18"/>
          <w:color w:val="181618"/>
        </w:rPr>
        <w:t>t cards, access badges and ofce keys</w:t>
      </w:r>
      <w:r>
        <w:rPr>
          <w:rFonts w:ascii="Calibri" w:cs="Calibri" w:eastAsia="Calibri" w:hAnsi="Calibri"/>
          <w:sz w:val="18"/>
          <w:szCs w:val="18"/>
          <w:color w:val="333133"/>
        </w:rPr>
        <w:t>,</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computer</w:t>
      </w:r>
      <w:r>
        <w:rPr>
          <w:rFonts w:ascii="Calibri" w:cs="Calibri" w:eastAsia="Calibri" w:hAnsi="Calibri"/>
          <w:sz w:val="18"/>
          <w:szCs w:val="18"/>
          <w:color w:val="333133"/>
        </w:rPr>
        <w:t>,</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smartphone,</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tablet and any o</w:t>
      </w:r>
      <w:r>
        <w:rPr>
          <w:rFonts w:ascii="Calibri" w:cs="Calibri" w:eastAsia="Calibri" w:hAnsi="Calibri"/>
          <w:sz w:val="18"/>
          <w:szCs w:val="18"/>
          <w:color w:val="333133"/>
        </w:rPr>
        <w:t>t</w:t>
      </w:r>
      <w:r>
        <w:rPr>
          <w:rFonts w:ascii="Calibri" w:cs="Calibri" w:eastAsia="Calibri" w:hAnsi="Calibri"/>
          <w:sz w:val="18"/>
          <w:szCs w:val="18"/>
          <w:color w:val="181618"/>
        </w:rPr>
        <w:t>he</w:t>
      </w:r>
      <w:r>
        <w:rPr>
          <w:rFonts w:ascii="Calibri" w:cs="Calibri" w:eastAsia="Calibri" w:hAnsi="Calibri"/>
          <w:sz w:val="18"/>
          <w:szCs w:val="18"/>
          <w:color w:val="333133"/>
        </w:rPr>
        <w:t>r C</w:t>
      </w:r>
      <w:r>
        <w:rPr>
          <w:rFonts w:ascii="Calibri" w:cs="Calibri" w:eastAsia="Calibri" w:hAnsi="Calibri"/>
          <w:sz w:val="18"/>
          <w:szCs w:val="18"/>
          <w:color w:val="181618"/>
        </w:rPr>
        <w:t>ompany equipment by your Separaton Date</w:t>
      </w:r>
      <w:r>
        <w:rPr>
          <w:rFonts w:ascii="Calibri" w:cs="Calibri" w:eastAsia="Calibri" w:hAnsi="Calibri"/>
          <w:sz w:val="18"/>
          <w:szCs w:val="18"/>
          <w:color w:val="333133"/>
        </w:rPr>
        <w:t>. If you are unable to return the equipment in person, instructons will be provided to you</w:t>
      </w:r>
      <w:r>
        <w:rPr>
          <w:rFonts w:ascii="Calibri" w:cs="Calibri" w:eastAsia="Calibri" w:hAnsi="Calibri"/>
          <w:sz w:val="18"/>
          <w:szCs w:val="18"/>
          <w:color w:val="181618"/>
        </w:rPr>
        <w:t xml:space="preserve"> </w:t>
      </w:r>
      <w:r>
        <w:rPr>
          <w:rFonts w:ascii="Calibri" w:cs="Calibri" w:eastAsia="Calibri" w:hAnsi="Calibri"/>
          <w:sz w:val="18"/>
          <w:szCs w:val="18"/>
          <w:color w:val="333133"/>
        </w:rPr>
        <w:t>on how to send them back via UPS.</w:t>
      </w:r>
    </w:p>
    <w:p>
      <w:pPr>
        <w:sectPr>
          <w:pgSz w:w="11900" w:h="16838" w:orient="portrait"/>
          <w:cols w:equalWidth="0" w:num="1">
            <w:col w:w="11240"/>
          </w:cols>
          <w:pgMar w:left="320" w:top="139" w:right="339" w:bottom="1440" w:gutter="0" w:footer="0" w:header="0"/>
        </w:sectPr>
      </w:pPr>
    </w:p>
    <w:bookmarkStart w:id="142" w:name="page143"/>
    <w:bookmarkEnd w:id="142"/>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181618"/>
        </w:rPr>
        <w:t xml:space="preserve">Final Expenses </w:t>
      </w:r>
      <w:r>
        <w:rPr>
          <w:rFonts w:ascii="Calibri" w:cs="Calibri" w:eastAsia="Calibri" w:hAnsi="Calibri"/>
          <w:sz w:val="18"/>
          <w:szCs w:val="18"/>
          <w:color w:val="333133"/>
        </w:rPr>
        <w:t>–</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If you have an outstanding Company-issued credit card and</w:t>
      </w:r>
      <w:r>
        <w:rPr>
          <w:rFonts w:ascii="Calibri" w:cs="Calibri" w:eastAsia="Calibri" w:hAnsi="Calibri"/>
          <w:sz w:val="18"/>
          <w:szCs w:val="18"/>
          <w:color w:val="333133"/>
        </w:rPr>
        <w:t>/</w:t>
      </w:r>
      <w:r>
        <w:rPr>
          <w:rFonts w:ascii="Calibri" w:cs="Calibri" w:eastAsia="Calibri" w:hAnsi="Calibri"/>
          <w:sz w:val="18"/>
          <w:szCs w:val="18"/>
          <w:color w:val="181618"/>
        </w:rPr>
        <w:t>or cash e</w:t>
      </w:r>
      <w:r>
        <w:rPr>
          <w:rFonts w:ascii="Calibri" w:cs="Calibri" w:eastAsia="Calibri" w:hAnsi="Calibri"/>
          <w:sz w:val="18"/>
          <w:szCs w:val="18"/>
          <w:color w:val="333133"/>
        </w:rPr>
        <w:t>x</w:t>
      </w:r>
      <w:r>
        <w:rPr>
          <w:rFonts w:ascii="Calibri" w:cs="Calibri" w:eastAsia="Calibri" w:hAnsi="Calibri"/>
          <w:sz w:val="18"/>
          <w:szCs w:val="18"/>
          <w:color w:val="181618"/>
        </w:rPr>
        <w:t>penses due to you for reimbursement</w:t>
      </w:r>
      <w:r>
        <w:rPr>
          <w:rFonts w:ascii="Calibri" w:cs="Calibri" w:eastAsia="Calibri" w:hAnsi="Calibri"/>
          <w:sz w:val="18"/>
          <w:szCs w:val="18"/>
          <w:color w:val="333133"/>
        </w:rPr>
        <w:t>, please be sure</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to clear these</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items through your Concur e</w:t>
      </w:r>
      <w:r>
        <w:rPr>
          <w:rFonts w:ascii="Calibri" w:cs="Calibri" w:eastAsia="Calibri" w:hAnsi="Calibri"/>
          <w:sz w:val="18"/>
          <w:szCs w:val="18"/>
          <w:color w:val="333133"/>
        </w:rPr>
        <w:t>x</w:t>
      </w:r>
      <w:r>
        <w:rPr>
          <w:rFonts w:ascii="Calibri" w:cs="Calibri" w:eastAsia="Calibri" w:hAnsi="Calibri"/>
          <w:sz w:val="18"/>
          <w:szCs w:val="18"/>
          <w:color w:val="181618"/>
        </w:rPr>
        <w:t>pense account by your Separaton Date.</w:t>
      </w:r>
    </w:p>
    <w:p>
      <w:pPr>
        <w:spacing w:after="0" w:line="1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181618"/>
        </w:rPr>
        <w:t>The partes hereby indicate their agreement with the terms and conditons of this Memorandum and the atached Agreement and Release by signing and datng this Memorandum in the space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alibri" w:cs="Calibri" w:eastAsia="Calibri" w:hAnsi="Calibri"/>
          <w:sz w:val="18"/>
          <w:szCs w:val="18"/>
          <w:color w:val="181618"/>
        </w:rPr>
        <w:t>EMPLOYEE: Sandy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44062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560" w:val="left"/>
        </w:tabs>
        <w:rPr>
          <w:sz w:val="20"/>
          <w:szCs w:val="20"/>
          <w:color w:val="auto"/>
        </w:rPr>
      </w:pPr>
      <w:r>
        <w:rPr>
          <w:rFonts w:ascii="Calibri" w:cs="Calibri" w:eastAsia="Calibri" w:hAnsi="Calibri"/>
          <w:sz w:val="18"/>
          <w:szCs w:val="18"/>
          <w:color w:val="181618"/>
        </w:rPr>
        <w:t>Employee Signature</w:t>
      </w:r>
      <w:r>
        <w:rPr>
          <w:sz w:val="20"/>
          <w:szCs w:val="20"/>
          <w:color w:val="auto"/>
        </w:rPr>
        <w:tab/>
      </w:r>
      <w:r>
        <w:rPr>
          <w:rFonts w:ascii="Calibri" w:cs="Calibri" w:eastAsia="Calibri" w:hAnsi="Calibri"/>
          <w:sz w:val="17"/>
          <w:szCs w:val="17"/>
          <w:color w:val="181618"/>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color w:val="181618"/>
        </w:rPr>
        <w:t>EMPLOYER: Xylem Inc.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color w:val="181618"/>
        </w:rPr>
        <w:t>_________________________________________________________</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181618"/>
        </w:rPr>
        <w:t xml:space="preserve">Shan Jarvis, VP, Global Compensaton, Benefts </w:t>
      </w:r>
      <w:r>
        <w:rPr>
          <w:rFonts w:ascii="Calibri" w:cs="Calibri" w:eastAsia="Calibri" w:hAnsi="Calibri"/>
          <w:sz w:val="18"/>
          <w:szCs w:val="18"/>
          <w:color w:val="333133"/>
        </w:rPr>
        <w:t>&amp; Wellness,</w:t>
      </w:r>
      <w:r>
        <w:rPr>
          <w:rFonts w:ascii="Calibri" w:cs="Calibri" w:eastAsia="Calibri" w:hAnsi="Calibri"/>
          <w:sz w:val="18"/>
          <w:szCs w:val="18"/>
          <w:color w:val="181618"/>
        </w:rPr>
        <w:t xml:space="preserve"> Xylem Inc.</w:t>
      </w:r>
    </w:p>
    <w:p>
      <w:pPr>
        <w:sectPr>
          <w:pgSz w:w="11900" w:h="16838" w:orient="portrait"/>
          <w:cols w:equalWidth="0" w:num="1">
            <w:col w:w="11240"/>
          </w:cols>
          <w:pgMar w:left="320" w:top="112" w:right="339" w:bottom="1440" w:gutter="0" w:footer="0" w:header="0"/>
        </w:sectPr>
      </w:pPr>
    </w:p>
    <w:bookmarkStart w:id="143" w:name="page144"/>
    <w:bookmarkEnd w:id="143"/>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Separaton Agreement and General Release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Separaton Agreement and General Release ("Release") is made and entered into by and between Xylem Inc. ("Xylem" or the "Company") and Employee (referred to herein in the frst person). Capitalized terms herein are defned as specifed in this Release or the Separaton Memorandum (“Memorandum”) entered into between Xylem and me (the “Memorandum”) to which this Release is atached and incorporated by reference. In consideraton of the mutual promises contained herein, it is agreed as follows:</w:t>
      </w:r>
    </w:p>
    <w:p>
      <w:pPr>
        <w:spacing w:after="0" w:line="40" w:lineRule="exact"/>
        <w:rPr>
          <w:sz w:val="20"/>
          <w:szCs w:val="20"/>
          <w:color w:val="auto"/>
        </w:rPr>
      </w:pPr>
    </w:p>
    <w:p>
      <w:pPr>
        <w:ind w:left="320" w:hanging="312"/>
        <w:spacing w:after="0"/>
        <w:tabs>
          <w:tab w:leader="none" w:pos="320" w:val="left"/>
        </w:tabs>
        <w:numPr>
          <w:ilvl w:val="0"/>
          <w:numId w:val="44"/>
        </w:numPr>
        <w:rPr>
          <w:rFonts w:ascii="Calibri" w:cs="Calibri" w:eastAsia="Calibri" w:hAnsi="Calibri"/>
          <w:sz w:val="19"/>
          <w:szCs w:val="19"/>
          <w:color w:val="auto"/>
        </w:rPr>
      </w:pPr>
      <w:r>
        <w:rPr>
          <w:rFonts w:ascii="Calibri" w:cs="Calibri" w:eastAsia="Calibri" w:hAnsi="Calibri"/>
          <w:sz w:val="18"/>
          <w:szCs w:val="18"/>
          <w:color w:val="auto"/>
        </w:rPr>
        <w:t>I will be employed with Xylem through the Separaton Date set forth in the Memorandum.</w:t>
      </w:r>
    </w:p>
    <w:p>
      <w:pPr>
        <w:spacing w:after="0" w:line="38" w:lineRule="exact"/>
        <w:rPr>
          <w:rFonts w:ascii="Calibri" w:cs="Calibri" w:eastAsia="Calibri" w:hAnsi="Calibri"/>
          <w:sz w:val="19"/>
          <w:szCs w:val="19"/>
          <w:color w:val="auto"/>
        </w:rPr>
      </w:pPr>
    </w:p>
    <w:p>
      <w:pPr>
        <w:ind w:left="320" w:hanging="312"/>
        <w:spacing w:after="0"/>
        <w:tabs>
          <w:tab w:leader="none" w:pos="320" w:val="left"/>
        </w:tabs>
        <w:numPr>
          <w:ilvl w:val="0"/>
          <w:numId w:val="44"/>
        </w:numPr>
        <w:rPr>
          <w:rFonts w:ascii="Calibri" w:cs="Calibri" w:eastAsia="Calibri" w:hAnsi="Calibri"/>
          <w:sz w:val="19"/>
          <w:szCs w:val="19"/>
          <w:color w:val="auto"/>
        </w:rPr>
      </w:pPr>
      <w:r>
        <w:rPr>
          <w:rFonts w:ascii="Calibri" w:cs="Calibri" w:eastAsia="Calibri" w:hAnsi="Calibri"/>
          <w:sz w:val="18"/>
          <w:szCs w:val="18"/>
          <w:color w:val="auto"/>
        </w:rPr>
        <w:t>I agree to the following:</w:t>
      </w:r>
    </w:p>
    <w:p>
      <w:pPr>
        <w:spacing w:after="0" w:line="68" w:lineRule="exact"/>
        <w:rPr>
          <w:rFonts w:ascii="Calibri" w:cs="Calibri" w:eastAsia="Calibri" w:hAnsi="Calibri"/>
          <w:sz w:val="19"/>
          <w:szCs w:val="19"/>
          <w:color w:val="auto"/>
        </w:rPr>
      </w:pPr>
    </w:p>
    <w:p>
      <w:pPr>
        <w:jc w:val="both"/>
        <w:ind w:left="660" w:hanging="328"/>
        <w:spacing w:after="0" w:line="236" w:lineRule="auto"/>
        <w:tabs>
          <w:tab w:leader="none" w:pos="659" w:val="left"/>
        </w:tabs>
        <w:numPr>
          <w:ilvl w:val="1"/>
          <w:numId w:val="44"/>
        </w:numPr>
        <w:rPr>
          <w:rFonts w:ascii="Calibri" w:cs="Calibri" w:eastAsia="Calibri" w:hAnsi="Calibri"/>
          <w:sz w:val="19"/>
          <w:szCs w:val="19"/>
          <w:color w:val="auto"/>
        </w:rPr>
      </w:pPr>
      <w:r>
        <w:rPr>
          <w:rFonts w:ascii="Calibri" w:cs="Calibri" w:eastAsia="Calibri" w:hAnsi="Calibri"/>
          <w:sz w:val="18"/>
          <w:szCs w:val="18"/>
          <w:color w:val="auto"/>
        </w:rPr>
        <w:t>I am not eligible and will not receive any compensaton, fringe benefts, employee benefts, pay in lieu of notce, or severance or terminaton pay except as provided in the Memorandum. I agree and acknowledge that the payments and benefts set forth in the Memorandum consttute good and sufcient consideraton for all of my promises, obligatons and covenants set forth in the Memorandum and in this Release.</w:t>
      </w:r>
    </w:p>
    <w:p>
      <w:pPr>
        <w:spacing w:after="0" w:line="55" w:lineRule="exact"/>
        <w:rPr>
          <w:rFonts w:ascii="Calibri" w:cs="Calibri" w:eastAsia="Calibri" w:hAnsi="Calibri"/>
          <w:sz w:val="19"/>
          <w:szCs w:val="19"/>
          <w:color w:val="auto"/>
        </w:rPr>
      </w:pPr>
    </w:p>
    <w:p>
      <w:pPr>
        <w:jc w:val="both"/>
        <w:ind w:left="660" w:hanging="328"/>
        <w:spacing w:after="0" w:line="235" w:lineRule="auto"/>
        <w:tabs>
          <w:tab w:leader="none" w:pos="655" w:val="left"/>
        </w:tabs>
        <w:numPr>
          <w:ilvl w:val="1"/>
          <w:numId w:val="44"/>
        </w:numPr>
        <w:rPr>
          <w:rFonts w:ascii="Calibri" w:cs="Calibri" w:eastAsia="Calibri" w:hAnsi="Calibri"/>
          <w:sz w:val="19"/>
          <w:szCs w:val="19"/>
          <w:color w:val="auto"/>
        </w:rPr>
      </w:pPr>
      <w:r>
        <w:rPr>
          <w:rFonts w:ascii="Calibri" w:cs="Calibri" w:eastAsia="Calibri" w:hAnsi="Calibri"/>
          <w:sz w:val="18"/>
          <w:szCs w:val="18"/>
          <w:color w:val="auto"/>
        </w:rPr>
        <w:t>On behalf of myself and my heirs, executors, administrators, personal and legal representatves, successors and assigns, I waive, release and forever discharge Xylem, its current and former subsidiaries, afliates, divisions and related enttes and their predecessors, successors and assigns, and all of their past and present ofcers, directors, shareholders, agents, representatves, administrators, employees, insurers, atorneys, and beneft plans (collectvely "Releasees") from any and all claims, demands, debts, liabilites, obligatons, expenses (including atorney's fees and costs), promises, covenants, controversies, grievances, claims, suits, actons or causes of acton, in law or in equity, known or unknown to me, foreseen or unforeseen, contngent or not contngent, liquidated or not liquidated, which I may have had in the past, may have now, or may in the future claim to have against Releasees, arising with respect to any incident, event, act or omission occurring at any tme prior to my signing of this Release. This Release shall not operate as a release or waiver of claims or rights that may arise afer the date of its executon, for vested benefts or other applicable beneft plan enttlements, for indemnifcaton pursuant to Company policy or applicable law, for coverage under any directors' and ofcers' liability or any fduciary liability insurance policies in accordance with the terms of such policy, or any rights I may have as a shareholder in a public company (collectvely, the "Reserved Rights") and this Release shall not afect my right to seek enforcement of the terms and conditons of the Memorandum, this Release or the Reserved Rights.</w:t>
      </w:r>
    </w:p>
    <w:p>
      <w:pPr>
        <w:spacing w:after="0" w:line="65" w:lineRule="exact"/>
        <w:rPr>
          <w:rFonts w:ascii="Calibri" w:cs="Calibri" w:eastAsia="Calibri" w:hAnsi="Calibri"/>
          <w:sz w:val="19"/>
          <w:szCs w:val="19"/>
          <w:color w:val="auto"/>
        </w:rPr>
      </w:pPr>
    </w:p>
    <w:p>
      <w:pPr>
        <w:jc w:val="both"/>
        <w:ind w:left="660" w:hanging="328"/>
        <w:spacing w:after="0" w:line="251" w:lineRule="auto"/>
        <w:tabs>
          <w:tab w:leader="none" w:pos="649" w:val="left"/>
        </w:tabs>
        <w:numPr>
          <w:ilvl w:val="1"/>
          <w:numId w:val="44"/>
        </w:numPr>
        <w:rPr>
          <w:rFonts w:ascii="Calibri" w:cs="Calibri" w:eastAsia="Calibri" w:hAnsi="Calibri"/>
          <w:sz w:val="18"/>
          <w:szCs w:val="18"/>
          <w:color w:val="auto"/>
        </w:rPr>
      </w:pPr>
      <w:r>
        <w:rPr>
          <w:rFonts w:ascii="Calibri" w:cs="Calibri" w:eastAsia="Calibri" w:hAnsi="Calibri"/>
          <w:sz w:val="17"/>
          <w:szCs w:val="17"/>
          <w:color w:val="auto"/>
        </w:rPr>
        <w:t>This Release specifcally includes, but is not limited to, any and all claims and causes of acton arising under tort or contract law, other common law claims, including without limitaton wrongful discharge claims, and claims under specifc statutes prohibitng discriminaton based on sex, color, race, natonal origin, religion, disability, veteran status, age, gender identty, sexual orientaton, marital status, genetc informaton, citzenship status or other protected characteristcs including without limitaton, the Americans With Disabilites Act, the Age Discriminaton in Employment Act of 1967, Title VII of the Civil Rights Act of 1964, the Civil Rights Acts of 1866 and 1871, the Equal Pay Act, Fair Labor Standards Act of 1938, the Worker Adjustment and Retraining Notfcaton Act of 1988, the Employee Retrement Income Security Act of 1974, the Family Medical Leave Act of 1993; (all as amended); or any other federal, state, city, or local laws. This Release specifcally includes but is not limited to all claims and causes of acton under these laws and any contractual or tort claims arising under common law, including but not limited to wrongful discharge.</w:t>
      </w:r>
    </w:p>
    <w:p>
      <w:pPr>
        <w:spacing w:after="0" w:line="46" w:lineRule="exact"/>
        <w:rPr>
          <w:rFonts w:ascii="Calibri" w:cs="Calibri" w:eastAsia="Calibri" w:hAnsi="Calibri"/>
          <w:sz w:val="18"/>
          <w:szCs w:val="18"/>
          <w:color w:val="auto"/>
        </w:rPr>
      </w:pPr>
    </w:p>
    <w:p>
      <w:pPr>
        <w:jc w:val="both"/>
        <w:ind w:left="660" w:hanging="328"/>
        <w:spacing w:after="0" w:line="233" w:lineRule="auto"/>
        <w:tabs>
          <w:tab w:leader="none" w:pos="655" w:val="left"/>
        </w:tabs>
        <w:numPr>
          <w:ilvl w:val="1"/>
          <w:numId w:val="44"/>
        </w:numPr>
        <w:rPr>
          <w:rFonts w:ascii="Calibri" w:cs="Calibri" w:eastAsia="Calibri" w:hAnsi="Calibri"/>
          <w:sz w:val="19"/>
          <w:szCs w:val="19"/>
          <w:color w:val="auto"/>
        </w:rPr>
      </w:pPr>
      <w:r>
        <w:rPr>
          <w:rFonts w:ascii="Calibri" w:cs="Calibri" w:eastAsia="Calibri" w:hAnsi="Calibri"/>
          <w:sz w:val="18"/>
          <w:szCs w:val="18"/>
          <w:color w:val="auto"/>
        </w:rPr>
        <w:t>In consideraton of the benefts provided to me under the Memorandum and this Release, I agree to waive, and will not assert any of the claims or causes of acton I have waived in this Release, before any federal or state court, any federal or state agency, or in any public or private arbitraton. This prohibiton does not apply if it would be a violaton of applicable law or regulaton. If this prohibiton does not apply, however, and a charge or lawsuit is fled by or on behalf of me, I agree not to seek or accept any personal relief, award, monetary damages or other benefts in connecton with or based on such charge or lawsuit.</w:t>
      </w:r>
    </w:p>
    <w:p>
      <w:pPr>
        <w:sectPr>
          <w:pgSz w:w="11900" w:h="16838" w:orient="portrait"/>
          <w:cols w:equalWidth="0" w:num="1">
            <w:col w:w="11240"/>
          </w:cols>
          <w:pgMar w:left="320" w:top="139" w:right="339" w:bottom="1440" w:gutter="0" w:footer="0" w:header="0"/>
        </w:sectPr>
      </w:pPr>
    </w:p>
    <w:bookmarkStart w:id="144" w:name="page145"/>
    <w:bookmarkEnd w:id="144"/>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line="235" w:lineRule="auto"/>
        <w:rPr>
          <w:sz w:val="20"/>
          <w:szCs w:val="20"/>
          <w:color w:val="auto"/>
        </w:rPr>
      </w:pPr>
      <w:r>
        <w:rPr>
          <w:rFonts w:ascii="Calibri" w:cs="Calibri" w:eastAsia="Calibri" w:hAnsi="Calibri"/>
          <w:sz w:val="18"/>
          <w:szCs w:val="18"/>
          <w:color w:val="auto"/>
        </w:rPr>
        <w:t>This paragraph is not intended to limit my right to commence and maintain legal acton for the sole purpose of enforcing the Memorandum, this Release or the Reserved Rights.</w:t>
      </w:r>
    </w:p>
    <w:p>
      <w:pPr>
        <w:spacing w:after="0" w:line="56" w:lineRule="exact"/>
        <w:rPr>
          <w:sz w:val="20"/>
          <w:szCs w:val="20"/>
          <w:color w:val="auto"/>
        </w:rPr>
      </w:pPr>
    </w:p>
    <w:p>
      <w:pPr>
        <w:jc w:val="both"/>
        <w:ind w:left="660" w:hanging="328"/>
        <w:spacing w:after="0" w:line="236" w:lineRule="auto"/>
        <w:tabs>
          <w:tab w:leader="none" w:pos="649" w:val="left"/>
        </w:tabs>
        <w:numPr>
          <w:ilvl w:val="1"/>
          <w:numId w:val="45"/>
        </w:numPr>
        <w:rPr>
          <w:rFonts w:ascii="Calibri" w:cs="Calibri" w:eastAsia="Calibri" w:hAnsi="Calibri"/>
          <w:sz w:val="19"/>
          <w:szCs w:val="19"/>
          <w:color w:val="auto"/>
        </w:rPr>
      </w:pPr>
      <w:r>
        <w:rPr>
          <w:rFonts w:ascii="Calibri" w:cs="Calibri" w:eastAsia="Calibri" w:hAnsi="Calibri"/>
          <w:sz w:val="18"/>
          <w:szCs w:val="18"/>
          <w:color w:val="auto"/>
        </w:rPr>
        <w:t>I also agree to waive, release and forever discharge the Releasees from any and all claims, causes of acton and/or lawsuits that may arise from any incident, event, act or omission occurring prior to my Separaton Date or during my Severance Period, as those terms are defned in the Memorandum, except for the purpose of enforcing the Memorandum, this Release or the Reserved Rights.</w:t>
      </w:r>
    </w:p>
    <w:p>
      <w:pPr>
        <w:spacing w:after="0" w:line="55" w:lineRule="exact"/>
        <w:rPr>
          <w:rFonts w:ascii="Calibri" w:cs="Calibri" w:eastAsia="Calibri" w:hAnsi="Calibri"/>
          <w:sz w:val="19"/>
          <w:szCs w:val="19"/>
          <w:color w:val="auto"/>
        </w:rPr>
      </w:pPr>
    </w:p>
    <w:p>
      <w:pPr>
        <w:jc w:val="both"/>
        <w:ind w:left="340" w:hanging="332"/>
        <w:spacing w:after="0" w:line="236" w:lineRule="auto"/>
        <w:tabs>
          <w:tab w:leader="none" w:pos="335" w:val="left"/>
        </w:tabs>
        <w:numPr>
          <w:ilvl w:val="0"/>
          <w:numId w:val="46"/>
        </w:numPr>
        <w:rPr>
          <w:rFonts w:ascii="Calibri" w:cs="Calibri" w:eastAsia="Calibri" w:hAnsi="Calibri"/>
          <w:sz w:val="19"/>
          <w:szCs w:val="19"/>
          <w:color w:val="auto"/>
        </w:rPr>
      </w:pPr>
      <w:r>
        <w:rPr>
          <w:rFonts w:ascii="Calibri" w:cs="Calibri" w:eastAsia="Calibri" w:hAnsi="Calibri"/>
          <w:sz w:val="18"/>
          <w:szCs w:val="18"/>
          <w:color w:val="auto"/>
        </w:rPr>
        <w:t>Long-Term Incentves: Outstanding long-term incentve equity-based awards from the Company are set forth in Exhibit A atached hereto. Upon and following the Terminaton Date, each such award will be treated in accordance with the terms of applicable grant agreements (including, without limitaton, any such applicable terms requiring executon of this Release) with respect to terminaton of my employment.</w:t>
      </w:r>
    </w:p>
    <w:p>
      <w:pPr>
        <w:spacing w:after="0" w:line="55" w:lineRule="exact"/>
        <w:rPr>
          <w:rFonts w:ascii="Calibri" w:cs="Calibri" w:eastAsia="Calibri" w:hAnsi="Calibri"/>
          <w:sz w:val="19"/>
          <w:szCs w:val="19"/>
          <w:color w:val="auto"/>
        </w:rPr>
      </w:pPr>
    </w:p>
    <w:p>
      <w:pPr>
        <w:jc w:val="both"/>
        <w:ind w:left="340" w:hanging="332"/>
        <w:spacing w:after="0" w:line="233" w:lineRule="auto"/>
        <w:tabs>
          <w:tab w:leader="none" w:pos="335" w:val="left"/>
        </w:tabs>
        <w:numPr>
          <w:ilvl w:val="0"/>
          <w:numId w:val="46"/>
        </w:numPr>
        <w:rPr>
          <w:rFonts w:ascii="Calibri" w:cs="Calibri" w:eastAsia="Calibri" w:hAnsi="Calibri"/>
          <w:sz w:val="19"/>
          <w:szCs w:val="19"/>
          <w:color w:val="auto"/>
        </w:rPr>
      </w:pPr>
      <w:r>
        <w:rPr>
          <w:rFonts w:ascii="Calibri" w:cs="Calibri" w:eastAsia="Calibri" w:hAnsi="Calibri"/>
          <w:sz w:val="18"/>
          <w:szCs w:val="18"/>
          <w:color w:val="auto"/>
        </w:rPr>
        <w:t>Except as may be required under applicable law or the rules of a stock exchange or natonal securites quotaton system, I agree to keep the Memorandum and this Release confdental and not disclose their contents to anyone except my immediate family, my fnancial or legal consultants, and appropriate governmental agencies that may subpoena this informaton. If I receive a subpoena that calls for the producton of this Release, the Memorandum or related documents, I will advise Xylem in writng before I respond to any subpoena, and give Xylem an opportunity to move to quash any such subpoena.</w:t>
      </w:r>
    </w:p>
    <w:p>
      <w:pPr>
        <w:spacing w:after="0" w:line="55" w:lineRule="exact"/>
        <w:rPr>
          <w:rFonts w:ascii="Calibri" w:cs="Calibri" w:eastAsia="Calibri" w:hAnsi="Calibri"/>
          <w:sz w:val="19"/>
          <w:szCs w:val="19"/>
          <w:color w:val="auto"/>
        </w:rPr>
      </w:pPr>
    </w:p>
    <w:p>
      <w:pPr>
        <w:jc w:val="both"/>
        <w:ind w:left="340" w:hanging="332"/>
        <w:spacing w:after="0" w:line="236" w:lineRule="auto"/>
        <w:tabs>
          <w:tab w:leader="none" w:pos="335" w:val="left"/>
        </w:tabs>
        <w:numPr>
          <w:ilvl w:val="0"/>
          <w:numId w:val="46"/>
        </w:numPr>
        <w:rPr>
          <w:rFonts w:ascii="Calibri" w:cs="Calibri" w:eastAsia="Calibri" w:hAnsi="Calibri"/>
          <w:sz w:val="19"/>
          <w:szCs w:val="19"/>
          <w:color w:val="auto"/>
        </w:rPr>
      </w:pPr>
      <w:r>
        <w:rPr>
          <w:rFonts w:ascii="Calibri" w:cs="Calibri" w:eastAsia="Calibri" w:hAnsi="Calibri"/>
          <w:sz w:val="18"/>
          <w:szCs w:val="18"/>
          <w:color w:val="auto"/>
        </w:rPr>
        <w:t>I agree not to slander, defame or otherwise intentonally injure the reputaton of Xylem, its Subsidiaries (as defned in 6 b) below), ofcers, directors, employees, agents, representatves, products or services. Additonally, I agree that any restrictve covenants that I agreed to with respect to my employment with Xylem, including but not limited to obligatons with respect to confdentality, and non-solicitaton, will remain in efect for twelve (12) months from my Terminaton Date for Xylem and/or the businesses specifed in any such restrictve covenants.</w:t>
      </w:r>
    </w:p>
    <w:p>
      <w:pPr>
        <w:spacing w:after="0" w:line="38" w:lineRule="exact"/>
        <w:rPr>
          <w:rFonts w:ascii="Calibri" w:cs="Calibri" w:eastAsia="Calibri" w:hAnsi="Calibri"/>
          <w:sz w:val="19"/>
          <w:szCs w:val="19"/>
          <w:color w:val="auto"/>
        </w:rPr>
      </w:pPr>
    </w:p>
    <w:p>
      <w:pPr>
        <w:ind w:left="320" w:hanging="312"/>
        <w:spacing w:after="0"/>
        <w:tabs>
          <w:tab w:leader="none" w:pos="320" w:val="left"/>
        </w:tabs>
        <w:numPr>
          <w:ilvl w:val="0"/>
          <w:numId w:val="46"/>
        </w:numPr>
        <w:rPr>
          <w:rFonts w:ascii="Calibri" w:cs="Calibri" w:eastAsia="Calibri" w:hAnsi="Calibri"/>
          <w:sz w:val="19"/>
          <w:szCs w:val="19"/>
          <w:color w:val="auto"/>
        </w:rPr>
      </w:pPr>
      <w:r>
        <w:rPr>
          <w:rFonts w:ascii="Calibri" w:cs="Calibri" w:eastAsia="Calibri" w:hAnsi="Calibri"/>
          <w:sz w:val="18"/>
          <w:szCs w:val="18"/>
          <w:color w:val="auto"/>
        </w:rPr>
        <w:t>Xylem agrees to the following:</w:t>
      </w:r>
    </w:p>
    <w:p>
      <w:pPr>
        <w:spacing w:after="0" w:line="68" w:lineRule="exact"/>
        <w:rPr>
          <w:rFonts w:ascii="Calibri" w:cs="Calibri" w:eastAsia="Calibri" w:hAnsi="Calibri"/>
          <w:sz w:val="19"/>
          <w:szCs w:val="19"/>
          <w:color w:val="auto"/>
        </w:rPr>
      </w:pPr>
    </w:p>
    <w:p>
      <w:pPr>
        <w:jc w:val="both"/>
        <w:ind w:left="660" w:hanging="328"/>
        <w:spacing w:after="0" w:line="235" w:lineRule="auto"/>
        <w:tabs>
          <w:tab w:leader="none" w:pos="659" w:val="left"/>
        </w:tabs>
        <w:numPr>
          <w:ilvl w:val="1"/>
          <w:numId w:val="46"/>
        </w:numPr>
        <w:rPr>
          <w:rFonts w:ascii="Calibri" w:cs="Calibri" w:eastAsia="Calibri" w:hAnsi="Calibri"/>
          <w:sz w:val="19"/>
          <w:szCs w:val="19"/>
          <w:color w:val="auto"/>
        </w:rPr>
      </w:pPr>
      <w:r>
        <w:rPr>
          <w:rFonts w:ascii="Calibri" w:cs="Calibri" w:eastAsia="Calibri" w:hAnsi="Calibri"/>
          <w:sz w:val="18"/>
          <w:szCs w:val="18"/>
          <w:color w:val="auto"/>
        </w:rPr>
        <w:t>Xylem waives, releases and forever discharges me and my heirs (collectvely "Rowland Releasees") from any and all claims, demands, debts, liabilites, obligatons, expenses (including atorney's fees and costs), promises, covenants, controversies, grievances, claims, suits, actons or causes of acton, in law or in equity, known or unknown, foreseen or unforeseen, contngent or not contngent, liquidated or not liquidated, which they or any of them may have had in the past, may have now, or may in the future claim to have against any Rowland Releasees arising out of, in relaton to or with respect to any incident, event, act or omission occurring at any tme prior to the signing of this Release. The release in this paragraph 6(a) shall not operate as a release or waiver of claims or rights that may arise afer the date of the executon of this Release or any rights under the restrictve covenants, agreements and plans described in paragraph 5 (collectvely, the "Xylem Reserved Rights") and the release in this paragraph 6(a) shall not afect Xylem’s right to seek enforcement of the terms and conditons of the Memorandum, this Release and/or the Xylem Reserved Rights.</w:t>
      </w:r>
    </w:p>
    <w:p>
      <w:pPr>
        <w:spacing w:after="0" w:line="63" w:lineRule="exact"/>
        <w:rPr>
          <w:rFonts w:ascii="Calibri" w:cs="Calibri" w:eastAsia="Calibri" w:hAnsi="Calibri"/>
          <w:sz w:val="19"/>
          <w:szCs w:val="19"/>
          <w:color w:val="auto"/>
        </w:rPr>
      </w:pPr>
    </w:p>
    <w:p>
      <w:pPr>
        <w:jc w:val="both"/>
        <w:ind w:left="660" w:hanging="328"/>
        <w:spacing w:after="0" w:line="236" w:lineRule="auto"/>
        <w:tabs>
          <w:tab w:leader="none" w:pos="655" w:val="left"/>
        </w:tabs>
        <w:numPr>
          <w:ilvl w:val="1"/>
          <w:numId w:val="46"/>
        </w:numPr>
        <w:rPr>
          <w:rFonts w:ascii="Calibri" w:cs="Calibri" w:eastAsia="Calibri" w:hAnsi="Calibri"/>
          <w:sz w:val="19"/>
          <w:szCs w:val="19"/>
          <w:color w:val="auto"/>
        </w:rPr>
      </w:pPr>
      <w:r>
        <w:rPr>
          <w:rFonts w:ascii="Calibri" w:cs="Calibri" w:eastAsia="Calibri" w:hAnsi="Calibri"/>
          <w:sz w:val="18"/>
          <w:szCs w:val="18"/>
          <w:color w:val="auto"/>
        </w:rPr>
        <w:t>From and afer the date of this Release, Xylem Inc. agrees, and agrees to cause each of its direct and indirect wholly or partally owned subsidiaries and other afliates worldwide (collectvely, “Subsidiaries”), to jointly and severally indemnify and hold harmless Employee in respect of his service as an ofcer and/or director of Xylem Inc. and any of its Subsidiaries to the same extent Employee is indemnifed by Xylem Inc. or its Subsidiaries as of the date hereof pursuant to the governing documents of Xylem Inc. or its Subsidiaries or any agreement between Xylem Inc. or its Subsidiaries and Employee, for acts or omissions occurring at or prior to the date of this Release.</w:t>
      </w:r>
    </w:p>
    <w:p>
      <w:pPr>
        <w:spacing w:after="0" w:line="55" w:lineRule="exact"/>
        <w:rPr>
          <w:rFonts w:ascii="Calibri" w:cs="Calibri" w:eastAsia="Calibri" w:hAnsi="Calibri"/>
          <w:sz w:val="19"/>
          <w:szCs w:val="19"/>
          <w:color w:val="auto"/>
        </w:rPr>
      </w:pPr>
    </w:p>
    <w:p>
      <w:pPr>
        <w:ind w:left="660" w:hanging="328"/>
        <w:spacing w:after="0" w:line="228" w:lineRule="auto"/>
        <w:tabs>
          <w:tab w:leader="none" w:pos="649" w:val="left"/>
        </w:tabs>
        <w:numPr>
          <w:ilvl w:val="1"/>
          <w:numId w:val="46"/>
        </w:numPr>
        <w:rPr>
          <w:rFonts w:ascii="Calibri" w:cs="Calibri" w:eastAsia="Calibri" w:hAnsi="Calibri"/>
          <w:sz w:val="19"/>
          <w:szCs w:val="19"/>
          <w:color w:val="auto"/>
        </w:rPr>
      </w:pPr>
      <w:r>
        <w:rPr>
          <w:rFonts w:ascii="Calibri" w:cs="Calibri" w:eastAsia="Calibri" w:hAnsi="Calibri"/>
          <w:sz w:val="18"/>
          <w:szCs w:val="18"/>
          <w:color w:val="auto"/>
        </w:rPr>
        <w:t>Xylem, including on behalf of its Subsidiaries, its corporate ofcers and members of the Board of Directors, agrees not to slander, defame, disparage or otherwise injure my reputaton.</w:t>
      </w:r>
    </w:p>
    <w:p>
      <w:pPr>
        <w:spacing w:after="0" w:line="56" w:lineRule="exact"/>
        <w:rPr>
          <w:rFonts w:ascii="Calibri" w:cs="Calibri" w:eastAsia="Calibri" w:hAnsi="Calibri"/>
          <w:sz w:val="19"/>
          <w:szCs w:val="19"/>
          <w:color w:val="auto"/>
        </w:rPr>
      </w:pPr>
    </w:p>
    <w:p>
      <w:pPr>
        <w:jc w:val="both"/>
        <w:ind w:left="340" w:hanging="332"/>
        <w:spacing w:after="0" w:line="236" w:lineRule="auto"/>
        <w:tabs>
          <w:tab w:leader="none" w:pos="335" w:val="left"/>
        </w:tabs>
        <w:numPr>
          <w:ilvl w:val="0"/>
          <w:numId w:val="46"/>
        </w:numPr>
        <w:rPr>
          <w:rFonts w:ascii="Calibri" w:cs="Calibri" w:eastAsia="Calibri" w:hAnsi="Calibri"/>
          <w:sz w:val="19"/>
          <w:szCs w:val="19"/>
          <w:color w:val="auto"/>
        </w:rPr>
      </w:pPr>
      <w:r>
        <w:rPr>
          <w:rFonts w:ascii="Calibri" w:cs="Calibri" w:eastAsia="Calibri" w:hAnsi="Calibri"/>
          <w:sz w:val="18"/>
          <w:szCs w:val="18"/>
          <w:color w:val="auto"/>
        </w:rPr>
        <w:t>I acknowledge: (i) I have been advised in writng to consult with an atorney of my own choice regarding this Release and the Memorandum and have had an opportunity to do so; (ii) I have been advised in writng I have 21 calendar days from my receipt of this Release and the Memorandum to review and consider them; (iii) I fully understand the terms and conditons of this Release and the Memorandum; (iv) I am voluntarily and of my own free will executng this Release and the Memorandum on the date refected below and I was not</w:t>
      </w:r>
    </w:p>
    <w:p>
      <w:pPr>
        <w:sectPr>
          <w:pgSz w:w="11900" w:h="16838" w:orient="portrait"/>
          <w:cols w:equalWidth="0" w:num="1">
            <w:col w:w="11240"/>
          </w:cols>
          <w:pgMar w:left="320" w:top="112" w:right="339" w:bottom="1440" w:gutter="0" w:footer="0" w:header="0"/>
        </w:sectPr>
      </w:pPr>
    </w:p>
    <w:bookmarkStart w:id="145" w:name="page146"/>
    <w:bookmarkEnd w:id="145"/>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 xml:space="preserve">subjected to any duress or undue infuence in connecton with my decision to execute them; and (v) during a period of 7 calendar days following my executon of this Release and the Memorandum, I may revoke such executons and this Release and the Memorandum shall not be efectve or enforceable untl such 7 calendar-day period has expired. Should I desire to revoke this Release and the Memorandum, my revocaton must be made in writng and sent to the atenton of Shan Jarvis, VP, Global Compensaton, Benefts &amp; Wellness, via email to </w:t>
      </w:r>
      <w:r>
        <w:rPr>
          <w:rFonts w:ascii="Calibri" w:cs="Calibri" w:eastAsia="Calibri" w:hAnsi="Calibri"/>
          <w:sz w:val="18"/>
          <w:szCs w:val="18"/>
          <w:u w:val="single" w:color="auto"/>
          <w:color w:val="0000FF"/>
        </w:rPr>
        <w:t>Shannon.Jarvis@xylem.com</w:t>
      </w:r>
      <w:r>
        <w:rPr>
          <w:rFonts w:ascii="Calibri" w:cs="Calibri" w:eastAsia="Calibri" w:hAnsi="Calibri"/>
          <w:sz w:val="18"/>
          <w:szCs w:val="18"/>
          <w:color w:val="auto"/>
        </w:rPr>
        <w:t xml:space="preserve"> within the 7 calendar-day revocaton period.</w:t>
      </w:r>
    </w:p>
    <w:p>
      <w:pPr>
        <w:spacing w:after="0" w:line="58" w:lineRule="exact"/>
        <w:rPr>
          <w:sz w:val="20"/>
          <w:szCs w:val="20"/>
          <w:color w:val="auto"/>
        </w:rPr>
      </w:pPr>
    </w:p>
    <w:p>
      <w:pPr>
        <w:jc w:val="both"/>
        <w:ind w:left="340" w:hanging="332"/>
        <w:spacing w:after="0" w:line="236" w:lineRule="auto"/>
        <w:tabs>
          <w:tab w:leader="none" w:pos="335" w:val="left"/>
        </w:tabs>
        <w:numPr>
          <w:ilvl w:val="0"/>
          <w:numId w:val="47"/>
        </w:numPr>
        <w:rPr>
          <w:rFonts w:ascii="Calibri" w:cs="Calibri" w:eastAsia="Calibri" w:hAnsi="Calibri"/>
          <w:sz w:val="19"/>
          <w:szCs w:val="19"/>
          <w:color w:val="auto"/>
        </w:rPr>
      </w:pPr>
      <w:r>
        <w:rPr>
          <w:rFonts w:ascii="Calibri" w:cs="Calibri" w:eastAsia="Calibri" w:hAnsi="Calibri"/>
          <w:sz w:val="18"/>
          <w:szCs w:val="18"/>
          <w:color w:val="auto"/>
        </w:rPr>
        <w:t>This Release and the Memorandum, which is incorporated herein, contain the entre agreement between me, Xylem, and all Releasees relatng to the subject mater thereof. I represent and acknowledge in signing this Release and the Memorandum, I have not relied upon any representaton or statement, oral or writen, not otherwise set forth herein. No amendment to this Release or the Memorandum shall be binding unless it is in writng, expressly designated as an amendment, dated, and signed by the partes.</w:t>
      </w:r>
    </w:p>
    <w:p>
      <w:pPr>
        <w:spacing w:after="0" w:line="55" w:lineRule="exact"/>
        <w:rPr>
          <w:rFonts w:ascii="Calibri" w:cs="Calibri" w:eastAsia="Calibri" w:hAnsi="Calibri"/>
          <w:sz w:val="19"/>
          <w:szCs w:val="19"/>
          <w:color w:val="auto"/>
        </w:rPr>
      </w:pPr>
    </w:p>
    <w:p>
      <w:pPr>
        <w:jc w:val="both"/>
        <w:ind w:left="340" w:hanging="332"/>
        <w:spacing w:after="0" w:line="236" w:lineRule="auto"/>
        <w:tabs>
          <w:tab w:leader="none" w:pos="335" w:val="left"/>
        </w:tabs>
        <w:numPr>
          <w:ilvl w:val="0"/>
          <w:numId w:val="47"/>
        </w:numPr>
        <w:rPr>
          <w:rFonts w:ascii="Calibri" w:cs="Calibri" w:eastAsia="Calibri" w:hAnsi="Calibri"/>
          <w:sz w:val="19"/>
          <w:szCs w:val="19"/>
          <w:color w:val="auto"/>
        </w:rPr>
      </w:pPr>
      <w:r>
        <w:rPr>
          <w:rFonts w:ascii="Calibri" w:cs="Calibri" w:eastAsia="Calibri" w:hAnsi="Calibri"/>
          <w:sz w:val="18"/>
          <w:szCs w:val="18"/>
          <w:color w:val="auto"/>
        </w:rPr>
        <w:t>Nothing in this Release or the Memorandum consttutes an admission of liability by Xylem or any Releasees or me, and this Release and/or the Memorandum will not be used by me, Xylem or any other entty or person as evidence in any administratve or legal proceeding or trial, except to enforce the terms of this Release, Memorandum and/or the Reserved Rights.</w:t>
      </w:r>
    </w:p>
    <w:p>
      <w:pPr>
        <w:spacing w:after="0" w:line="55" w:lineRule="exact"/>
        <w:rPr>
          <w:rFonts w:ascii="Calibri" w:cs="Calibri" w:eastAsia="Calibri" w:hAnsi="Calibri"/>
          <w:sz w:val="19"/>
          <w:szCs w:val="19"/>
          <w:color w:val="auto"/>
        </w:rPr>
      </w:pPr>
    </w:p>
    <w:p>
      <w:pPr>
        <w:jc w:val="both"/>
        <w:ind w:left="340" w:hanging="332"/>
        <w:spacing w:after="0" w:line="232" w:lineRule="auto"/>
        <w:tabs>
          <w:tab w:leader="none" w:pos="336" w:val="left"/>
        </w:tabs>
        <w:numPr>
          <w:ilvl w:val="0"/>
          <w:numId w:val="47"/>
        </w:numPr>
        <w:rPr>
          <w:rFonts w:ascii="Calibri" w:cs="Calibri" w:eastAsia="Calibri" w:hAnsi="Calibri"/>
          <w:sz w:val="19"/>
          <w:szCs w:val="19"/>
          <w:color w:val="auto"/>
        </w:rPr>
      </w:pPr>
      <w:r>
        <w:rPr>
          <w:rFonts w:ascii="Calibri" w:cs="Calibri" w:eastAsia="Calibri" w:hAnsi="Calibri"/>
          <w:sz w:val="18"/>
          <w:szCs w:val="18"/>
          <w:color w:val="auto"/>
        </w:rPr>
        <w:t>This Release and the Memorandum shall be construed in accordance with the laws of the State of Indiana. Should any provision of this Release or the Memorandum be determined invalid or unenforceable, the validity of the remaining provisions shall not be afected and shall remain in full force and efect to the maximum extent permited by law. Any claim or dispute involving the Memorandum and/or Release shall be resolved in Indiana state courts or federal courts, both located in Marion County, Indiana. The partes mutually agree to waive a jury trial in any such proceeding.</w:t>
      </w:r>
    </w:p>
    <w:p>
      <w:pPr>
        <w:spacing w:after="0" w:line="39" w:lineRule="exact"/>
        <w:rPr>
          <w:rFonts w:ascii="Calibri" w:cs="Calibri" w:eastAsia="Calibri" w:hAnsi="Calibri"/>
          <w:sz w:val="19"/>
          <w:szCs w:val="19"/>
          <w:color w:val="auto"/>
        </w:rPr>
      </w:pPr>
    </w:p>
    <w:p>
      <w:pPr>
        <w:ind w:left="320" w:hanging="312"/>
        <w:spacing w:after="0"/>
        <w:tabs>
          <w:tab w:leader="none" w:pos="320" w:val="left"/>
        </w:tabs>
        <w:numPr>
          <w:ilvl w:val="0"/>
          <w:numId w:val="47"/>
        </w:numPr>
        <w:rPr>
          <w:rFonts w:ascii="Calibri" w:cs="Calibri" w:eastAsia="Calibri" w:hAnsi="Calibri"/>
          <w:sz w:val="19"/>
          <w:szCs w:val="19"/>
          <w:color w:val="auto"/>
        </w:rPr>
      </w:pPr>
      <w:r>
        <w:rPr>
          <w:rFonts w:ascii="Calibri" w:cs="Calibri" w:eastAsia="Calibri" w:hAnsi="Calibri"/>
          <w:sz w:val="18"/>
          <w:szCs w:val="18"/>
          <w:color w:val="auto"/>
        </w:rPr>
        <w:t>The Memorandum and Release may be assigned to the successors and assigns of Xylem Inc.</w:t>
      </w:r>
    </w:p>
    <w:p>
      <w:pPr>
        <w:spacing w:after="0" w:line="68" w:lineRule="exact"/>
        <w:rPr>
          <w:rFonts w:ascii="Calibri" w:cs="Calibri" w:eastAsia="Calibri" w:hAnsi="Calibri"/>
          <w:sz w:val="19"/>
          <w:szCs w:val="19"/>
          <w:color w:val="auto"/>
        </w:rPr>
      </w:pPr>
    </w:p>
    <w:p>
      <w:pPr>
        <w:ind w:left="340" w:hanging="332"/>
        <w:spacing w:after="0" w:line="236" w:lineRule="auto"/>
        <w:tabs>
          <w:tab w:leader="none" w:pos="336" w:val="left"/>
        </w:tabs>
        <w:numPr>
          <w:ilvl w:val="0"/>
          <w:numId w:val="47"/>
        </w:numPr>
        <w:rPr>
          <w:rFonts w:ascii="Calibri" w:cs="Calibri" w:eastAsia="Calibri" w:hAnsi="Calibri"/>
          <w:sz w:val="19"/>
          <w:szCs w:val="19"/>
          <w:color w:val="auto"/>
        </w:rPr>
      </w:pPr>
      <w:r>
        <w:rPr>
          <w:rFonts w:ascii="Calibri" w:cs="Calibri" w:eastAsia="Calibri" w:hAnsi="Calibri"/>
          <w:sz w:val="18"/>
          <w:szCs w:val="18"/>
          <w:color w:val="auto"/>
        </w:rPr>
        <w:t>In the event of my death during the Severance Period, the unpaid amount of Severance Pay remaining shall be paid in a discounted lump sum to such benefciary or benefciaries designated by me in writng, or if such designaton has not been made, to my estate.</w:t>
      </w:r>
    </w:p>
    <w:p>
      <w:pPr>
        <w:spacing w:after="0" w:line="55" w:lineRule="exact"/>
        <w:rPr>
          <w:rFonts w:ascii="Calibri" w:cs="Calibri" w:eastAsia="Calibri" w:hAnsi="Calibri"/>
          <w:sz w:val="19"/>
          <w:szCs w:val="19"/>
          <w:color w:val="auto"/>
        </w:rPr>
      </w:pPr>
    </w:p>
    <w:p>
      <w:pPr>
        <w:ind w:left="340" w:hanging="332"/>
        <w:spacing w:after="0" w:line="236" w:lineRule="auto"/>
        <w:tabs>
          <w:tab w:leader="none" w:pos="336" w:val="left"/>
        </w:tabs>
        <w:numPr>
          <w:ilvl w:val="0"/>
          <w:numId w:val="47"/>
        </w:numPr>
        <w:rPr>
          <w:rFonts w:ascii="Calibri" w:cs="Calibri" w:eastAsia="Calibri" w:hAnsi="Calibri"/>
          <w:sz w:val="19"/>
          <w:szCs w:val="19"/>
          <w:color w:val="auto"/>
        </w:rPr>
      </w:pPr>
      <w:r>
        <w:rPr>
          <w:rFonts w:ascii="Calibri" w:cs="Calibri" w:eastAsia="Calibri" w:hAnsi="Calibri"/>
          <w:sz w:val="18"/>
          <w:szCs w:val="18"/>
          <w:color w:val="auto"/>
        </w:rPr>
        <w:t xml:space="preserve">I have carefully read this Release and the Memorandum, fully understand their provisions, and my signature below indicates my understanding and agreement with their terms and </w:t>
      </w:r>
      <w:r>
        <w:rPr>
          <w:rFonts w:ascii="Calibri" w:cs="Calibri" w:eastAsia="Calibri" w:hAnsi="Calibri"/>
          <w:sz w:val="18"/>
          <w:szCs w:val="18"/>
          <w:color w:val="181818"/>
        </w:rPr>
        <w:t>conditons.</w:t>
      </w:r>
    </w:p>
    <w:p>
      <w:pPr>
        <w:spacing w:after="0" w:line="5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181818"/>
        </w:rPr>
        <w:t xml:space="preserve">A scanned copy of the signed Release and Memorandum must be emailed to Shan Jarvis, VP, Global Compensaton, Benefts &amp; Wellness at </w:t>
      </w:r>
      <w:r>
        <w:rPr>
          <w:rFonts w:ascii="Calibri" w:cs="Calibri" w:eastAsia="Calibri" w:hAnsi="Calibri"/>
          <w:sz w:val="18"/>
          <w:szCs w:val="18"/>
          <w:u w:val="single" w:color="auto"/>
          <w:color w:val="0000FF"/>
        </w:rPr>
        <w:t>Shannon.Jarvis@xylem.com.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color w:val="181618"/>
        </w:rPr>
        <w:t>EMPLOYEE: Sandy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44062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1560" w:val="left"/>
        </w:tabs>
        <w:rPr>
          <w:sz w:val="20"/>
          <w:szCs w:val="20"/>
          <w:color w:val="auto"/>
        </w:rPr>
      </w:pPr>
      <w:r>
        <w:rPr>
          <w:rFonts w:ascii="Calibri" w:cs="Calibri" w:eastAsia="Calibri" w:hAnsi="Calibri"/>
          <w:sz w:val="18"/>
          <w:szCs w:val="18"/>
          <w:color w:val="181618"/>
        </w:rPr>
        <w:t>Employee Signature</w:t>
      </w:r>
      <w:r>
        <w:rPr>
          <w:sz w:val="20"/>
          <w:szCs w:val="20"/>
          <w:color w:val="auto"/>
        </w:rPr>
        <w:tab/>
      </w:r>
      <w:r>
        <w:rPr>
          <w:rFonts w:ascii="Calibri" w:cs="Calibri" w:eastAsia="Calibri" w:hAnsi="Calibri"/>
          <w:sz w:val="17"/>
          <w:szCs w:val="17"/>
          <w:color w:val="181618"/>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color w:val="181618"/>
        </w:rPr>
        <w:t>EMPLOYER: Xylem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color w:val="181618"/>
        </w:rPr>
        <w:t>_______________________________________________</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181618"/>
        </w:rPr>
        <w:t>Shan Jarvis, VP, Global Compensaton, Benefts &amp; Wellness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181618"/>
        </w:rPr>
        <w:t>Xylem Inc. 301 Water Street SE, Washington, DC, 20003</w:t>
      </w:r>
    </w:p>
    <w:p>
      <w:pPr>
        <w:sectPr>
          <w:pgSz w:w="11900" w:h="16838" w:orient="portrait"/>
          <w:cols w:equalWidth="0" w:num="1">
            <w:col w:w="11240"/>
          </w:cols>
          <w:pgMar w:left="320" w:top="139" w:right="339" w:bottom="1440" w:gutter="0" w:footer="0" w:header="0"/>
        </w:sectPr>
      </w:pPr>
    </w:p>
    <w:bookmarkStart w:id="146" w:name="page147"/>
    <w:bookmarkEnd w:id="146"/>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181818"/>
        </w:rPr>
        <w:t>Exhibit A</w:t>
      </w:r>
    </w:p>
    <w:p>
      <w:pPr>
        <w:spacing w:after="0" w:line="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181818"/>
        </w:rPr>
        <w:t>Long-Term Incentve Awards</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Terminaton Date: March 31, 2024</w:t>
      </w:r>
    </w:p>
    <w:p>
      <w:pPr>
        <w:spacing w:after="0" w:line="235" w:lineRule="auto"/>
        <w:rPr>
          <w:sz w:val="20"/>
          <w:szCs w:val="20"/>
          <w:color w:val="auto"/>
        </w:rPr>
      </w:pPr>
      <w:r>
        <w:rPr>
          <w:rFonts w:ascii="Calibri" w:cs="Calibri" w:eastAsia="Calibri" w:hAnsi="Calibri"/>
          <w:sz w:val="18"/>
          <w:szCs w:val="18"/>
          <w:color w:val="auto"/>
        </w:rPr>
        <w:t>Age as of Terminaton: 52</w:t>
      </w:r>
    </w:p>
    <w:p>
      <w:pPr>
        <w:spacing w:after="0" w:line="236" w:lineRule="auto"/>
        <w:rPr>
          <w:sz w:val="20"/>
          <w:szCs w:val="20"/>
          <w:color w:val="auto"/>
        </w:rPr>
      </w:pPr>
      <w:r>
        <w:rPr>
          <w:rFonts w:ascii="Calibri" w:cs="Calibri" w:eastAsia="Calibri" w:hAnsi="Calibri"/>
          <w:sz w:val="18"/>
          <w:szCs w:val="18"/>
          <w:color w:val="auto"/>
        </w:rPr>
        <w:t>Years of Service as of Terminaton Date: 3 years and 6 months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618"/>
        </w:rPr>
        <w:t>Stock Optons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181618"/>
        </w:rPr>
        <w:t>Unvested stock optons are forfeited and cancelled upon terminaton on the Terminaton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5349240" cy="12261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534924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618"/>
        </w:rPr>
        <w:t>Restricted Stock Units (RSUs)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181618"/>
        </w:rPr>
        <w:t>Unvested RSUs are forfeited and cancelled upon terminaton on the Terminaton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4208780" cy="908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420878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618"/>
        </w:rPr>
        <w:t>Performance Share Units (PSUs)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181618"/>
        </w:rPr>
        <w:t>Unvested PSUs are forfeited and cancelled upon terminaton on the Terminaton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4980305" cy="20231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498030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above is a summary of the treatment of your long-term incentve grants upon terminaton on the Separaton Date. If there is a confict between this summary and the applicable plan documents and grant agreements, the plan documents and grant agreements will govern.</w:t>
      </w:r>
    </w:p>
    <w:p>
      <w:pPr>
        <w:sectPr>
          <w:pgSz w:w="11900" w:h="16838" w:orient="portrait"/>
          <w:cols w:equalWidth="0" w:num="1">
            <w:col w:w="11240"/>
          </w:cols>
          <w:pgMar w:left="320" w:top="112" w:right="339" w:bottom="1440" w:gutter="0" w:footer="0" w:header="0"/>
        </w:sectPr>
      </w:pPr>
    </w:p>
    <w:bookmarkStart w:id="147" w:name="page148"/>
    <w:bookmarkEnd w:id="147"/>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Based on the transiton services agreement between you and the company, the company currently does not expect you to be a Restricted Insider as of your Separaton Date. Please note however that per Policy 40-04 and Securites and Exchange Commission regulatons, you are not permited to trade any securites at any tme, including afer your Separaton Date, on the basis of material, non-public informaton.</w:t>
      </w:r>
    </w:p>
    <w:p>
      <w:pPr>
        <w:sectPr>
          <w:pgSz w:w="11900" w:h="16838" w:orient="portrait"/>
          <w:cols w:equalWidth="0" w:num="1">
            <w:col w:w="11240"/>
          </w:cols>
          <w:pgMar w:left="320" w:top="139"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line="233" w:lineRule="auto"/>
        <w:rPr>
          <w:sz w:val="20"/>
          <w:szCs w:val="20"/>
          <w:color w:val="auto"/>
        </w:rPr>
      </w:pPr>
      <w:r>
        <w:rPr>
          <w:rFonts w:ascii="Calibri" w:cs="Calibri" w:eastAsia="Calibri" w:hAnsi="Calibri"/>
          <w:sz w:val="20"/>
          <w:szCs w:val="20"/>
          <w:color w:val="auto"/>
        </w:rPr>
        <w:t>All words or phrases that are capitalized are defned in the “Key Terms and Defnitons” secton of this policy, unless otherwise defned in the body of the policy. Use of the terms “Xylem” or “Company” in this policy refers to Xylem Inc. and its subsidiaries. Use of the terms “you” or “your” in this policy refers to the persons and enttes covered by this policy as described in “Persons and Enttes Covered” in the “Scope” secton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90805</wp:posOffset>
            </wp:positionV>
            <wp:extent cx="546925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5469255" cy="18859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00" w:right="20"/>
        <w:spacing w:after="0" w:line="233" w:lineRule="auto"/>
        <w:rPr>
          <w:sz w:val="20"/>
          <w:szCs w:val="20"/>
          <w:color w:val="auto"/>
        </w:rPr>
      </w:pPr>
      <w:r>
        <w:rPr>
          <w:rFonts w:ascii="Calibri" w:cs="Calibri" w:eastAsia="Calibri" w:hAnsi="Calibri"/>
          <w:sz w:val="20"/>
          <w:szCs w:val="20"/>
          <w:color w:val="auto"/>
        </w:rPr>
        <w:t>Federal and state laws prohibit an individual and companies from purchasing, selling or making other transfers of Securites of a U.S. public company while in possession of Material Non-Public Informaton concerning that company or its Securites (commonly referred to as “insider trading”). These laws also prohibit disclosing Material Non-Public Informaton to others who then trade on the basis of that informaton (commonly referred to as “tpping”).</w:t>
      </w:r>
    </w:p>
    <w:p>
      <w:pPr>
        <w:spacing w:after="0" w:line="253" w:lineRule="exact"/>
        <w:rPr>
          <w:sz w:val="20"/>
          <w:szCs w:val="20"/>
          <w:color w:val="auto"/>
        </w:rPr>
      </w:pPr>
    </w:p>
    <w:p>
      <w:pPr>
        <w:ind w:left="200" w:right="20"/>
        <w:spacing w:after="0" w:line="233" w:lineRule="auto"/>
        <w:rPr>
          <w:sz w:val="20"/>
          <w:szCs w:val="20"/>
          <w:color w:val="auto"/>
        </w:rPr>
      </w:pPr>
      <w:r>
        <w:rPr>
          <w:rFonts w:ascii="Calibri" w:cs="Calibri" w:eastAsia="Calibri" w:hAnsi="Calibri"/>
          <w:sz w:val="20"/>
          <w:szCs w:val="20"/>
          <w:color w:val="auto"/>
        </w:rPr>
        <w:t>The consequences for insider trading and tpping violatons can be severe. Individuals who engage in insider trading may be subject to signifcant criminal and civil penaltes, including imprisonment, substantal fnes and repayment of any proft made or loss avoided. In the event of “tpping” allegatons, penaltes may apply to the tpper even if the individual does not personally beneft. An individual charged with insider trading or tpping will also personally incur legal defense fees and costs, which can be substantal. Companies and their directors, ofcers and other supervisory personnel may be subject to criminal and civil fnes and penaltes for failure to take appropriate steps to prevent insider trading.</w:t>
      </w:r>
    </w:p>
    <w:p>
      <w:pPr>
        <w:spacing w:after="0" w:line="238" w:lineRule="exact"/>
        <w:rPr>
          <w:sz w:val="20"/>
          <w:szCs w:val="20"/>
          <w:color w:val="auto"/>
        </w:rPr>
      </w:pPr>
    </w:p>
    <w:p>
      <w:pPr>
        <w:ind w:left="200"/>
        <w:spacing w:after="0" w:line="233" w:lineRule="auto"/>
        <w:rPr>
          <w:sz w:val="20"/>
          <w:szCs w:val="20"/>
          <w:color w:val="auto"/>
        </w:rPr>
      </w:pPr>
      <w:r>
        <w:rPr>
          <w:rFonts w:ascii="Calibri" w:cs="Calibri" w:eastAsia="Calibri" w:hAnsi="Calibri"/>
          <w:sz w:val="20"/>
          <w:szCs w:val="20"/>
          <w:color w:val="auto"/>
        </w:rPr>
        <w:t>The objectves of this policy are: a) to promote compliance with applicable securites laws and avoid even the appearance of improper conduct relatve to these laws; b) to describe the general standards and procedures for engaging in transactons involving Xylem Securites or the Securites of other publicly traded companies; and c) to preserve the reputaton and integrity of Xylem and its Directors, ofcers and employees.</w:t>
      </w:r>
    </w:p>
    <w:p>
      <w:pPr>
        <w:spacing w:after="0" w:line="253" w:lineRule="exact"/>
        <w:rPr>
          <w:sz w:val="20"/>
          <w:szCs w:val="20"/>
          <w:color w:val="auto"/>
        </w:rPr>
      </w:pPr>
    </w:p>
    <w:p>
      <w:pPr>
        <w:ind w:left="200" w:right="280"/>
        <w:spacing w:after="0" w:line="231" w:lineRule="auto"/>
        <w:rPr>
          <w:sz w:val="20"/>
          <w:szCs w:val="20"/>
          <w:color w:val="auto"/>
        </w:rPr>
      </w:pPr>
      <w:r>
        <w:rPr>
          <w:rFonts w:ascii="Calibri" w:cs="Calibri" w:eastAsia="Calibri" w:hAnsi="Calibri"/>
          <w:sz w:val="20"/>
          <w:szCs w:val="20"/>
          <w:color w:val="auto"/>
        </w:rPr>
        <w:t>It is the responsibility of all Directors, ofcers, employees, contractors and consultants to read, understand and comply with this policy and insider trading laws. You must also ensure that your Family Members and Controlled Enttes, as applicable, comply with this policy and applicable laws. Xylem may take disciplinary actons against a Director, ofcer or employee for their or their Family Member or Controlled Entty’s failure to comply with this policy, up to and including terminaton of employment or afliaton with Xylem.</w:t>
      </w:r>
    </w:p>
    <w:p>
      <w:pPr>
        <w:spacing w:after="0" w:line="256" w:lineRule="exact"/>
        <w:rPr>
          <w:sz w:val="20"/>
          <w:szCs w:val="20"/>
          <w:color w:val="auto"/>
        </w:rPr>
      </w:pPr>
    </w:p>
    <w:p>
      <w:pPr>
        <w:ind w:left="200" w:right="260"/>
        <w:spacing w:after="0" w:line="233" w:lineRule="auto"/>
        <w:rPr>
          <w:sz w:val="20"/>
          <w:szCs w:val="20"/>
          <w:color w:val="auto"/>
        </w:rPr>
      </w:pPr>
      <w:r>
        <w:rPr>
          <w:rFonts w:ascii="Calibri" w:cs="Calibri" w:eastAsia="Calibri" w:hAnsi="Calibri"/>
          <w:sz w:val="20"/>
          <w:szCs w:val="20"/>
          <w:color w:val="auto"/>
        </w:rPr>
        <w:t>Questons about this policy or its applicaton to any proposed Securites transacton should be directed to the Ofce of the General Counsel. While this policy is intended to protect you and the Company from insider trading violatons, the maters set forth in this policy are guidelines only and are not intended to replace your ultmate responsibility for understanding and complying with securites laws and adhering to this policy. Any acton on the part of the Company, the Ofce of the General Counsel or any other employee does not in any way consttute legal advice or insulate you from liability. You should report suspected violatons of this policy to the Ofce of the General Counsel or via other reportng channels specifed in the Company’s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w:t>
      </w:r>
    </w:p>
    <w:p>
      <w:pPr>
        <w:spacing w:after="0" w:line="40"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180"/>
          </w:cols>
          <w:pgMar w:left="360" w:top="141" w:right="3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796290</wp:posOffset>
            </wp:positionV>
            <wp:extent cx="541782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54178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line="231" w:lineRule="auto"/>
        <w:rPr>
          <w:sz w:val="20"/>
          <w:szCs w:val="20"/>
          <w:color w:val="auto"/>
        </w:rPr>
      </w:pPr>
      <w:r>
        <w:rPr>
          <w:rFonts w:ascii="Calibri" w:cs="Calibri" w:eastAsia="Calibri" w:hAnsi="Calibri"/>
          <w:sz w:val="20"/>
          <w:szCs w:val="20"/>
          <w:i w:val="1"/>
          <w:iCs w:val="1"/>
          <w:color w:val="auto"/>
        </w:rPr>
        <w:t xml:space="preserve">Persons and Enttes Covered. </w:t>
      </w:r>
      <w:r>
        <w:rPr>
          <w:rFonts w:ascii="Calibri" w:cs="Calibri" w:eastAsia="Calibri" w:hAnsi="Calibri"/>
          <w:sz w:val="20"/>
          <w:szCs w:val="20"/>
          <w:color w:val="auto"/>
        </w:rPr>
        <w:t>This policy applies to: a) all Xylem Directors, ofcers and employees, b) each such person’s Family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Members and Controlled Enttes, and c) contractors or consultants who have or may be provided with Material Non-Public Informaton in the course and scope of their services to Xylem. Because Xylem is a US company, US securites laws apply to all Xylem Directors, ofcers and employees globally. Individuals who are citzens or residents of non-US countries are not insulated from compliance with US securites laws and this policy.</w:t>
      </w:r>
    </w:p>
    <w:p>
      <w:pPr>
        <w:spacing w:after="0" w:line="256" w:lineRule="exact"/>
        <w:rPr>
          <w:sz w:val="20"/>
          <w:szCs w:val="20"/>
          <w:color w:val="auto"/>
        </w:rPr>
      </w:pPr>
    </w:p>
    <w:p>
      <w:pPr>
        <w:jc w:val="both"/>
        <w:ind w:left="200" w:right="140"/>
        <w:spacing w:after="0" w:line="231" w:lineRule="auto"/>
        <w:rPr>
          <w:sz w:val="20"/>
          <w:szCs w:val="20"/>
          <w:color w:val="auto"/>
        </w:rPr>
      </w:pPr>
      <w:r>
        <w:rPr>
          <w:rFonts w:ascii="Calibri" w:cs="Calibri" w:eastAsia="Calibri" w:hAnsi="Calibri"/>
          <w:sz w:val="20"/>
          <w:szCs w:val="20"/>
          <w:i w:val="1"/>
          <w:iCs w:val="1"/>
          <w:color w:val="auto"/>
        </w:rPr>
        <w:t xml:space="preserve">Securites Covered. </w:t>
      </w:r>
      <w:r>
        <w:rPr>
          <w:rFonts w:ascii="Calibri" w:cs="Calibri" w:eastAsia="Calibri" w:hAnsi="Calibri"/>
          <w:sz w:val="20"/>
          <w:szCs w:val="20"/>
          <w:color w:val="auto"/>
        </w:rPr>
        <w:t>The Securites covered by this policy include those in which you have or share the ability to determine whether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Securites will be bought, sold, exercised, transferred or gifed. This policy applies whether you obtained the Securites as part of your compensaton at Xylem, on the open market or otherwise.</w:t>
      </w:r>
    </w:p>
    <w:p>
      <w:pPr>
        <w:spacing w:after="0" w:line="254" w:lineRule="exact"/>
        <w:rPr>
          <w:sz w:val="20"/>
          <w:szCs w:val="20"/>
          <w:color w:val="auto"/>
        </w:rPr>
      </w:pPr>
    </w:p>
    <w:p>
      <w:pPr>
        <w:ind w:left="200" w:right="60"/>
        <w:spacing w:after="0" w:line="231" w:lineRule="auto"/>
        <w:rPr>
          <w:sz w:val="20"/>
          <w:szCs w:val="20"/>
          <w:color w:val="auto"/>
        </w:rPr>
      </w:pPr>
      <w:r>
        <w:rPr>
          <w:rFonts w:ascii="Calibri" w:cs="Calibri" w:eastAsia="Calibri" w:hAnsi="Calibri"/>
          <w:sz w:val="20"/>
          <w:szCs w:val="20"/>
          <w:i w:val="1"/>
          <w:iCs w:val="1"/>
          <w:color w:val="auto"/>
        </w:rPr>
        <w:t xml:space="preserve">Transactons Covered. </w:t>
      </w:r>
      <w:r>
        <w:rPr>
          <w:rFonts w:ascii="Calibri" w:cs="Calibri" w:eastAsia="Calibri" w:hAnsi="Calibri"/>
          <w:sz w:val="20"/>
          <w:szCs w:val="20"/>
          <w:color w:val="auto"/>
        </w:rPr>
        <w:t>Except as specifcally set forth in this policy, the transactons subject to this policy broadly include a)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purchase, sale, transfer, gifing or donaton of Xylem Securites, b) sales of Xylem Securites obtained through the exercise of stock optons, including broker-assisted cashless exercise (e.g., the broker sells some or all of the shares underlying the opton on the open market), c) certain transactons involving Securites under Xylem beneft plans as specifed by this policy, d) using Xylem Securites to secure a loan, and e) transactons in the Securites of publicly traded companies with whom Xylem has an existng or potental business relatonship (e.g. customer, supplier, strategic partner, or entty with which Xylem may be involved in negotatng an acquisiton, dispositon or other transacton) (collectvely,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179705</wp:posOffset>
            </wp:positionV>
            <wp:extent cx="5100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5100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hanging="305"/>
        <w:spacing w:after="0"/>
        <w:tabs>
          <w:tab w:leader="none" w:pos="520" w:val="left"/>
        </w:tabs>
        <w:numPr>
          <w:ilvl w:val="1"/>
          <w:numId w:val="48"/>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Against Trading While in Possession of Material Non-Public Informaton</w:t>
      </w:r>
      <w:r>
        <w:rPr>
          <w:rFonts w:ascii="Calibri" w:cs="Calibri" w:eastAsia="Calibri" w:hAnsi="Calibri"/>
          <w:sz w:val="20"/>
          <w:szCs w:val="20"/>
          <w:color w:val="auto"/>
        </w:rPr>
        <w:t>.</w:t>
      </w:r>
    </w:p>
    <w:p>
      <w:pPr>
        <w:spacing w:after="0" w:line="103" w:lineRule="exact"/>
        <w:rPr>
          <w:rFonts w:ascii="Calibri" w:cs="Calibri" w:eastAsia="Calibri" w:hAnsi="Calibri"/>
          <w:sz w:val="20"/>
          <w:szCs w:val="20"/>
          <w:color w:val="auto"/>
        </w:rPr>
      </w:pPr>
    </w:p>
    <w:p>
      <w:pPr>
        <w:ind w:left="840" w:right="880" w:hanging="315"/>
        <w:spacing w:after="0" w:line="234" w:lineRule="auto"/>
        <w:tabs>
          <w:tab w:leader="none" w:pos="840" w:val="left"/>
        </w:tabs>
        <w:numPr>
          <w:ilvl w:val="2"/>
          <w:numId w:val="48"/>
        </w:numPr>
        <w:rPr>
          <w:rFonts w:ascii="Calibri" w:cs="Calibri" w:eastAsia="Calibri" w:hAnsi="Calibri"/>
          <w:sz w:val="20"/>
          <w:szCs w:val="20"/>
          <w:color w:val="auto"/>
        </w:rPr>
      </w:pPr>
      <w:r>
        <w:rPr>
          <w:rFonts w:ascii="Calibri" w:cs="Calibri" w:eastAsia="Calibri" w:hAnsi="Calibri"/>
          <w:sz w:val="20"/>
          <w:szCs w:val="20"/>
          <w:color w:val="auto"/>
        </w:rPr>
        <w:t>You may not trade in Xylem Securites while aware of any Material Non-Public Informaton relatng to Xylem or its Securites.</w:t>
      </w:r>
    </w:p>
    <w:p>
      <w:pPr>
        <w:spacing w:after="0" w:line="104" w:lineRule="exact"/>
        <w:rPr>
          <w:rFonts w:ascii="Calibri" w:cs="Calibri" w:eastAsia="Calibri" w:hAnsi="Calibri"/>
          <w:sz w:val="20"/>
          <w:szCs w:val="20"/>
          <w:color w:val="auto"/>
        </w:rPr>
      </w:pPr>
    </w:p>
    <w:p>
      <w:pPr>
        <w:ind w:left="840" w:right="520" w:hanging="315"/>
        <w:spacing w:after="0" w:line="231" w:lineRule="auto"/>
        <w:tabs>
          <w:tab w:leader="none" w:pos="835" w:val="left"/>
        </w:tabs>
        <w:numPr>
          <w:ilvl w:val="2"/>
          <w:numId w:val="48"/>
        </w:numPr>
        <w:rPr>
          <w:rFonts w:ascii="Calibri" w:cs="Calibri" w:eastAsia="Calibri" w:hAnsi="Calibri"/>
          <w:sz w:val="20"/>
          <w:szCs w:val="20"/>
          <w:color w:val="auto"/>
        </w:rPr>
      </w:pPr>
      <w:r>
        <w:rPr>
          <w:rFonts w:ascii="Calibri" w:cs="Calibri" w:eastAsia="Calibri" w:hAnsi="Calibri"/>
          <w:sz w:val="20"/>
          <w:szCs w:val="20"/>
          <w:color w:val="auto"/>
        </w:rPr>
        <w:t>You may not trade in the Securites of any of the Company’s Business Partners while aware of any Material Non-Public Informaton relatng to that company or its Securites that was obtained as a result of Your employment, afliaton or service with Xylem.</w:t>
      </w:r>
    </w:p>
    <w:p>
      <w:pPr>
        <w:spacing w:after="0" w:line="118" w:lineRule="exact"/>
        <w:rPr>
          <w:rFonts w:ascii="Calibri" w:cs="Calibri" w:eastAsia="Calibri" w:hAnsi="Calibri"/>
          <w:sz w:val="20"/>
          <w:szCs w:val="20"/>
          <w:color w:val="auto"/>
        </w:rPr>
      </w:pPr>
    </w:p>
    <w:p>
      <w:pPr>
        <w:ind w:left="840" w:right="80" w:hanging="315"/>
        <w:spacing w:after="0" w:line="231" w:lineRule="auto"/>
        <w:tabs>
          <w:tab w:leader="none" w:pos="842" w:val="left"/>
        </w:tabs>
        <w:numPr>
          <w:ilvl w:val="2"/>
          <w:numId w:val="48"/>
        </w:numPr>
        <w:rPr>
          <w:rFonts w:ascii="Calibri" w:cs="Calibri" w:eastAsia="Calibri" w:hAnsi="Calibri"/>
          <w:sz w:val="20"/>
          <w:szCs w:val="20"/>
          <w:color w:val="auto"/>
        </w:rPr>
      </w:pPr>
      <w:r>
        <w:rPr>
          <w:rFonts w:ascii="Calibri" w:cs="Calibri" w:eastAsia="Calibri" w:hAnsi="Calibri"/>
          <w:sz w:val="20"/>
          <w:szCs w:val="20"/>
          <w:color w:val="auto"/>
        </w:rPr>
        <w:t>You should also be aware that insider trading could include situatons where, among other things, you trade in Securites of other companies (e.g., compettors) based on Material Non-Public Informaton concerning Xylem or Xylem Securites that you are aware of.</w:t>
      </w:r>
    </w:p>
    <w:p>
      <w:pPr>
        <w:spacing w:after="0" w:line="253" w:lineRule="exact"/>
        <w:rPr>
          <w:rFonts w:ascii="Calibri" w:cs="Calibri" w:eastAsia="Calibri" w:hAnsi="Calibri"/>
          <w:sz w:val="20"/>
          <w:szCs w:val="20"/>
          <w:color w:val="auto"/>
        </w:rPr>
      </w:pPr>
    </w:p>
    <w:p>
      <w:pPr>
        <w:ind w:left="520" w:right="80" w:hanging="318"/>
        <w:spacing w:after="0" w:line="231" w:lineRule="auto"/>
        <w:tabs>
          <w:tab w:leader="none" w:pos="511" w:val="left"/>
        </w:tabs>
        <w:numPr>
          <w:ilvl w:val="0"/>
          <w:numId w:val="49"/>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Against Tipping</w:t>
      </w:r>
      <w:r>
        <w:rPr>
          <w:rFonts w:ascii="Calibri" w:cs="Calibri" w:eastAsia="Calibri" w:hAnsi="Calibri"/>
          <w:sz w:val="20"/>
          <w:szCs w:val="20"/>
          <w:color w:val="auto"/>
        </w:rPr>
        <w:t>. You may not disclose Material Non-Public Informaton about Xylem or another company (including Xylem’s Business Partners) to any other person or entty, or suggest that anyone purchase, sell, gif or otherwise transact any company’s Securites on the basis of Material Non-Public Informaton about that company or that company’s Securites. Collectvely, these prohibitons are referred to as “tpping” and apply regardless of whether or not you receive any beneft from the use of that informaton by the other person or entty.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color w:val="auto"/>
        </w:rPr>
        <w:t>2</w:t>
      </w:r>
    </w:p>
    <w:p>
      <w:pPr>
        <w:spacing w:after="0" w:line="53"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020"/>
          </w:cols>
          <w:pgMar w:left="360" w:top="141" w:right="5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right="120" w:hanging="319"/>
        <w:spacing w:after="0" w:line="233" w:lineRule="auto"/>
        <w:tabs>
          <w:tab w:leader="none" w:pos="512" w:val="left"/>
        </w:tabs>
        <w:numPr>
          <w:ilvl w:val="0"/>
          <w:numId w:val="50"/>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on Short Swing Transactons.</w:t>
      </w:r>
      <w:r>
        <w:rPr>
          <w:rFonts w:ascii="Calibri" w:cs="Calibri" w:eastAsia="Calibri" w:hAnsi="Calibri"/>
          <w:sz w:val="20"/>
          <w:szCs w:val="20"/>
          <w:color w:val="auto"/>
        </w:rPr>
        <w:t xml:space="preserve"> Directors and Secton 16 Ofcers are prohibited from engaging in the purchase and sale, or the sale and purchase, of the same class of Xylem Securites within any 6-month period (commonly referred to as “short swing” transactons), regardless of whether the individual is in possession of Material Non-Public Informaton at the tme of the transactons. If a Director or Secton 16 Ofcer engages in such transactons, the individual will be required to remit to Xylem any gain on or loss avoided by the transactons, and also comply with all reportng requirements under Secton 16 of the Securites Exchange Act of 1934, as amended (the “Exchange Act”). This prohibiton </w:t>
      </w:r>
      <w:r>
        <w:rPr>
          <w:rFonts w:ascii="Calibri" w:cs="Calibri" w:eastAsia="Calibri" w:hAnsi="Calibri"/>
          <w:sz w:val="20"/>
          <w:szCs w:val="20"/>
          <w:b w:val="1"/>
          <w:bCs w:val="1"/>
          <w:u w:val="single" w:color="auto"/>
          <w:color w:val="auto"/>
        </w:rPr>
        <w:t>does not</w:t>
      </w:r>
      <w:r>
        <w:rPr>
          <w:rFonts w:ascii="Calibri" w:cs="Calibri" w:eastAsia="Calibri" w:hAnsi="Calibri"/>
          <w:sz w:val="20"/>
          <w:szCs w:val="20"/>
          <w:color w:val="auto"/>
        </w:rPr>
        <w:t xml:space="preserve"> include grants, awards, vestng or other acquisitons of Xylem Securites as part of the director or Secton 16 Ofcer’s compensaton.</w:t>
      </w:r>
    </w:p>
    <w:p>
      <w:pPr>
        <w:spacing w:after="0" w:line="244" w:lineRule="exact"/>
        <w:rPr>
          <w:rFonts w:ascii="Calibri" w:cs="Calibri" w:eastAsia="Calibri" w:hAnsi="Calibri"/>
          <w:sz w:val="20"/>
          <w:szCs w:val="20"/>
          <w:color w:val="auto"/>
        </w:rPr>
      </w:pPr>
    </w:p>
    <w:p>
      <w:pPr>
        <w:ind w:left="520" w:right="180" w:hanging="318"/>
        <w:spacing w:after="0" w:line="236" w:lineRule="auto"/>
        <w:tabs>
          <w:tab w:leader="none" w:pos="511" w:val="left"/>
        </w:tabs>
        <w:numPr>
          <w:ilvl w:val="0"/>
          <w:numId w:val="50"/>
        </w:numPr>
        <w:rPr>
          <w:rFonts w:ascii="Calibri" w:cs="Calibri" w:eastAsia="Calibri" w:hAnsi="Calibri"/>
          <w:sz w:val="20"/>
          <w:szCs w:val="20"/>
          <w:color w:val="auto"/>
        </w:rPr>
      </w:pPr>
      <w:r>
        <w:rPr>
          <w:rFonts w:ascii="Calibri" w:cs="Calibri" w:eastAsia="Calibri" w:hAnsi="Calibri"/>
          <w:sz w:val="20"/>
          <w:szCs w:val="20"/>
          <w:u w:val="single" w:color="auto"/>
          <w:color w:val="auto"/>
        </w:rPr>
        <w:t>Other Prohibited Transactons</w:t>
      </w:r>
      <w:r>
        <w:rPr>
          <w:rFonts w:ascii="Calibri" w:cs="Calibri" w:eastAsia="Calibri" w:hAnsi="Calibri"/>
          <w:sz w:val="20"/>
          <w:szCs w:val="20"/>
          <w:color w:val="auto"/>
        </w:rPr>
        <w:t>. You may not engage in the following types of transactons, whether or not you are in possession of Material Non-Public Informaton, as they may lead to inadvertent violatons of insider trading laws or otherwise create conficts of interest:</w:t>
      </w:r>
    </w:p>
    <w:p>
      <w:pPr>
        <w:spacing w:after="0" w:line="228" w:lineRule="exact"/>
        <w:rPr>
          <w:rFonts w:ascii="Calibri" w:cs="Calibri" w:eastAsia="Calibri" w:hAnsi="Calibri"/>
          <w:sz w:val="20"/>
          <w:szCs w:val="20"/>
          <w:color w:val="auto"/>
        </w:rPr>
      </w:pPr>
    </w:p>
    <w:p>
      <w:pPr>
        <w:ind w:left="840" w:hanging="314"/>
        <w:spacing w:after="0"/>
        <w:tabs>
          <w:tab w:leader="none" w:pos="84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Short sales of Xylem Securites (that is, a sale of Securites which are not then owned)</w:t>
      </w:r>
    </w:p>
    <w:p>
      <w:pPr>
        <w:spacing w:after="0" w:line="251" w:lineRule="exact"/>
        <w:rPr>
          <w:rFonts w:ascii="Calibri" w:cs="Calibri" w:eastAsia="Calibri" w:hAnsi="Calibri"/>
          <w:sz w:val="20"/>
          <w:szCs w:val="20"/>
          <w:color w:val="auto"/>
        </w:rPr>
      </w:pPr>
    </w:p>
    <w:p>
      <w:pPr>
        <w:ind w:left="840" w:right="220" w:hanging="314"/>
        <w:spacing w:after="0"/>
        <w:tabs>
          <w:tab w:leader="none" w:pos="836"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Engaging in derivatve or speculatve transactons in Xylem Securites, including the purchase or sale of puts, calls, warrants or optons (other than the exercise of vested optons received pursuant to Xylem’s long-term incentve compensaton plans).</w:t>
      </w:r>
    </w:p>
    <w:p>
      <w:pPr>
        <w:spacing w:after="0" w:line="200" w:lineRule="exact"/>
        <w:rPr>
          <w:rFonts w:ascii="Calibri" w:cs="Calibri" w:eastAsia="Calibri" w:hAnsi="Calibri"/>
          <w:sz w:val="20"/>
          <w:szCs w:val="20"/>
          <w:color w:val="auto"/>
        </w:rPr>
      </w:pPr>
    </w:p>
    <w:p>
      <w:pPr>
        <w:spacing w:after="0" w:line="310" w:lineRule="exact"/>
        <w:rPr>
          <w:rFonts w:ascii="Calibri" w:cs="Calibri" w:eastAsia="Calibri" w:hAnsi="Calibri"/>
          <w:sz w:val="20"/>
          <w:szCs w:val="20"/>
          <w:color w:val="auto"/>
        </w:rPr>
      </w:pPr>
    </w:p>
    <w:p>
      <w:pPr>
        <w:ind w:left="860" w:right="260" w:hanging="334"/>
        <w:spacing w:after="0" w:line="233" w:lineRule="auto"/>
        <w:tabs>
          <w:tab w:leader="none" w:pos="862"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Transactons (including through the purchase of fnancial instruments, such as prepaid variable forward contracts, equity swaps, collars and exchange funds) that are designed to hedge or ofset any decrease in the market value of Xylem Securites (commonly referred to as “hedging”). This includes hedging transactons of Securites subject to an in-force Rule 10b5-1 Plan (see “Rule 10b5-1 Trading Plans” secton below).</w:t>
      </w:r>
    </w:p>
    <w:p>
      <w:pPr>
        <w:spacing w:after="0" w:line="243" w:lineRule="exact"/>
        <w:rPr>
          <w:rFonts w:ascii="Calibri" w:cs="Calibri" w:eastAsia="Calibri" w:hAnsi="Calibri"/>
          <w:sz w:val="20"/>
          <w:szCs w:val="20"/>
          <w:color w:val="auto"/>
        </w:rPr>
      </w:pPr>
    </w:p>
    <w:p>
      <w:pPr>
        <w:ind w:left="840" w:hanging="314"/>
        <w:spacing w:after="0"/>
        <w:tabs>
          <w:tab w:leader="none" w:pos="84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Pledging Xylem Securites as collateral or holding them in margin accounts.</w:t>
      </w:r>
    </w:p>
    <w:p>
      <w:pPr>
        <w:spacing w:after="0" w:line="251" w:lineRule="exact"/>
        <w:rPr>
          <w:rFonts w:ascii="Calibri" w:cs="Calibri" w:eastAsia="Calibri" w:hAnsi="Calibri"/>
          <w:sz w:val="20"/>
          <w:szCs w:val="20"/>
          <w:color w:val="auto"/>
        </w:rPr>
      </w:pPr>
    </w:p>
    <w:p>
      <w:pPr>
        <w:ind w:left="860" w:hanging="334"/>
        <w:spacing w:after="0" w:line="233" w:lineRule="auto"/>
        <w:tabs>
          <w:tab w:leader="none" w:pos="863"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Placing standing or limit orders with brokers (except those under approved Rule 10b5-1 Plans) where there is no control over the tming of purchases or sales and as a result the broker could execute a transacton afer you have come into possession of Material Non-Public Informaton. You are strongly discouraged from placing standing and limit orders. If you determine that you must use a standing order or limit order, the order should be used for only fve (5) trading days and must be cancelled (i) if you subsequently obtain Material Non-Public Informaton or (ii) prior to the start of a blackout period to which you are subject.</w:t>
      </w:r>
    </w:p>
    <w:p>
      <w:pPr>
        <w:spacing w:after="0" w:line="228" w:lineRule="exact"/>
        <w:rPr>
          <w:rFonts w:ascii="Calibri" w:cs="Calibri" w:eastAsia="Calibri" w:hAnsi="Calibri"/>
          <w:sz w:val="20"/>
          <w:szCs w:val="20"/>
          <w:color w:val="auto"/>
        </w:rPr>
      </w:pPr>
    </w:p>
    <w:p>
      <w:pPr>
        <w:ind w:left="820" w:hanging="294"/>
        <w:spacing w:after="0"/>
        <w:tabs>
          <w:tab w:leader="none" w:pos="820" w:val="left"/>
        </w:tabs>
        <w:numPr>
          <w:ilvl w:val="1"/>
          <w:numId w:val="50"/>
        </w:numPr>
        <w:rPr>
          <w:rFonts w:ascii="Calibri" w:cs="Calibri" w:eastAsia="Calibri" w:hAnsi="Calibri"/>
          <w:sz w:val="20"/>
          <w:szCs w:val="20"/>
          <w:color w:val="auto"/>
        </w:rPr>
      </w:pPr>
      <w:r>
        <w:rPr>
          <w:rFonts w:ascii="Calibri" w:cs="Calibri" w:eastAsia="Calibri" w:hAnsi="Calibri"/>
          <w:sz w:val="20"/>
          <w:szCs w:val="20"/>
          <w:color w:val="auto"/>
        </w:rPr>
        <w:t>Any other transactons that Xylem’s General Counsel may from tme to tme prohibit.</w:t>
      </w:r>
    </w:p>
    <w:p>
      <w:pPr>
        <w:spacing w:after="0" w:line="241" w:lineRule="exact"/>
        <w:rPr>
          <w:rFonts w:ascii="Calibri" w:cs="Calibri" w:eastAsia="Calibri" w:hAnsi="Calibri"/>
          <w:sz w:val="20"/>
          <w:szCs w:val="20"/>
          <w:color w:val="auto"/>
        </w:rPr>
      </w:pPr>
    </w:p>
    <w:p>
      <w:pPr>
        <w:ind w:left="520" w:hanging="318"/>
        <w:spacing w:after="0"/>
        <w:tabs>
          <w:tab w:leader="none" w:pos="520" w:val="left"/>
        </w:tabs>
        <w:numPr>
          <w:ilvl w:val="0"/>
          <w:numId w:val="50"/>
        </w:numPr>
        <w:rPr>
          <w:rFonts w:ascii="Calibri" w:cs="Calibri" w:eastAsia="Calibri" w:hAnsi="Calibri"/>
          <w:sz w:val="20"/>
          <w:szCs w:val="20"/>
          <w:color w:val="auto"/>
        </w:rPr>
      </w:pPr>
      <w:r>
        <w:rPr>
          <w:rFonts w:ascii="Calibri" w:cs="Calibri" w:eastAsia="Calibri" w:hAnsi="Calibri"/>
          <w:sz w:val="20"/>
          <w:szCs w:val="20"/>
          <w:u w:val="single" w:color="auto"/>
          <w:color w:val="auto"/>
        </w:rPr>
        <w:t>Additonal Restrictons Applicable to Restricted Insiders</w:t>
      </w:r>
      <w:r>
        <w:rPr>
          <w:rFonts w:ascii="Calibri" w:cs="Calibri" w:eastAsia="Calibri" w:hAnsi="Calibri"/>
          <w:sz w:val="20"/>
          <w:szCs w:val="20"/>
          <w:color w:val="auto"/>
        </w:rPr>
        <w:t>.</w:t>
      </w:r>
    </w:p>
    <w:p>
      <w:pPr>
        <w:spacing w:after="0" w:line="292" w:lineRule="exact"/>
        <w:rPr>
          <w:rFonts w:ascii="Calibri" w:cs="Calibri" w:eastAsia="Calibri" w:hAnsi="Calibri"/>
          <w:sz w:val="20"/>
          <w:szCs w:val="20"/>
          <w:color w:val="auto"/>
        </w:rPr>
      </w:pPr>
    </w:p>
    <w:p>
      <w:pPr>
        <w:ind w:left="840" w:right="520" w:hanging="315"/>
        <w:spacing w:after="0" w:line="234" w:lineRule="auto"/>
        <w:tabs>
          <w:tab w:leader="none" w:pos="840" w:val="left"/>
        </w:tabs>
        <w:numPr>
          <w:ilvl w:val="1"/>
          <w:numId w:val="50"/>
        </w:numPr>
        <w:rPr>
          <w:rFonts w:ascii="Calibri" w:cs="Calibri" w:eastAsia="Calibri" w:hAnsi="Calibri"/>
          <w:sz w:val="20"/>
          <w:szCs w:val="20"/>
          <w:color w:val="auto"/>
        </w:rPr>
      </w:pPr>
      <w:r>
        <w:rPr>
          <w:rFonts w:ascii="Calibri" w:cs="Calibri" w:eastAsia="Calibri" w:hAnsi="Calibri"/>
          <w:sz w:val="20"/>
          <w:szCs w:val="20"/>
          <w:b w:val="1"/>
          <w:bCs w:val="1"/>
          <w:color w:val="auto"/>
        </w:rPr>
        <w:t>Trading Windows and Blackout Periods</w:t>
      </w:r>
      <w:r>
        <w:rPr>
          <w:rFonts w:ascii="Calibri" w:cs="Calibri" w:eastAsia="Calibri" w:hAnsi="Calibri"/>
          <w:sz w:val="20"/>
          <w:szCs w:val="20"/>
          <w:color w:val="auto"/>
        </w:rPr>
        <w:t>. Subject to paragraph 5.b. below, Restricted Insiders may only engage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transactons in Xylem Securites during a Trading Window. Restricted Insiders are prohibited from trading in Xylem Securites during Quarterly Blackout Periods or other special blackout periods if notfed by the Ofce of the General Counsel (see secton 6. below), other than pursuant to an approved Rule 10b5-1 trading plan (see “Rule 10b5-1 Trading Plans” secton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3</w:t>
      </w:r>
    </w:p>
    <w:p>
      <w:pPr>
        <w:spacing w:after="0" w:line="53"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120"/>
          </w:cols>
          <w:pgMar w:left="360" w:top="141" w:right="4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320"/>
        <w:spacing w:after="0" w:line="231" w:lineRule="auto"/>
        <w:rPr>
          <w:sz w:val="20"/>
          <w:szCs w:val="20"/>
          <w:color w:val="auto"/>
        </w:rPr>
      </w:pPr>
      <w:r>
        <w:rPr>
          <w:rFonts w:ascii="Calibri" w:cs="Calibri" w:eastAsia="Calibri" w:hAnsi="Calibri"/>
          <w:sz w:val="20"/>
          <w:szCs w:val="20"/>
          <w:color w:val="auto"/>
        </w:rPr>
        <w:t>below) or as specifed under the “Applicability of Policy to Transactons Under Company Plans” secton below. Prior to the incepton of a Quarterly Blackout Period, a Restricted Insider’s pending transactons in Xylem Securites that could be, but have not been, executed (other than pursuant to a Rule 10b5-1 trading plan) must be cancelled.</w:t>
      </w:r>
    </w:p>
    <w:p>
      <w:pPr>
        <w:spacing w:after="0" w:line="267" w:lineRule="exact"/>
        <w:rPr>
          <w:sz w:val="20"/>
          <w:szCs w:val="20"/>
          <w:color w:val="auto"/>
        </w:rPr>
      </w:pPr>
    </w:p>
    <w:p>
      <w:pPr>
        <w:ind w:left="840" w:right="300" w:hanging="315"/>
        <w:spacing w:after="0" w:line="231" w:lineRule="auto"/>
        <w:tabs>
          <w:tab w:leader="none" w:pos="835" w:val="left"/>
        </w:tabs>
        <w:numPr>
          <w:ilvl w:val="0"/>
          <w:numId w:val="51"/>
        </w:numPr>
        <w:rPr>
          <w:rFonts w:ascii="Calibri" w:cs="Calibri" w:eastAsia="Calibri" w:hAnsi="Calibri"/>
          <w:sz w:val="20"/>
          <w:szCs w:val="20"/>
          <w:color w:val="auto"/>
        </w:rPr>
      </w:pPr>
      <w:r>
        <w:rPr>
          <w:rFonts w:ascii="Calibri" w:cs="Calibri" w:eastAsia="Calibri" w:hAnsi="Calibri"/>
          <w:sz w:val="20"/>
          <w:szCs w:val="20"/>
          <w:b w:val="1"/>
          <w:bCs w:val="1"/>
          <w:color w:val="auto"/>
        </w:rPr>
        <w:t>Mandatory Pre-Clearance of All Transactons by Restricted Insiders</w:t>
      </w:r>
      <w:r>
        <w:rPr>
          <w:rFonts w:ascii="Calibri" w:cs="Calibri" w:eastAsia="Calibri" w:hAnsi="Calibri"/>
          <w:sz w:val="20"/>
          <w:szCs w:val="20"/>
          <w:color w:val="auto"/>
        </w:rPr>
        <w:t>. Prior to engaging in a transacton in Xylem Securites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or implementng a Rule 10b5-1 trading plan (see “Rule 10b5-1 Trading Plans” secton below) during a Trading Window, Restricted Insiders must complete a pre-clearance process, as follows:</w:t>
      </w:r>
    </w:p>
    <w:p>
      <w:pPr>
        <w:spacing w:after="0" w:line="105" w:lineRule="exact"/>
        <w:rPr>
          <w:rFonts w:ascii="Calibri" w:cs="Calibri" w:eastAsia="Calibri" w:hAnsi="Calibri"/>
          <w:sz w:val="20"/>
          <w:szCs w:val="20"/>
          <w:color w:val="auto"/>
        </w:rPr>
      </w:pPr>
    </w:p>
    <w:p>
      <w:pPr>
        <w:ind w:left="1100" w:right="180" w:hanging="160"/>
        <w:spacing w:after="0" w:line="233" w:lineRule="auto"/>
        <w:tabs>
          <w:tab w:leader="none" w:pos="1089" w:val="left"/>
        </w:tabs>
        <w:numPr>
          <w:ilvl w:val="1"/>
          <w:numId w:val="51"/>
        </w:numPr>
        <w:rPr>
          <w:rFonts w:ascii="Calibri" w:cs="Calibri" w:eastAsia="Calibri" w:hAnsi="Calibri"/>
          <w:sz w:val="20"/>
          <w:szCs w:val="20"/>
          <w:color w:val="auto"/>
        </w:rPr>
      </w:pPr>
      <w:r>
        <w:rPr>
          <w:rFonts w:ascii="Calibri" w:cs="Calibri" w:eastAsia="Calibri" w:hAnsi="Calibri"/>
          <w:sz w:val="20"/>
          <w:szCs w:val="20"/>
          <w:i w:val="1"/>
          <w:iCs w:val="1"/>
          <w:u w:val="single" w:color="auto"/>
          <w:color w:val="auto"/>
        </w:rPr>
        <w:t>Directors, the Chief Executve Ofcer (“CEO”), the General Counsel, the Chief Financial Ofcer (“CFO”), Secton 16 Ofcers and other CEO direct reports: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must receive writen pre-clearance as indicated below. To initate the pre-clearance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process, a completed Trading Clearance Request Form for Insiders must be submited at least 2 trading days in advance of the proposed transacton to the Ofce of the General Counsel whose designee (typically the Corporate Secretary or an Assistant Corporate Secretary) will then facilitate the pre-clearance process. In the case of the General Counsel’s (“GC”) request for pre-clearance, the Trading Clearance Request Form must be submited to the Chief Financial Ofcer, who will then facilitate the pre-clearance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33655</wp:posOffset>
            </wp:positionV>
            <wp:extent cx="4406265" cy="17316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4406265" cy="1731645"/>
                    </a:xfrm>
                    <a:prstGeom prst="rect">
                      <a:avLst/>
                    </a:prstGeom>
                    <a:noFill/>
                  </pic:spPr>
                </pic:pic>
              </a:graphicData>
            </a:graphic>
          </wp:anchor>
        </w:drawing>
      </w:r>
    </w:p>
    <w:p>
      <w:pPr>
        <w:spacing w:after="0" w:line="5" w:lineRule="exact"/>
        <w:rPr>
          <w:sz w:val="20"/>
          <w:szCs w:val="20"/>
          <w:color w:val="auto"/>
        </w:rPr>
      </w:pPr>
    </w:p>
    <w:p>
      <w:pPr>
        <w:ind w:left="4560"/>
        <w:spacing w:after="0"/>
        <w:rPr>
          <w:sz w:val="20"/>
          <w:szCs w:val="20"/>
          <w:color w:val="auto"/>
        </w:rPr>
      </w:pPr>
      <w:r>
        <w:rPr>
          <w:rFonts w:ascii="Calibri" w:cs="Calibri" w:eastAsia="Calibri" w:hAnsi="Calibri"/>
          <w:sz w:val="20"/>
          <w:szCs w:val="20"/>
          <w:b w:val="1"/>
          <w:bCs w:val="1"/>
          <w:color w:val="FFFFFF"/>
        </w:rPr>
        <w:t>Pre-clearing Party</w:t>
      </w:r>
    </w:p>
    <w:p>
      <w:pPr>
        <w:ind w:left="1120"/>
        <w:spacing w:after="0" w:line="199" w:lineRule="auto"/>
        <w:rPr>
          <w:sz w:val="20"/>
          <w:szCs w:val="20"/>
          <w:color w:val="auto"/>
        </w:rPr>
      </w:pPr>
      <w:r>
        <w:rPr>
          <w:rFonts w:ascii="Calibri" w:cs="Calibri" w:eastAsia="Calibri" w:hAnsi="Calibri"/>
          <w:sz w:val="16"/>
          <w:szCs w:val="16"/>
          <w:b w:val="1"/>
          <w:bCs w:val="1"/>
          <w:color w:val="FFFFFF"/>
        </w:rPr>
        <w:t>Restricted Insider</w:t>
      </w:r>
    </w:p>
    <w:p>
      <w:pPr>
        <w:ind w:left="4060"/>
        <w:spacing w:after="0" w:line="214" w:lineRule="auto"/>
        <w:tabs>
          <w:tab w:leader="none" w:pos="5060" w:val="left"/>
          <w:tab w:leader="none" w:pos="6200" w:val="left"/>
        </w:tabs>
        <w:rPr>
          <w:sz w:val="20"/>
          <w:szCs w:val="20"/>
          <w:color w:val="auto"/>
        </w:rPr>
      </w:pPr>
      <w:r>
        <w:rPr>
          <w:rFonts w:ascii="Calibri" w:cs="Calibri" w:eastAsia="Calibri" w:hAnsi="Calibri"/>
          <w:sz w:val="20"/>
          <w:szCs w:val="20"/>
          <w:b w:val="1"/>
          <w:bCs w:val="1"/>
          <w:color w:val="auto"/>
        </w:rPr>
        <w:t>CEO</w:t>
      </w:r>
      <w:r>
        <w:rPr>
          <w:sz w:val="20"/>
          <w:szCs w:val="20"/>
          <w:color w:val="auto"/>
        </w:rPr>
        <w:tab/>
      </w:r>
      <w:r>
        <w:rPr>
          <w:rFonts w:ascii="Calibri" w:cs="Calibri" w:eastAsia="Calibri" w:hAnsi="Calibri"/>
          <w:sz w:val="20"/>
          <w:szCs w:val="20"/>
          <w:b w:val="1"/>
          <w:bCs w:val="1"/>
          <w:color w:val="auto"/>
        </w:rPr>
        <w:t>CFO</w:t>
      </w:r>
      <w:r>
        <w:rPr>
          <w:sz w:val="20"/>
          <w:szCs w:val="20"/>
          <w:color w:val="auto"/>
        </w:rPr>
        <w:tab/>
      </w:r>
      <w:r>
        <w:rPr>
          <w:rFonts w:ascii="Calibri" w:cs="Calibri" w:eastAsia="Calibri" w:hAnsi="Calibri"/>
          <w:sz w:val="18"/>
          <w:szCs w:val="18"/>
          <w:b w:val="1"/>
          <w:bCs w:val="1"/>
          <w:color w:val="auto"/>
        </w:rPr>
        <w:t>GC</w:t>
      </w:r>
    </w:p>
    <w:p>
      <w:pPr>
        <w:spacing w:after="0" w:line="67"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Directors</w:t>
      </w:r>
    </w:p>
    <w:p>
      <w:pPr>
        <w:spacing w:after="0" w:line="66"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Secton 16 Ofcers</w:t>
      </w:r>
    </w:p>
    <w:p>
      <w:pPr>
        <w:spacing w:after="0" w:line="66"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CEO</w:t>
      </w:r>
    </w:p>
    <w:p>
      <w:pPr>
        <w:spacing w:after="0" w:line="66"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CEO direct reports (other than the CFO</w:t>
      </w:r>
    </w:p>
    <w:p>
      <w:pPr>
        <w:ind w:left="40"/>
        <w:spacing w:after="0" w:line="225" w:lineRule="auto"/>
        <w:rPr>
          <w:sz w:val="20"/>
          <w:szCs w:val="20"/>
          <w:color w:val="auto"/>
        </w:rPr>
      </w:pPr>
      <w:r>
        <w:rPr>
          <w:rFonts w:ascii="Calibri" w:cs="Calibri" w:eastAsia="Calibri" w:hAnsi="Calibri"/>
          <w:sz w:val="20"/>
          <w:szCs w:val="20"/>
          <w:b w:val="1"/>
          <w:bCs w:val="1"/>
          <w:color w:val="auto"/>
        </w:rPr>
        <w:t>and General Counsel)</w:t>
      </w:r>
    </w:p>
    <w:p>
      <w:pPr>
        <w:spacing w:after="0" w:line="67"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General Counsel</w:t>
      </w:r>
    </w:p>
    <w:p>
      <w:pPr>
        <w:spacing w:after="0" w:line="66"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CFO</w:t>
      </w:r>
    </w:p>
    <w:p>
      <w:pPr>
        <w:spacing w:after="0" w:line="373" w:lineRule="exact"/>
        <w:rPr>
          <w:sz w:val="20"/>
          <w:szCs w:val="20"/>
          <w:color w:val="auto"/>
        </w:rPr>
      </w:pPr>
    </w:p>
    <w:p>
      <w:pPr>
        <w:ind w:left="1100" w:right="520"/>
        <w:spacing w:after="0" w:line="234" w:lineRule="auto"/>
        <w:rPr>
          <w:sz w:val="20"/>
          <w:szCs w:val="20"/>
          <w:color w:val="auto"/>
        </w:rPr>
      </w:pPr>
      <w:r>
        <w:rPr>
          <w:rFonts w:ascii="Calibri" w:cs="Calibri" w:eastAsia="Calibri" w:hAnsi="Calibri"/>
          <w:sz w:val="20"/>
          <w:szCs w:val="20"/>
          <w:i w:val="1"/>
          <w:iCs w:val="1"/>
          <w:u w:val="single" w:color="auto"/>
          <w:color w:val="auto"/>
        </w:rPr>
        <w:t>All other Restricted Insiders</w:t>
      </w:r>
      <w:r>
        <w:rPr>
          <w:rFonts w:ascii="Calibri" w:cs="Calibri" w:eastAsia="Calibri" w:hAnsi="Calibri"/>
          <w:sz w:val="20"/>
          <w:szCs w:val="20"/>
          <w:color w:val="auto"/>
        </w:rPr>
        <w:t>: must submit a completed Trading Clearance Request Form for Insiders to the Corporate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Secretary or their designee who will review and advise of the individual’s writen pre-clearance.</w:t>
      </w:r>
    </w:p>
    <w:p>
      <w:pPr>
        <w:spacing w:after="0" w:line="239" w:lineRule="exact"/>
        <w:rPr>
          <w:sz w:val="20"/>
          <w:szCs w:val="20"/>
          <w:color w:val="auto"/>
        </w:rPr>
      </w:pPr>
    </w:p>
    <w:p>
      <w:pPr>
        <w:ind w:left="1100" w:right="180" w:hanging="241"/>
        <w:spacing w:after="0" w:line="234" w:lineRule="auto"/>
        <w:tabs>
          <w:tab w:leader="none" w:pos="1095"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If a pre-clearance request is granted, the Restricted Insider must execute the transacton as soon as reasonably possible, but in any case, no later than fve (5) trading days following the date of receipt of pre-clearance, subject to the Trading Window. However, if the Restricted Insider becomes aware of Material Non-Public Informaton concerning Xylem before the transacton is executed, the pre-clearance shall be considered void, the transacton must not be completed and any standing limit order must be cancelled.</w:t>
      </w:r>
    </w:p>
    <w:p>
      <w:pPr>
        <w:spacing w:after="0" w:line="254" w:lineRule="exact"/>
        <w:rPr>
          <w:rFonts w:ascii="Calibri" w:cs="Calibri" w:eastAsia="Calibri" w:hAnsi="Calibri"/>
          <w:sz w:val="20"/>
          <w:szCs w:val="20"/>
          <w:color w:val="auto"/>
        </w:rPr>
      </w:pPr>
    </w:p>
    <w:p>
      <w:pPr>
        <w:ind w:left="1100" w:hanging="241"/>
        <w:spacing w:after="0" w:line="228" w:lineRule="auto"/>
        <w:tabs>
          <w:tab w:leader="none" w:pos="1101" w:val="left"/>
        </w:tabs>
        <w:numPr>
          <w:ilvl w:val="0"/>
          <w:numId w:val="52"/>
        </w:numPr>
        <w:rPr>
          <w:rFonts w:ascii="Calibri" w:cs="Calibri" w:eastAsia="Calibri" w:hAnsi="Calibri"/>
          <w:sz w:val="20"/>
          <w:szCs w:val="20"/>
          <w:color w:val="auto"/>
        </w:rPr>
      </w:pPr>
      <w:r>
        <w:rPr>
          <w:rFonts w:ascii="Calibri" w:cs="Calibri" w:eastAsia="Calibri" w:hAnsi="Calibri"/>
          <w:sz w:val="20"/>
          <w:szCs w:val="20"/>
          <w:color w:val="auto"/>
        </w:rPr>
        <w:t>If a pre-clearance request is denied, the Restricted Insider should not inform anyone within or outside the Company about the denial. The General Counsel has no obligaton to inform the requestor of the reasons for the denial.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4</w:t>
      </w:r>
    </w:p>
    <w:p>
      <w:pPr>
        <w:spacing w:after="0" w:line="40"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120"/>
          </w:cols>
          <w:pgMar w:left="360" w:top="141" w:right="4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 w:right="60" w:hanging="319"/>
        <w:spacing w:after="0" w:line="233" w:lineRule="auto"/>
        <w:tabs>
          <w:tab w:leader="none" w:pos="511" w:val="left"/>
        </w:tabs>
        <w:numPr>
          <w:ilvl w:val="0"/>
          <w:numId w:val="53"/>
        </w:numPr>
        <w:rPr>
          <w:rFonts w:ascii="Calibri" w:cs="Calibri" w:eastAsia="Calibri" w:hAnsi="Calibri"/>
          <w:sz w:val="20"/>
          <w:szCs w:val="20"/>
          <w:color w:val="auto"/>
        </w:rPr>
      </w:pPr>
      <w:r>
        <w:rPr>
          <w:rFonts w:ascii="Calibri" w:cs="Calibri" w:eastAsia="Calibri" w:hAnsi="Calibri"/>
          <w:sz w:val="20"/>
          <w:szCs w:val="20"/>
          <w:u w:val="single" w:color="auto"/>
          <w:color w:val="auto"/>
        </w:rPr>
        <w:t>Special Blackout Periods</w:t>
      </w:r>
      <w:r>
        <w:rPr>
          <w:rFonts w:ascii="Calibri" w:cs="Calibri" w:eastAsia="Calibri" w:hAnsi="Calibri"/>
          <w:sz w:val="20"/>
          <w:szCs w:val="20"/>
          <w:color w:val="auto"/>
        </w:rPr>
        <w:t>. From tme to tme, Material Non-Public Informaton regarding the Company may be pending, such as potental mergers, acquisitons or divesttures, or any other highly sensitve mater. In such cases, Xylem’s General Counsel may impose a special blackout period. Individuals subject to the special blackout period will be notfed by the Ofce of the General Counsel, including when the blackout begins and ends. If you are notfed of a special blackout period, you must keep that fact confdental and not discuss it with anyone else, including co-workers, and you are prohibited from transactons of Xylem Securites during special blackout periods.</w:t>
      </w:r>
    </w:p>
    <w:p>
      <w:pPr>
        <w:spacing w:after="0" w:line="200" w:lineRule="exact"/>
        <w:rPr>
          <w:rFonts w:ascii="Calibri" w:cs="Calibri" w:eastAsia="Calibri" w:hAnsi="Calibri"/>
          <w:sz w:val="20"/>
          <w:szCs w:val="20"/>
          <w:color w:val="auto"/>
        </w:rPr>
      </w:pPr>
    </w:p>
    <w:p>
      <w:pPr>
        <w:spacing w:after="0" w:line="294" w:lineRule="exact"/>
        <w:rPr>
          <w:rFonts w:ascii="Calibri" w:cs="Calibri" w:eastAsia="Calibri" w:hAnsi="Calibri"/>
          <w:sz w:val="20"/>
          <w:szCs w:val="20"/>
          <w:color w:val="auto"/>
        </w:rPr>
      </w:pPr>
    </w:p>
    <w:p>
      <w:pPr>
        <w:ind w:left="600" w:right="100" w:hanging="398"/>
        <w:spacing w:after="0" w:line="231" w:lineRule="auto"/>
        <w:tabs>
          <w:tab w:leader="none" w:pos="591" w:val="left"/>
        </w:tabs>
        <w:numPr>
          <w:ilvl w:val="0"/>
          <w:numId w:val="53"/>
        </w:numPr>
        <w:rPr>
          <w:rFonts w:ascii="Calibri" w:cs="Calibri" w:eastAsia="Calibri" w:hAnsi="Calibri"/>
          <w:sz w:val="20"/>
          <w:szCs w:val="20"/>
          <w:color w:val="auto"/>
        </w:rPr>
      </w:pPr>
      <w:r>
        <w:rPr>
          <w:rFonts w:ascii="Calibri" w:cs="Calibri" w:eastAsia="Calibri" w:hAnsi="Calibri"/>
          <w:sz w:val="20"/>
          <w:szCs w:val="20"/>
          <w:u w:val="single" w:color="auto"/>
          <w:color w:val="auto"/>
        </w:rPr>
        <w:t>Hardship Exceptons</w:t>
      </w:r>
      <w:r>
        <w:rPr>
          <w:rFonts w:ascii="Calibri" w:cs="Calibri" w:eastAsia="Calibri" w:hAnsi="Calibri"/>
          <w:sz w:val="20"/>
          <w:szCs w:val="20"/>
          <w:color w:val="auto"/>
        </w:rPr>
        <w:t>. The General Counsel may, on a case-by-case basis, authorize transactons in Xylem Securites by Restricted Insiders, other than Directors and Secton 16 Ofcers, outside of Trading Windows (but not during special blackout periods) due to fnancial hardships. The General Counsel will only consider a request for a hardship excepton if the individual has notfed the General Counsel in writng of the circumstances of the hardship and does not in fact possess Material Non-Public Informaton. Hardship exceptons are granted infrequently and only in exceptonal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538353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5383530" cy="17970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20" w:hanging="319"/>
        <w:spacing w:after="0"/>
        <w:tabs>
          <w:tab w:leader="none" w:pos="520"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auto"/>
        </w:rPr>
        <w:t>401(k) Plans.</w:t>
      </w:r>
      <w:r>
        <w:rPr>
          <w:rFonts w:ascii="Calibri" w:cs="Calibri" w:eastAsia="Calibri" w:hAnsi="Calibri"/>
          <w:sz w:val="20"/>
          <w:szCs w:val="20"/>
          <w:color w:val="auto"/>
        </w:rPr>
        <w:t xml:space="preserve"> The policy’s trading prohibiton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automatc purchases or</w:t>
      </w:r>
    </w:p>
    <w:p>
      <w:pPr>
        <w:ind w:left="520" w:right="340"/>
        <w:spacing w:after="0" w:line="225" w:lineRule="auto"/>
        <w:rPr>
          <w:rFonts w:ascii="Calibri" w:cs="Calibri" w:eastAsia="Calibri" w:hAnsi="Calibri"/>
          <w:sz w:val="20"/>
          <w:szCs w:val="20"/>
          <w:color w:val="auto"/>
        </w:rPr>
      </w:pPr>
      <w:r>
        <w:rPr>
          <w:rFonts w:ascii="Calibri" w:cs="Calibri" w:eastAsia="Calibri" w:hAnsi="Calibri"/>
          <w:sz w:val="20"/>
          <w:szCs w:val="20"/>
          <w:color w:val="auto"/>
        </w:rPr>
        <w:t>acquisitons of Xylem stock in a 401(k) plan sponsored by Xylem or its subsidiaries (“Xylem 401(k) Plan”) that are transacted pursuant to a contnuing investment electon and periodic contributons from an existng payroll deducton.</w:t>
      </w:r>
    </w:p>
    <w:p>
      <w:pPr>
        <w:spacing w:after="0" w:line="108" w:lineRule="exact"/>
        <w:rPr>
          <w:rFonts w:ascii="Calibri" w:cs="Calibri" w:eastAsia="Calibri" w:hAnsi="Calibri"/>
          <w:sz w:val="20"/>
          <w:szCs w:val="20"/>
          <w:color w:val="auto"/>
        </w:rPr>
      </w:pPr>
    </w:p>
    <w:p>
      <w:pPr>
        <w:ind w:left="520"/>
        <w:spacing w:after="0"/>
        <w:rPr>
          <w:rFonts w:ascii="Calibri" w:cs="Calibri" w:eastAsia="Calibri" w:hAnsi="Calibri"/>
          <w:sz w:val="20"/>
          <w:szCs w:val="20"/>
          <w:color w:val="auto"/>
        </w:rPr>
      </w:pPr>
      <w:r>
        <w:rPr>
          <w:rFonts w:ascii="Calibri" w:cs="Calibri" w:eastAsia="Calibri" w:hAnsi="Calibri"/>
          <w:sz w:val="20"/>
          <w:szCs w:val="20"/>
          <w:color w:val="auto"/>
        </w:rPr>
        <w:t xml:space="preserve">However, the policy’s trading prohibiton </w:t>
      </w:r>
      <w:r>
        <w:rPr>
          <w:rFonts w:ascii="Calibri" w:cs="Calibri" w:eastAsia="Calibri" w:hAnsi="Calibri"/>
          <w:sz w:val="20"/>
          <w:szCs w:val="20"/>
          <w:b w:val="1"/>
          <w:bCs w:val="1"/>
          <w:u w:val="single" w:color="auto"/>
          <w:color w:val="auto"/>
        </w:rPr>
        <w:t>does apply</w:t>
      </w:r>
      <w:r>
        <w:rPr>
          <w:rFonts w:ascii="Calibri" w:cs="Calibri" w:eastAsia="Calibri" w:hAnsi="Calibri"/>
          <w:sz w:val="20"/>
          <w:szCs w:val="20"/>
          <w:color w:val="auto"/>
        </w:rPr>
        <w:t xml:space="preserve"> to the following electons:</w:t>
      </w:r>
    </w:p>
    <w:p>
      <w:pPr>
        <w:spacing w:after="0" w:line="282" w:lineRule="exact"/>
        <w:rPr>
          <w:rFonts w:ascii="Calibri" w:cs="Calibri" w:eastAsia="Calibri" w:hAnsi="Calibri"/>
          <w:sz w:val="20"/>
          <w:szCs w:val="20"/>
          <w:color w:val="auto"/>
        </w:rPr>
      </w:pPr>
    </w:p>
    <w:p>
      <w:pPr>
        <w:ind w:left="840" w:hanging="305"/>
        <w:spacing w:after="0"/>
        <w:tabs>
          <w:tab w:leader="none" w:pos="84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Beginning or terminatng investment in Xylem stock in a Xylem 401(k) Plan;</w:t>
      </w:r>
    </w:p>
    <w:p>
      <w:pPr>
        <w:spacing w:after="0" w:line="116" w:lineRule="exact"/>
        <w:rPr>
          <w:rFonts w:ascii="Calibri" w:cs="Calibri" w:eastAsia="Calibri" w:hAnsi="Calibri"/>
          <w:sz w:val="20"/>
          <w:szCs w:val="20"/>
          <w:color w:val="auto"/>
        </w:rPr>
      </w:pPr>
    </w:p>
    <w:p>
      <w:pPr>
        <w:ind w:left="840" w:hanging="315"/>
        <w:spacing w:after="0" w:line="228" w:lineRule="auto"/>
        <w:tabs>
          <w:tab w:leader="none" w:pos="835"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Increasing or decreasing the percentage of periodic contributons that will be allocated to the Xylem stock in a Xylem 401(k) Plan;</w:t>
      </w:r>
    </w:p>
    <w:p>
      <w:pPr>
        <w:spacing w:after="0" w:line="106" w:lineRule="exact"/>
        <w:rPr>
          <w:rFonts w:ascii="Calibri" w:cs="Calibri" w:eastAsia="Calibri" w:hAnsi="Calibri"/>
          <w:sz w:val="20"/>
          <w:szCs w:val="20"/>
          <w:color w:val="auto"/>
        </w:rPr>
      </w:pPr>
    </w:p>
    <w:p>
      <w:pPr>
        <w:ind w:left="860" w:hanging="335"/>
        <w:spacing w:after="0"/>
        <w:tabs>
          <w:tab w:leader="none" w:pos="86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Transferring an existng account balance into or out of Xylem stock in a Xylem 401(k) Plan;</w:t>
      </w:r>
    </w:p>
    <w:p>
      <w:pPr>
        <w:spacing w:after="0" w:line="103" w:lineRule="exact"/>
        <w:rPr>
          <w:rFonts w:ascii="Calibri" w:cs="Calibri" w:eastAsia="Calibri" w:hAnsi="Calibri"/>
          <w:sz w:val="20"/>
          <w:szCs w:val="20"/>
          <w:color w:val="auto"/>
        </w:rPr>
      </w:pPr>
    </w:p>
    <w:p>
      <w:pPr>
        <w:ind w:left="840" w:right="300" w:hanging="315"/>
        <w:spacing w:after="0" w:line="234" w:lineRule="auto"/>
        <w:tabs>
          <w:tab w:leader="none" w:pos="835"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Borrowing against a Xylem 401(k) Plan balance if the loan will result in a liquidaton of some or all of your Xylem stock in the 401(k) Plan; and</w:t>
      </w:r>
    </w:p>
    <w:p>
      <w:pPr>
        <w:spacing w:after="0" w:line="108" w:lineRule="exact"/>
        <w:rPr>
          <w:rFonts w:ascii="Calibri" w:cs="Calibri" w:eastAsia="Calibri" w:hAnsi="Calibri"/>
          <w:sz w:val="20"/>
          <w:szCs w:val="20"/>
          <w:color w:val="auto"/>
        </w:rPr>
      </w:pPr>
    </w:p>
    <w:p>
      <w:pPr>
        <w:ind w:left="860" w:hanging="335"/>
        <w:spacing w:after="0"/>
        <w:tabs>
          <w:tab w:leader="none" w:pos="86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Pre-paying a Xylem 401(k) Plan loan if the pre-payment will result in the allocaton of loan proceeds to Xylem stock.</w:t>
      </w:r>
    </w:p>
    <w:p>
      <w:pPr>
        <w:spacing w:after="0" w:line="103" w:lineRule="exact"/>
        <w:rPr>
          <w:rFonts w:ascii="Calibri" w:cs="Calibri" w:eastAsia="Calibri" w:hAnsi="Calibri"/>
          <w:sz w:val="20"/>
          <w:szCs w:val="20"/>
          <w:color w:val="auto"/>
        </w:rPr>
      </w:pPr>
    </w:p>
    <w:p>
      <w:pPr>
        <w:jc w:val="both"/>
        <w:ind w:left="520" w:right="40" w:hanging="318"/>
        <w:spacing w:after="0" w:line="231" w:lineRule="auto"/>
        <w:tabs>
          <w:tab w:leader="none" w:pos="511"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auto"/>
        </w:rPr>
        <w:t>Deferred Compensaton Plan.</w:t>
      </w:r>
      <w:r>
        <w:rPr>
          <w:rFonts w:ascii="Calibri" w:cs="Calibri" w:eastAsia="Calibri" w:hAnsi="Calibri"/>
          <w:sz w:val="20"/>
          <w:szCs w:val="20"/>
          <w:color w:val="auto"/>
        </w:rPr>
        <w:t xml:space="preserve"> The policy’s trading prohibiton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acquisitons of Xylem stock units resultng from periodic deferrals of compensaton made pursuant to an advance deferral electon in a deferred compensaton plan sponsored by Xylem.</w:t>
      </w:r>
    </w:p>
    <w:p>
      <w:pPr>
        <w:spacing w:after="0" w:line="118" w:lineRule="exact"/>
        <w:rPr>
          <w:rFonts w:ascii="Calibri" w:cs="Calibri" w:eastAsia="Calibri" w:hAnsi="Calibri"/>
          <w:sz w:val="20"/>
          <w:szCs w:val="20"/>
          <w:color w:val="auto"/>
        </w:rPr>
      </w:pPr>
    </w:p>
    <w:p>
      <w:pPr>
        <w:ind w:left="520" w:right="100" w:hanging="318"/>
        <w:spacing w:after="0" w:line="234" w:lineRule="auto"/>
        <w:tabs>
          <w:tab w:leader="none" w:pos="511"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auto"/>
        </w:rPr>
        <w:t>Dividend Reinvestment Plan.</w:t>
      </w:r>
      <w:r>
        <w:rPr>
          <w:rFonts w:ascii="Calibri" w:cs="Calibri" w:eastAsia="Calibri" w:hAnsi="Calibri"/>
          <w:sz w:val="20"/>
          <w:szCs w:val="20"/>
          <w:color w:val="auto"/>
        </w:rPr>
        <w:t xml:space="preserve"> The policy’s trading prohibiton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automatc acquisitons of Xylem stock pursuant to a dividend reinvestment plan sponsored by Xylem.</w:t>
      </w:r>
    </w:p>
    <w:p>
      <w:pPr>
        <w:spacing w:after="0" w:line="229" w:lineRule="exact"/>
        <w:rPr>
          <w:rFonts w:ascii="Calibri" w:cs="Calibri" w:eastAsia="Calibri" w:hAnsi="Calibri"/>
          <w:sz w:val="20"/>
          <w:szCs w:val="20"/>
          <w:color w:val="auto"/>
        </w:rPr>
      </w:pPr>
    </w:p>
    <w:p>
      <w:pPr>
        <w:ind w:left="520"/>
        <w:spacing w:after="0"/>
        <w:rPr>
          <w:rFonts w:ascii="Calibri" w:cs="Calibri" w:eastAsia="Calibri" w:hAnsi="Calibri"/>
          <w:sz w:val="20"/>
          <w:szCs w:val="20"/>
          <w:color w:val="auto"/>
        </w:rPr>
      </w:pPr>
      <w:r>
        <w:rPr>
          <w:rFonts w:ascii="Calibri" w:cs="Calibri" w:eastAsia="Calibri" w:hAnsi="Calibri"/>
          <w:sz w:val="20"/>
          <w:szCs w:val="20"/>
          <w:color w:val="auto"/>
        </w:rPr>
        <w:t xml:space="preserve">However, the policy’s trading prohibiton </w:t>
      </w:r>
      <w:r>
        <w:rPr>
          <w:rFonts w:ascii="Calibri" w:cs="Calibri" w:eastAsia="Calibri" w:hAnsi="Calibri"/>
          <w:sz w:val="20"/>
          <w:szCs w:val="20"/>
          <w:b w:val="1"/>
          <w:bCs w:val="1"/>
          <w:u w:val="single" w:color="auto"/>
          <w:color w:val="auto"/>
        </w:rPr>
        <w:t>does apply</w:t>
      </w:r>
      <w:r>
        <w:rPr>
          <w:rFonts w:ascii="Calibri" w:cs="Calibri" w:eastAsia="Calibri" w:hAnsi="Calibri"/>
          <w:sz w:val="20"/>
          <w:szCs w:val="20"/>
          <w:color w:val="auto"/>
        </w:rPr>
        <w:t xml:space="preserve"> to the following electons:</w:t>
      </w:r>
    </w:p>
    <w:p>
      <w:pPr>
        <w:spacing w:after="0" w:line="241" w:lineRule="exact"/>
        <w:rPr>
          <w:rFonts w:ascii="Calibri" w:cs="Calibri" w:eastAsia="Calibri" w:hAnsi="Calibri"/>
          <w:sz w:val="20"/>
          <w:szCs w:val="20"/>
          <w:color w:val="auto"/>
        </w:rPr>
      </w:pPr>
    </w:p>
    <w:p>
      <w:pPr>
        <w:ind w:left="840" w:hanging="315"/>
        <w:spacing w:after="0"/>
        <w:tabs>
          <w:tab w:leader="none" w:pos="84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Beginning or terminatng partcipaton in the plan;</w:t>
      </w:r>
    </w:p>
    <w:p>
      <w:pPr>
        <w:spacing w:after="0" w:line="106" w:lineRule="exact"/>
        <w:rPr>
          <w:rFonts w:ascii="Calibri" w:cs="Calibri" w:eastAsia="Calibri" w:hAnsi="Calibri"/>
          <w:sz w:val="20"/>
          <w:szCs w:val="20"/>
          <w:color w:val="auto"/>
        </w:rPr>
      </w:pPr>
    </w:p>
    <w:p>
      <w:pPr>
        <w:ind w:left="840" w:hanging="315"/>
        <w:spacing w:after="0"/>
        <w:tabs>
          <w:tab w:leader="none" w:pos="84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Increasing or decreasing your level of partcipaton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color w:val="auto"/>
        </w:rPr>
        <w:t>5</w:t>
      </w:r>
    </w:p>
    <w:p>
      <w:pPr>
        <w:spacing w:after="0" w:line="40"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0980"/>
          </w:cols>
          <w:pgMar w:left="360" w:top="141" w:right="55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60" w:hanging="335"/>
        <w:spacing w:after="0"/>
        <w:tabs>
          <w:tab w:leader="none" w:pos="860"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Making additonal contributons to the plan that result in a voluntary purchase of Xylem stock; and</w:t>
      </w:r>
    </w:p>
    <w:p>
      <w:pPr>
        <w:spacing w:after="0" w:line="106" w:lineRule="exact"/>
        <w:rPr>
          <w:rFonts w:ascii="Calibri" w:cs="Calibri" w:eastAsia="Calibri" w:hAnsi="Calibri"/>
          <w:sz w:val="20"/>
          <w:szCs w:val="20"/>
          <w:color w:val="auto"/>
        </w:rPr>
      </w:pPr>
    </w:p>
    <w:p>
      <w:pPr>
        <w:ind w:left="840" w:hanging="315"/>
        <w:spacing w:after="0"/>
        <w:tabs>
          <w:tab w:leader="none" w:pos="840" w:val="left"/>
        </w:tabs>
        <w:numPr>
          <w:ilvl w:val="1"/>
          <w:numId w:val="55"/>
        </w:numPr>
        <w:rPr>
          <w:rFonts w:ascii="Calibri" w:cs="Calibri" w:eastAsia="Calibri" w:hAnsi="Calibri"/>
          <w:sz w:val="20"/>
          <w:szCs w:val="20"/>
          <w:color w:val="auto"/>
        </w:rPr>
      </w:pPr>
      <w:r>
        <w:rPr>
          <w:rFonts w:ascii="Calibri" w:cs="Calibri" w:eastAsia="Calibri" w:hAnsi="Calibri"/>
          <w:sz w:val="20"/>
          <w:szCs w:val="20"/>
          <w:color w:val="auto"/>
        </w:rPr>
        <w:t>Selling Xylem stock acquired pursuant to the plan.</w:t>
      </w:r>
    </w:p>
    <w:p>
      <w:pPr>
        <w:spacing w:after="0" w:line="238" w:lineRule="exact"/>
        <w:rPr>
          <w:rFonts w:ascii="Calibri" w:cs="Calibri" w:eastAsia="Calibri" w:hAnsi="Calibri"/>
          <w:sz w:val="20"/>
          <w:szCs w:val="20"/>
          <w:color w:val="auto"/>
        </w:rPr>
      </w:pPr>
    </w:p>
    <w:p>
      <w:pPr>
        <w:ind w:left="520" w:hanging="319"/>
        <w:spacing w:after="0" w:line="234" w:lineRule="auto"/>
        <w:tabs>
          <w:tab w:leader="none" w:pos="512" w:val="left"/>
        </w:tabs>
        <w:numPr>
          <w:ilvl w:val="0"/>
          <w:numId w:val="56"/>
        </w:numPr>
        <w:rPr>
          <w:rFonts w:ascii="Calibri" w:cs="Calibri" w:eastAsia="Calibri" w:hAnsi="Calibri"/>
          <w:sz w:val="20"/>
          <w:szCs w:val="20"/>
          <w:color w:val="auto"/>
        </w:rPr>
      </w:pPr>
      <w:r>
        <w:rPr>
          <w:rFonts w:ascii="Calibri" w:cs="Calibri" w:eastAsia="Calibri" w:hAnsi="Calibri"/>
          <w:sz w:val="20"/>
          <w:szCs w:val="20"/>
          <w:u w:val="single" w:color="auto"/>
          <w:color w:val="auto"/>
        </w:rPr>
        <w:t>Performance Share Unit (“PSU”) Awards and Restricted Stock Unit (“RSU”) Awards.</w:t>
      </w:r>
      <w:r>
        <w:rPr>
          <w:rFonts w:ascii="Calibri" w:cs="Calibri" w:eastAsia="Calibri" w:hAnsi="Calibri"/>
          <w:sz w:val="20"/>
          <w:szCs w:val="20"/>
          <w:color w:val="auto"/>
        </w:rPr>
        <w:t xml:space="preserve"> The policy’s trading prohibiton, including as respects Quarterly Blackout Periods and special blackout periods,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the grant, vestng or setlement of PSUs and RSUs, the payment of related dividend equivalents, or the withholding of Xylem stock to cover an employee’s tax obligaton consequent to a vestng as part of Xylem’s long-term incentve compensaton plans. However, grants of PSUs and RSUs are </w:t>
      </w:r>
      <w:r>
        <w:rPr>
          <w:rFonts w:ascii="Calibri" w:cs="Calibri" w:eastAsia="Calibri" w:hAnsi="Calibri"/>
          <w:sz w:val="20"/>
          <w:szCs w:val="20"/>
          <w:b w:val="1"/>
          <w:bCs w:val="1"/>
          <w:u w:val="single" w:color="auto"/>
          <w:color w:val="auto"/>
        </w:rPr>
        <w:t>not</w:t>
      </w:r>
      <w:r>
        <w:rPr>
          <w:rFonts w:ascii="Calibri" w:cs="Calibri" w:eastAsia="Calibri" w:hAnsi="Calibri"/>
          <w:sz w:val="20"/>
          <w:szCs w:val="20"/>
          <w:color w:val="auto"/>
        </w:rPr>
        <w:t xml:space="preserve"> </w:t>
      </w:r>
      <w:r>
        <w:rPr>
          <w:rFonts w:ascii="Calibri" w:cs="Calibri" w:eastAsia="Calibri" w:hAnsi="Calibri"/>
          <w:sz w:val="20"/>
          <w:szCs w:val="20"/>
          <w:b w:val="1"/>
          <w:bCs w:val="1"/>
          <w:u w:val="single" w:color="auto"/>
          <w:color w:val="auto"/>
        </w:rPr>
        <w:t>permited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during Equity Grant Blackout Periods.</w:t>
      </w:r>
    </w:p>
    <w:p>
      <w:pPr>
        <w:spacing w:after="0" w:line="240" w:lineRule="exact"/>
        <w:rPr>
          <w:rFonts w:ascii="Calibri" w:cs="Calibri" w:eastAsia="Calibri" w:hAnsi="Calibri"/>
          <w:sz w:val="20"/>
          <w:szCs w:val="20"/>
          <w:color w:val="auto"/>
        </w:rPr>
      </w:pPr>
    </w:p>
    <w:p>
      <w:pPr>
        <w:ind w:left="540" w:right="100"/>
        <w:spacing w:after="0" w:line="233" w:lineRule="auto"/>
        <w:rPr>
          <w:rFonts w:ascii="Calibri" w:cs="Calibri" w:eastAsia="Calibri" w:hAnsi="Calibri"/>
          <w:sz w:val="20"/>
          <w:szCs w:val="20"/>
          <w:color w:val="auto"/>
        </w:rPr>
      </w:pPr>
      <w:r>
        <w:rPr>
          <w:rFonts w:ascii="Calibri" w:cs="Calibri" w:eastAsia="Calibri" w:hAnsi="Calibri"/>
          <w:sz w:val="20"/>
          <w:szCs w:val="20"/>
          <w:color w:val="auto"/>
        </w:rPr>
        <w:t xml:space="preserve">In the case of employees in non-U.S. countries, sales of shares of Xylem stock on the employee’s behalf upon the vestng of PSUs or RSUs, as directed by the Company using a broker designated by the Company, to (i) satsfy tax withholding obligatons incident to such vestng where share withholding is not possible, or (ii) provide the cash proceeds from the sales as setlement for the vested awards where setlement in shares upon vestng is not permited by the applicable laws, the policy’s trading prohibiton, including restrictons during Quarterly Blackout Periods and special blackout periods applicable to Restricted Persons,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w:t>
      </w:r>
    </w:p>
    <w:p>
      <w:pPr>
        <w:spacing w:after="0" w:line="251" w:lineRule="exact"/>
        <w:rPr>
          <w:rFonts w:ascii="Calibri" w:cs="Calibri" w:eastAsia="Calibri" w:hAnsi="Calibri"/>
          <w:sz w:val="20"/>
          <w:szCs w:val="20"/>
          <w:color w:val="auto"/>
        </w:rPr>
      </w:pPr>
    </w:p>
    <w:p>
      <w:pPr>
        <w:ind w:left="520" w:right="20"/>
        <w:spacing w:after="0" w:line="231" w:lineRule="auto"/>
        <w:rPr>
          <w:rFonts w:ascii="Calibri" w:cs="Calibri" w:eastAsia="Calibri" w:hAnsi="Calibri"/>
          <w:sz w:val="20"/>
          <w:szCs w:val="20"/>
          <w:color w:val="auto"/>
        </w:rPr>
      </w:pPr>
      <w:r>
        <w:rPr>
          <w:rFonts w:ascii="Calibri" w:cs="Calibri" w:eastAsia="Calibri" w:hAnsi="Calibri"/>
          <w:sz w:val="20"/>
          <w:szCs w:val="20"/>
          <w:color w:val="auto"/>
        </w:rPr>
        <w:t>To facilitate compliance with this policy, it is the Company’s policy that (i) for Directors and US employees, including Secton 16 Ofcers, all tax withholding obligatons incident to vestng of RSUs and PSUs be satsfed by net setlement, as applicable; (ii) for all non-US employees, tax withholding obligatons be satsfed by sell-to-cover where withholding of shares is not possible; and (iii) where setlement in shares upon vestng is not permited by applicable laws, shares will be sold and cash proceeds will be provided to employees as setlement for the applicable awards.</w:t>
      </w:r>
    </w:p>
    <w:p>
      <w:pPr>
        <w:spacing w:after="0" w:line="256" w:lineRule="exact"/>
        <w:rPr>
          <w:sz w:val="20"/>
          <w:szCs w:val="20"/>
          <w:color w:val="auto"/>
        </w:rPr>
      </w:pPr>
    </w:p>
    <w:p>
      <w:pPr>
        <w:ind w:left="520" w:right="180"/>
        <w:spacing w:after="0" w:line="234" w:lineRule="auto"/>
        <w:rPr>
          <w:sz w:val="20"/>
          <w:szCs w:val="20"/>
          <w:color w:val="auto"/>
        </w:rPr>
      </w:pPr>
      <w:r>
        <w:rPr>
          <w:rFonts w:ascii="Calibri" w:cs="Calibri" w:eastAsia="Calibri" w:hAnsi="Calibri"/>
          <w:sz w:val="20"/>
          <w:szCs w:val="20"/>
          <w:color w:val="auto"/>
        </w:rPr>
        <w:t xml:space="preserve">Except as provided above, the policy’s trading prohibiton </w:t>
      </w:r>
      <w:r>
        <w:rPr>
          <w:rFonts w:ascii="Calibri" w:cs="Calibri" w:eastAsia="Calibri" w:hAnsi="Calibri"/>
          <w:sz w:val="20"/>
          <w:szCs w:val="20"/>
          <w:b w:val="1"/>
          <w:bCs w:val="1"/>
          <w:u w:val="single" w:color="auto"/>
          <w:color w:val="auto"/>
        </w:rPr>
        <w:t>does apply</w:t>
      </w:r>
      <w:r>
        <w:rPr>
          <w:rFonts w:ascii="Calibri" w:cs="Calibri" w:eastAsia="Calibri" w:hAnsi="Calibri"/>
          <w:sz w:val="20"/>
          <w:szCs w:val="20"/>
          <w:color w:val="auto"/>
        </w:rPr>
        <w:t xml:space="preserve"> to transactons involving the underlying shares of Xylem stock afer the PSUs and RSUs vest, including any market sales, gifing or other transfer of the stock.</w:t>
      </w:r>
    </w:p>
    <w:p>
      <w:pPr>
        <w:spacing w:after="0" w:line="239" w:lineRule="exact"/>
        <w:rPr>
          <w:sz w:val="20"/>
          <w:szCs w:val="20"/>
          <w:color w:val="auto"/>
        </w:rPr>
      </w:pPr>
    </w:p>
    <w:p>
      <w:pPr>
        <w:ind w:left="520" w:right="220" w:hanging="318"/>
        <w:spacing w:after="0" w:line="231" w:lineRule="auto"/>
        <w:tabs>
          <w:tab w:leader="none" w:pos="511" w:val="left"/>
        </w:tabs>
        <w:numPr>
          <w:ilvl w:val="0"/>
          <w:numId w:val="57"/>
        </w:numPr>
        <w:rPr>
          <w:rFonts w:ascii="Calibri" w:cs="Calibri" w:eastAsia="Calibri" w:hAnsi="Calibri"/>
          <w:sz w:val="20"/>
          <w:szCs w:val="20"/>
          <w:color w:val="auto"/>
        </w:rPr>
      </w:pPr>
      <w:r>
        <w:rPr>
          <w:rFonts w:ascii="Calibri" w:cs="Calibri" w:eastAsia="Calibri" w:hAnsi="Calibri"/>
          <w:sz w:val="20"/>
          <w:szCs w:val="20"/>
          <w:u w:val="single" w:color="auto"/>
          <w:color w:val="auto"/>
        </w:rPr>
        <w:t>Stock Optons.</w:t>
      </w:r>
      <w:r>
        <w:rPr>
          <w:rFonts w:ascii="Calibri" w:cs="Calibri" w:eastAsia="Calibri" w:hAnsi="Calibri"/>
          <w:sz w:val="20"/>
          <w:szCs w:val="20"/>
          <w:color w:val="auto"/>
        </w:rPr>
        <w:t xml:space="preserve"> The policy’s trading prohibiton, including as respects Quarterly Blackout Periods and special blackout periods,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the grant or vestng of Xylem stock optons as part of Xylem’s long-term incentve compensaton plans.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However, optons grants are </w:t>
      </w:r>
      <w:r>
        <w:rPr>
          <w:rFonts w:ascii="Calibri" w:cs="Calibri" w:eastAsia="Calibri" w:hAnsi="Calibri"/>
          <w:sz w:val="20"/>
          <w:szCs w:val="20"/>
          <w:b w:val="1"/>
          <w:bCs w:val="1"/>
          <w:u w:val="single" w:color="auto"/>
          <w:color w:val="auto"/>
        </w:rPr>
        <w:t>not permited</w:t>
      </w:r>
      <w:r>
        <w:rPr>
          <w:rFonts w:ascii="Calibri" w:cs="Calibri" w:eastAsia="Calibri" w:hAnsi="Calibri"/>
          <w:sz w:val="20"/>
          <w:szCs w:val="20"/>
          <w:color w:val="auto"/>
        </w:rPr>
        <w:t xml:space="preserve"> during Equity Grant Blackout Periods.</w:t>
      </w:r>
    </w:p>
    <w:p>
      <w:pPr>
        <w:spacing w:after="0" w:line="253" w:lineRule="exact"/>
        <w:rPr>
          <w:rFonts w:ascii="Calibri" w:cs="Calibri" w:eastAsia="Calibri" w:hAnsi="Calibri"/>
          <w:sz w:val="20"/>
          <w:szCs w:val="20"/>
          <w:color w:val="auto"/>
        </w:rPr>
      </w:pPr>
    </w:p>
    <w:p>
      <w:pPr>
        <w:ind w:left="520" w:right="120"/>
        <w:spacing w:after="0" w:line="228" w:lineRule="auto"/>
        <w:rPr>
          <w:rFonts w:ascii="Calibri" w:cs="Calibri" w:eastAsia="Calibri" w:hAnsi="Calibri"/>
          <w:sz w:val="20"/>
          <w:szCs w:val="20"/>
          <w:color w:val="auto"/>
        </w:rPr>
      </w:pPr>
      <w:r>
        <w:rPr>
          <w:rFonts w:ascii="Calibri" w:cs="Calibri" w:eastAsia="Calibri" w:hAnsi="Calibri"/>
          <w:sz w:val="20"/>
          <w:szCs w:val="20"/>
          <w:color w:val="auto"/>
        </w:rPr>
        <w:t xml:space="preserve">The policy’s trading prohibiton also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the exercise of an opton if no Xylem stock is sold, or to the withholding of Xylem stock to satsfy tax withholding requirements.</w:t>
      </w:r>
    </w:p>
    <w:p>
      <w:pPr>
        <w:spacing w:after="0" w:line="251" w:lineRule="exact"/>
        <w:rPr>
          <w:rFonts w:ascii="Calibri" w:cs="Calibri" w:eastAsia="Calibri" w:hAnsi="Calibri"/>
          <w:sz w:val="20"/>
          <w:szCs w:val="20"/>
          <w:color w:val="auto"/>
        </w:rPr>
      </w:pPr>
    </w:p>
    <w:p>
      <w:pPr>
        <w:ind w:left="520" w:right="600"/>
        <w:spacing w:after="0" w:line="234" w:lineRule="auto"/>
        <w:rPr>
          <w:rFonts w:ascii="Calibri" w:cs="Calibri" w:eastAsia="Calibri" w:hAnsi="Calibri"/>
          <w:sz w:val="20"/>
          <w:szCs w:val="20"/>
          <w:color w:val="auto"/>
        </w:rPr>
      </w:pPr>
      <w:r>
        <w:rPr>
          <w:rFonts w:ascii="Calibri" w:cs="Calibri" w:eastAsia="Calibri" w:hAnsi="Calibri"/>
          <w:sz w:val="20"/>
          <w:szCs w:val="20"/>
          <w:color w:val="auto"/>
        </w:rPr>
        <w:t xml:space="preserve">The policy’s trading prohibiton, including as respects Quarterly Blackout Periods and special blackout periods, and other requirements </w:t>
      </w:r>
      <w:r>
        <w:rPr>
          <w:rFonts w:ascii="Calibri" w:cs="Calibri" w:eastAsia="Calibri" w:hAnsi="Calibri"/>
          <w:sz w:val="20"/>
          <w:szCs w:val="20"/>
          <w:b w:val="1"/>
          <w:bCs w:val="1"/>
          <w:u w:val="single" w:color="auto"/>
          <w:color w:val="auto"/>
        </w:rPr>
        <w:t>does apply</w:t>
      </w:r>
      <w:r>
        <w:rPr>
          <w:rFonts w:ascii="Calibri" w:cs="Calibri" w:eastAsia="Calibri" w:hAnsi="Calibri"/>
          <w:sz w:val="20"/>
          <w:szCs w:val="20"/>
          <w:color w:val="auto"/>
        </w:rPr>
        <w:t xml:space="preserve"> to all other exercises of Xylem stock optons, including net exercises or cashless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13335</wp:posOffset>
            </wp:positionV>
            <wp:extent cx="5100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5100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color w:val="auto"/>
        </w:rPr>
        <w:t>6</w:t>
      </w:r>
    </w:p>
    <w:p>
      <w:pPr>
        <w:spacing w:after="0" w:line="40"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0980"/>
          </w:cols>
          <w:pgMar w:left="360" w:top="141" w:right="55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right="20" w:hanging="319"/>
        <w:spacing w:after="0" w:line="231" w:lineRule="auto"/>
        <w:tabs>
          <w:tab w:leader="none" w:pos="512" w:val="left"/>
        </w:tabs>
        <w:numPr>
          <w:ilvl w:val="0"/>
          <w:numId w:val="58"/>
        </w:numPr>
        <w:rPr>
          <w:rFonts w:ascii="Calibri" w:cs="Calibri" w:eastAsia="Calibri" w:hAnsi="Calibri"/>
          <w:sz w:val="20"/>
          <w:szCs w:val="20"/>
          <w:color w:val="auto"/>
        </w:rPr>
      </w:pPr>
      <w:r>
        <w:rPr>
          <w:rFonts w:ascii="Calibri" w:cs="Calibri" w:eastAsia="Calibri" w:hAnsi="Calibri"/>
          <w:sz w:val="20"/>
          <w:szCs w:val="20"/>
          <w:u w:val="single" w:color="auto"/>
          <w:color w:val="auto"/>
        </w:rPr>
        <w:t>Mutual Funds</w:t>
      </w:r>
      <w:r>
        <w:rPr>
          <w:rFonts w:ascii="Calibri" w:cs="Calibri" w:eastAsia="Calibri" w:hAnsi="Calibri"/>
          <w:sz w:val="20"/>
          <w:szCs w:val="20"/>
          <w:color w:val="auto"/>
        </w:rPr>
        <w:t xml:space="preserve">. The policy’s trading prohibiton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transactons in mutual funds that are invested in Xylem Securites, as long as you do not control the investment decisions on individual securites within the fund or portolio and Xylem Securites do not represent a substantal porton of the assets of the fund or portolio.</w:t>
      </w:r>
    </w:p>
    <w:p>
      <w:pPr>
        <w:spacing w:after="0" w:line="253" w:lineRule="exact"/>
        <w:rPr>
          <w:rFonts w:ascii="Calibri" w:cs="Calibri" w:eastAsia="Calibri" w:hAnsi="Calibri"/>
          <w:sz w:val="20"/>
          <w:szCs w:val="20"/>
          <w:color w:val="auto"/>
        </w:rPr>
      </w:pPr>
    </w:p>
    <w:p>
      <w:pPr>
        <w:ind w:left="520" w:right="100" w:hanging="319"/>
        <w:spacing w:after="0" w:line="231" w:lineRule="auto"/>
        <w:tabs>
          <w:tab w:leader="none" w:pos="512" w:val="left"/>
        </w:tabs>
        <w:numPr>
          <w:ilvl w:val="0"/>
          <w:numId w:val="58"/>
        </w:numPr>
        <w:rPr>
          <w:rFonts w:ascii="Calibri" w:cs="Calibri" w:eastAsia="Calibri" w:hAnsi="Calibri"/>
          <w:sz w:val="20"/>
          <w:szCs w:val="20"/>
          <w:color w:val="auto"/>
        </w:rPr>
      </w:pPr>
      <w:r>
        <w:rPr>
          <w:rFonts w:ascii="Calibri" w:cs="Calibri" w:eastAsia="Calibri" w:hAnsi="Calibri"/>
          <w:sz w:val="20"/>
          <w:szCs w:val="20"/>
          <w:u w:val="single" w:color="auto"/>
          <w:color w:val="auto"/>
        </w:rPr>
        <w:t>Certain Transfers</w:t>
      </w:r>
      <w:r>
        <w:rPr>
          <w:rFonts w:ascii="Calibri" w:cs="Calibri" w:eastAsia="Calibri" w:hAnsi="Calibri"/>
          <w:sz w:val="20"/>
          <w:szCs w:val="20"/>
          <w:color w:val="auto"/>
        </w:rPr>
        <w:t xml:space="preserve">. The policy’s trading prohibiton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the transfer of Xylem Securites to any entty or account that does not involve a change in benefcial ownership of the securites (e.g. transferring shares from one brokerage account to another brokerage account where both accounts are solely controlled by you).</w:t>
      </w:r>
    </w:p>
    <w:p>
      <w:pPr>
        <w:spacing w:after="0" w:line="253" w:lineRule="exact"/>
        <w:rPr>
          <w:rFonts w:ascii="Calibri" w:cs="Calibri" w:eastAsia="Calibri" w:hAnsi="Calibri"/>
          <w:sz w:val="20"/>
          <w:szCs w:val="20"/>
          <w:color w:val="auto"/>
        </w:rPr>
      </w:pPr>
    </w:p>
    <w:p>
      <w:pPr>
        <w:ind w:left="520" w:right="240" w:hanging="319"/>
        <w:spacing w:after="0" w:line="231" w:lineRule="auto"/>
        <w:tabs>
          <w:tab w:leader="none" w:pos="512" w:val="left"/>
        </w:tabs>
        <w:numPr>
          <w:ilvl w:val="0"/>
          <w:numId w:val="58"/>
        </w:numPr>
        <w:rPr>
          <w:rFonts w:ascii="Calibri" w:cs="Calibri" w:eastAsia="Calibri" w:hAnsi="Calibri"/>
          <w:sz w:val="20"/>
          <w:szCs w:val="20"/>
          <w:color w:val="auto"/>
        </w:rPr>
      </w:pPr>
      <w:r>
        <w:rPr>
          <w:rFonts w:ascii="Calibri" w:cs="Calibri" w:eastAsia="Calibri" w:hAnsi="Calibri"/>
          <w:sz w:val="20"/>
          <w:szCs w:val="20"/>
          <w:u w:val="single" w:color="auto"/>
          <w:color w:val="auto"/>
        </w:rPr>
        <w:t>Rule 10b5-1 Plans</w:t>
      </w:r>
      <w:r>
        <w:rPr>
          <w:rFonts w:ascii="Calibri" w:cs="Calibri" w:eastAsia="Calibri" w:hAnsi="Calibri"/>
          <w:sz w:val="20"/>
          <w:szCs w:val="20"/>
          <w:color w:val="auto"/>
        </w:rPr>
        <w:t xml:space="preserve">. The policy’s trading prohibiton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transactons in Securites pursuant to a trading plan that complies with the US Securites and Exchange Commission’s (“SEC”) Rule 10b5-1 and has been approved through the Company’s mandatory pre-clearance process (see the “Rule 10b5-1 Trading Plans” secton).</w:t>
      </w:r>
    </w:p>
    <w:p>
      <w:pPr>
        <w:spacing w:after="0" w:line="253" w:lineRule="exact"/>
        <w:rPr>
          <w:rFonts w:ascii="Calibri" w:cs="Calibri" w:eastAsia="Calibri" w:hAnsi="Calibri"/>
          <w:sz w:val="20"/>
          <w:szCs w:val="20"/>
          <w:color w:val="auto"/>
        </w:rPr>
      </w:pPr>
    </w:p>
    <w:p>
      <w:pPr>
        <w:ind w:left="520" w:right="460" w:hanging="319"/>
        <w:spacing w:after="0" w:line="228" w:lineRule="auto"/>
        <w:tabs>
          <w:tab w:leader="none" w:pos="512" w:val="left"/>
        </w:tabs>
        <w:numPr>
          <w:ilvl w:val="0"/>
          <w:numId w:val="58"/>
        </w:numPr>
        <w:rPr>
          <w:rFonts w:ascii="Calibri" w:cs="Calibri" w:eastAsia="Calibri" w:hAnsi="Calibri"/>
          <w:sz w:val="20"/>
          <w:szCs w:val="20"/>
          <w:color w:val="auto"/>
        </w:rPr>
      </w:pPr>
      <w:r>
        <w:rPr>
          <w:rFonts w:ascii="Calibri" w:cs="Calibri" w:eastAsia="Calibri" w:hAnsi="Calibri"/>
          <w:sz w:val="20"/>
          <w:szCs w:val="20"/>
          <w:u w:val="single" w:color="auto"/>
          <w:color w:val="auto"/>
        </w:rPr>
        <w:t>Public Ofering</w:t>
      </w:r>
      <w:r>
        <w:rPr>
          <w:rFonts w:ascii="Calibri" w:cs="Calibri" w:eastAsia="Calibri" w:hAnsi="Calibri"/>
          <w:sz w:val="20"/>
          <w:szCs w:val="20"/>
          <w:color w:val="auto"/>
        </w:rPr>
        <w:t xml:space="preserve">. The policy’s trading prohibiton </w:t>
      </w:r>
      <w:r>
        <w:rPr>
          <w:rFonts w:ascii="Calibri" w:cs="Calibri" w:eastAsia="Calibri" w:hAnsi="Calibri"/>
          <w:sz w:val="20"/>
          <w:szCs w:val="20"/>
          <w:b w:val="1"/>
          <w:bCs w:val="1"/>
          <w:u w:val="single" w:color="auto"/>
          <w:color w:val="auto"/>
        </w:rPr>
        <w:t>does not apply</w:t>
      </w:r>
      <w:r>
        <w:rPr>
          <w:rFonts w:ascii="Calibri" w:cs="Calibri" w:eastAsia="Calibri" w:hAnsi="Calibri"/>
          <w:sz w:val="20"/>
          <w:szCs w:val="20"/>
          <w:color w:val="auto"/>
        </w:rPr>
        <w:t xml:space="preserve"> to sales of Xylem Securites in a registered public ofering in accordance with applicable securites laws.</w:t>
      </w:r>
    </w:p>
    <w:p>
      <w:pPr>
        <w:spacing w:after="0" w:line="251" w:lineRule="exact"/>
        <w:rPr>
          <w:rFonts w:ascii="Calibri" w:cs="Calibri" w:eastAsia="Calibri" w:hAnsi="Calibri"/>
          <w:sz w:val="20"/>
          <w:szCs w:val="20"/>
          <w:color w:val="auto"/>
        </w:rPr>
      </w:pPr>
    </w:p>
    <w:p>
      <w:pPr>
        <w:ind w:left="520" w:right="40" w:hanging="319"/>
        <w:spacing w:after="0" w:line="233" w:lineRule="auto"/>
        <w:tabs>
          <w:tab w:leader="none" w:pos="512" w:val="left"/>
        </w:tabs>
        <w:numPr>
          <w:ilvl w:val="0"/>
          <w:numId w:val="58"/>
        </w:numPr>
        <w:rPr>
          <w:rFonts w:ascii="Calibri" w:cs="Calibri" w:eastAsia="Calibri" w:hAnsi="Calibri"/>
          <w:sz w:val="20"/>
          <w:szCs w:val="20"/>
          <w:color w:val="auto"/>
        </w:rPr>
      </w:pPr>
      <w:r>
        <w:rPr>
          <w:rFonts w:ascii="Calibri" w:cs="Calibri" w:eastAsia="Calibri" w:hAnsi="Calibri"/>
          <w:sz w:val="20"/>
          <w:szCs w:val="20"/>
          <w:u w:val="single" w:color="auto"/>
          <w:color w:val="auto"/>
        </w:rPr>
        <w:t>Company Transactons.</w:t>
      </w:r>
      <w:r>
        <w:rPr>
          <w:rFonts w:ascii="Calibri" w:cs="Calibri" w:eastAsia="Calibri" w:hAnsi="Calibri"/>
          <w:sz w:val="20"/>
          <w:szCs w:val="20"/>
          <w:color w:val="auto"/>
        </w:rPr>
        <w:t xml:space="preserve"> From tme to tme, the Company may engage in transactons in Xylem Securites. It is the Company’s policy that Xylem will not engage in repurchases of Xylem Securites while aware of Material Non-Public Informaton or during a Quarterly Blackout Period or a special blackout period (other than pursuant to a trading plan that complies with Rule 10b5-1 under the Exchange Act and this policy). Xylem will comply with all applicable securites laws and state laws (including appropriate approvals by the Board of Directors or appropriate commitee, if required), as well as this policy’s trading prohibiton when engaging in transactons in Xylem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175260</wp:posOffset>
            </wp:positionV>
            <wp:extent cx="5100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5100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200" w:right="140"/>
        <w:spacing w:after="0" w:line="230" w:lineRule="auto"/>
        <w:rPr>
          <w:sz w:val="20"/>
          <w:szCs w:val="20"/>
          <w:color w:val="auto"/>
        </w:rPr>
      </w:pPr>
      <w:r>
        <w:rPr>
          <w:rFonts w:ascii="Calibri" w:cs="Calibri" w:eastAsia="Calibri" w:hAnsi="Calibri"/>
          <w:sz w:val="20"/>
          <w:szCs w:val="20"/>
          <w:color w:val="auto"/>
        </w:rPr>
        <w:t>Rule 10b5-1(c) under the Exchange Act provides an afrmatve defense against insider trading liability if trades occur pursuant to a writen plan, contract, instructon or arrangement that meets the specifed conditons of the Rule (referred to as a “10b5-1 Plan”). Transactons under a 10b5-1 Plan may occur even when the person who has entered into the plan is aware of Material Non-Public Informaton.</w:t>
      </w:r>
    </w:p>
    <w:p>
      <w:pPr>
        <w:spacing w:after="0" w:line="117" w:lineRule="exact"/>
        <w:rPr>
          <w:sz w:val="20"/>
          <w:szCs w:val="20"/>
          <w:color w:val="auto"/>
        </w:rPr>
      </w:pPr>
    </w:p>
    <w:p>
      <w:pPr>
        <w:ind w:left="200"/>
        <w:spacing w:after="0" w:line="233" w:lineRule="auto"/>
        <w:rPr>
          <w:sz w:val="20"/>
          <w:szCs w:val="20"/>
          <w:color w:val="auto"/>
        </w:rPr>
      </w:pPr>
      <w:r>
        <w:rPr>
          <w:rFonts w:ascii="Calibri" w:cs="Calibri" w:eastAsia="Calibri" w:hAnsi="Calibri"/>
          <w:sz w:val="20"/>
          <w:szCs w:val="20"/>
          <w:u w:val="single" w:color="auto"/>
          <w:color w:val="auto"/>
        </w:rPr>
        <w:t>Who May Enter Into a 10b5-1 Plan</w:t>
      </w:r>
      <w:r>
        <w:rPr>
          <w:rFonts w:ascii="Calibri" w:cs="Calibri" w:eastAsia="Calibri" w:hAnsi="Calibri"/>
          <w:sz w:val="20"/>
          <w:szCs w:val="20"/>
          <w:color w:val="auto"/>
        </w:rPr>
        <w:t>. Because of the trading restrictons imposed on Restricted Insiders under this policy, only Restricted Insiders are eligible to enter into a Rule 10b5-1 Plan. In additon to complying with the requirements of the SEC’s Rule 10b5-1(c), under this policy the design, adopton, amendment or terminaton of a Rule 10b5-1 Plan must meet the requirements set forth in Appendix A, “Guidelines for Rule 10b5-1 Trading Plans.”</w:t>
      </w:r>
    </w:p>
    <w:p>
      <w:pPr>
        <w:spacing w:after="0" w:line="240" w:lineRule="exact"/>
        <w:rPr>
          <w:sz w:val="20"/>
          <w:szCs w:val="20"/>
          <w:color w:val="auto"/>
        </w:rPr>
      </w:pPr>
    </w:p>
    <w:p>
      <w:pPr>
        <w:ind w:left="220" w:right="60"/>
        <w:spacing w:after="0" w:line="233" w:lineRule="auto"/>
        <w:rPr>
          <w:sz w:val="20"/>
          <w:szCs w:val="20"/>
          <w:color w:val="auto"/>
        </w:rPr>
      </w:pPr>
      <w:r>
        <w:rPr>
          <w:rFonts w:ascii="Calibri" w:cs="Calibri" w:eastAsia="Calibri" w:hAnsi="Calibri"/>
          <w:sz w:val="20"/>
          <w:szCs w:val="20"/>
          <w:u w:val="single" w:color="auto"/>
          <w:color w:val="auto"/>
        </w:rPr>
        <w:t>Disclosures Regarding 10b5-1 Plans</w:t>
      </w:r>
      <w:r>
        <w:rPr>
          <w:rFonts w:ascii="Calibri" w:cs="Calibri" w:eastAsia="Calibri" w:hAnsi="Calibri"/>
          <w:sz w:val="20"/>
          <w:szCs w:val="20"/>
          <w:color w:val="auto"/>
        </w:rPr>
        <w:t>. The Company will comply with all SEC requirements pertaining to disclosures, including mandatory quarterly disclosure in its periodic reports of Directors' and Secton 16 Ofcers’ adopton or terminaton of 10b5-1 Plans and material terms (other than with respect to price). When required by SEC rules, the Company will also make required disclosures of applicable Family Members and Controlled Enttes’ 10b5-1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wp:posOffset>
            </wp:positionV>
            <wp:extent cx="542607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542607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color w:val="auto"/>
        </w:rPr>
        <w:t>7</w:t>
      </w:r>
    </w:p>
    <w:p>
      <w:pPr>
        <w:spacing w:after="0" w:line="53"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020"/>
          </w:cols>
          <w:pgMar w:left="360" w:top="141" w:right="5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200"/>
        <w:spacing w:after="0" w:line="231" w:lineRule="auto"/>
        <w:rPr>
          <w:sz w:val="20"/>
          <w:szCs w:val="20"/>
          <w:color w:val="auto"/>
        </w:rPr>
      </w:pPr>
      <w:r>
        <w:rPr>
          <w:rFonts w:ascii="Calibri" w:cs="Calibri" w:eastAsia="Calibri" w:hAnsi="Calibri"/>
          <w:sz w:val="20"/>
          <w:szCs w:val="20"/>
          <w:color w:val="auto"/>
        </w:rPr>
        <w:t>Directors and Secton 16 Ofcers are subject to Secton 16 of the Exchange Act, which requires them to fle reports with the SEC of all acquisitons, dispositons, including gifs, and other changes in benefcial ownership of Xylem Securites within two (2) business days afer any such transacton, including those made pursuant to an approved 10b5-1 Plan, unless specifcally exempt.</w:t>
      </w:r>
    </w:p>
    <w:p>
      <w:pPr>
        <w:spacing w:after="0" w:line="254" w:lineRule="exact"/>
        <w:rPr>
          <w:sz w:val="20"/>
          <w:szCs w:val="20"/>
          <w:color w:val="auto"/>
        </w:rPr>
      </w:pPr>
    </w:p>
    <w:p>
      <w:pPr>
        <w:ind w:left="200" w:right="100"/>
        <w:spacing w:after="0" w:line="231" w:lineRule="auto"/>
        <w:rPr>
          <w:sz w:val="20"/>
          <w:szCs w:val="20"/>
          <w:color w:val="auto"/>
        </w:rPr>
      </w:pPr>
      <w:r>
        <w:rPr>
          <w:rFonts w:ascii="Calibri" w:cs="Calibri" w:eastAsia="Calibri" w:hAnsi="Calibri"/>
          <w:sz w:val="20"/>
          <w:szCs w:val="20"/>
          <w:color w:val="auto"/>
        </w:rPr>
        <w:t>The Ofce of the General Counsel and its designee(s) will assist Directors and Secton 16 Ofcers in preparing and fling the required Secton 16 reports. However, Directors and Secton 16 Ofcers are ultmately individually responsible for ensuring the required reports are fled with accurate informaton and on a tmely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176530</wp:posOffset>
            </wp:positionV>
            <wp:extent cx="5100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5100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Trading on the basis of Material Non-Public Informaton is prohibited even if trades are made in</w:t>
      </w:r>
    </w:p>
    <w:p>
      <w:pPr>
        <w:ind w:left="200" w:right="220"/>
        <w:spacing w:after="0" w:line="228" w:lineRule="auto"/>
        <w:rPr>
          <w:sz w:val="20"/>
          <w:szCs w:val="20"/>
          <w:color w:val="auto"/>
        </w:rPr>
      </w:pPr>
      <w:r>
        <w:rPr>
          <w:rFonts w:ascii="Calibri" w:cs="Calibri" w:eastAsia="Calibri" w:hAnsi="Calibri"/>
          <w:sz w:val="20"/>
          <w:szCs w:val="20"/>
          <w:color w:val="auto"/>
        </w:rPr>
        <w:t>compliance with Quarterly Blackout Periods, special blackout periods, Trading Windows and pre-clearance procedures. As a result, these mechanisms should not be considered as creatng a safe harbor for trading Xylem Securites. In additon, the existence of a personal fnancial hardship or emergency does not excuse compliance with this policy or applicable laws. You should use good judgment at all tmes.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542607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5426075"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520" w:right="60" w:hanging="319"/>
        <w:spacing w:after="0" w:line="231" w:lineRule="auto"/>
        <w:tabs>
          <w:tab w:leader="none" w:pos="512" w:val="left"/>
        </w:tabs>
        <w:numPr>
          <w:ilvl w:val="0"/>
          <w:numId w:val="59"/>
        </w:numPr>
        <w:rPr>
          <w:rFonts w:ascii="Calibri" w:cs="Calibri" w:eastAsia="Calibri" w:hAnsi="Calibri"/>
          <w:sz w:val="20"/>
          <w:szCs w:val="20"/>
          <w:color w:val="auto"/>
        </w:rPr>
      </w:pPr>
      <w:r>
        <w:rPr>
          <w:rFonts w:ascii="Calibri" w:cs="Calibri" w:eastAsia="Calibri" w:hAnsi="Calibri"/>
          <w:sz w:val="20"/>
          <w:szCs w:val="20"/>
          <w:color w:val="auto"/>
        </w:rPr>
        <w:t>If you are in possession of Material Non-Public Informaton when your employment, service or afliaton with Xylem terminates, you, your Family Members and Controlled Enttes may not trade in Xylem Securites untl that informaton has become public or is no longer considered Material Informaton.</w:t>
      </w:r>
    </w:p>
    <w:p>
      <w:pPr>
        <w:spacing w:after="0" w:line="253" w:lineRule="exact"/>
        <w:rPr>
          <w:rFonts w:ascii="Calibri" w:cs="Calibri" w:eastAsia="Calibri" w:hAnsi="Calibri"/>
          <w:sz w:val="20"/>
          <w:szCs w:val="20"/>
          <w:color w:val="auto"/>
        </w:rPr>
      </w:pPr>
    </w:p>
    <w:p>
      <w:pPr>
        <w:jc w:val="both"/>
        <w:ind w:left="520" w:right="400" w:hanging="319"/>
        <w:spacing w:after="0" w:line="231" w:lineRule="auto"/>
        <w:tabs>
          <w:tab w:leader="none" w:pos="512" w:val="left"/>
        </w:tabs>
        <w:numPr>
          <w:ilvl w:val="0"/>
          <w:numId w:val="59"/>
        </w:numPr>
        <w:rPr>
          <w:rFonts w:ascii="Calibri" w:cs="Calibri" w:eastAsia="Calibri" w:hAnsi="Calibri"/>
          <w:sz w:val="20"/>
          <w:szCs w:val="20"/>
          <w:color w:val="auto"/>
        </w:rPr>
      </w:pPr>
      <w:r>
        <w:rPr>
          <w:rFonts w:ascii="Calibri" w:cs="Calibri" w:eastAsia="Calibri" w:hAnsi="Calibri"/>
          <w:sz w:val="20"/>
          <w:szCs w:val="20"/>
          <w:color w:val="auto"/>
        </w:rPr>
        <w:t>If you are a Restricted Insider and your employment, service or afliaton with Xylem terminates during a Quarterly Blackout Period or other special blackout period, you, your Family Members and Controlled Enttes may not trade in Xylem Securites untl the Trading Window re-opens.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wp:posOffset>
            </wp:positionV>
            <wp:extent cx="5434965"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5434965" cy="1460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0" w:right="400"/>
        <w:spacing w:after="0" w:line="234" w:lineRule="auto"/>
        <w:rPr>
          <w:sz w:val="20"/>
          <w:szCs w:val="20"/>
          <w:color w:val="auto"/>
        </w:rPr>
      </w:pPr>
      <w:r>
        <w:rPr>
          <w:rFonts w:ascii="Calibri" w:cs="Calibri" w:eastAsia="Calibri" w:hAnsi="Calibri"/>
          <w:sz w:val="20"/>
          <w:szCs w:val="20"/>
          <w:b w:val="1"/>
          <w:bCs w:val="1"/>
          <w:color w:val="auto"/>
        </w:rPr>
        <w:t xml:space="preserve">Controlled Enttes </w:t>
      </w:r>
      <w:r>
        <w:rPr>
          <w:rFonts w:ascii="Calibri" w:cs="Calibri" w:eastAsia="Calibri" w:hAnsi="Calibri"/>
          <w:sz w:val="20"/>
          <w:szCs w:val="20"/>
          <w:color w:val="auto"/>
        </w:rPr>
        <w:t>includes any corporaton, partnership, trust, estate or other entty for which you have, or share the ability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infuence, manage or control investment decisions of such entty.</w:t>
      </w:r>
    </w:p>
    <w:p>
      <w:pPr>
        <w:spacing w:after="0" w:line="239" w:lineRule="exact"/>
        <w:rPr>
          <w:sz w:val="20"/>
          <w:szCs w:val="20"/>
          <w:color w:val="auto"/>
        </w:rPr>
      </w:pPr>
    </w:p>
    <w:p>
      <w:pPr>
        <w:ind w:left="200" w:right="900"/>
        <w:spacing w:after="0" w:line="234" w:lineRule="auto"/>
        <w:rPr>
          <w:sz w:val="20"/>
          <w:szCs w:val="20"/>
          <w:color w:val="auto"/>
        </w:rPr>
      </w:pPr>
      <w:r>
        <w:rPr>
          <w:rFonts w:ascii="Calibri" w:cs="Calibri" w:eastAsia="Calibri" w:hAnsi="Calibri"/>
          <w:sz w:val="20"/>
          <w:szCs w:val="20"/>
          <w:b w:val="1"/>
          <w:bCs w:val="1"/>
          <w:color w:val="auto"/>
        </w:rPr>
        <w:t xml:space="preserve">Directors </w:t>
      </w:r>
      <w:r>
        <w:rPr>
          <w:rFonts w:ascii="Calibri" w:cs="Calibri" w:eastAsia="Calibri" w:hAnsi="Calibri"/>
          <w:sz w:val="20"/>
          <w:szCs w:val="20"/>
          <w:color w:val="auto"/>
        </w:rPr>
        <w:t>means individuals who are members of Xylem Inc.’s Board of Directors. Directors are subject to Secton 16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Exchange Act.</w:t>
      </w:r>
    </w:p>
    <w:p>
      <w:pPr>
        <w:spacing w:after="0" w:line="239" w:lineRule="exact"/>
        <w:rPr>
          <w:sz w:val="20"/>
          <w:szCs w:val="20"/>
          <w:color w:val="auto"/>
        </w:rPr>
      </w:pPr>
    </w:p>
    <w:p>
      <w:pPr>
        <w:ind w:left="200" w:right="140"/>
        <w:spacing w:after="0" w:line="236" w:lineRule="auto"/>
        <w:rPr>
          <w:sz w:val="20"/>
          <w:szCs w:val="20"/>
          <w:color w:val="auto"/>
        </w:rPr>
      </w:pPr>
      <w:r>
        <w:rPr>
          <w:rFonts w:ascii="Calibri" w:cs="Calibri" w:eastAsia="Calibri" w:hAnsi="Calibri"/>
          <w:sz w:val="20"/>
          <w:szCs w:val="20"/>
          <w:b w:val="1"/>
          <w:bCs w:val="1"/>
          <w:color w:val="auto"/>
        </w:rPr>
        <w:t xml:space="preserve">Equity Grant Blackout Period </w:t>
      </w:r>
      <w:r>
        <w:rPr>
          <w:rFonts w:ascii="Calibri" w:cs="Calibri" w:eastAsia="Calibri" w:hAnsi="Calibri"/>
          <w:sz w:val="20"/>
          <w:szCs w:val="20"/>
          <w:color w:val="auto"/>
        </w:rPr>
        <w:t>is a period of tme set and advised by the Ofce of the General Counsel which, as a general mater,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begins at 12:00am ET on the fourth trading day prior to the fling of a Form 10-Q, Form 10-K or Form 8-K and ends at 7:00 am ET on the third trading day afer the fling.</w:t>
      </w:r>
    </w:p>
    <w:p>
      <w:pPr>
        <w:spacing w:after="0" w:line="238" w:lineRule="exact"/>
        <w:rPr>
          <w:sz w:val="20"/>
          <w:szCs w:val="20"/>
          <w:color w:val="auto"/>
        </w:rPr>
      </w:pPr>
    </w:p>
    <w:p>
      <w:pPr>
        <w:ind w:left="200" w:right="240"/>
        <w:spacing w:after="0" w:line="231" w:lineRule="auto"/>
        <w:rPr>
          <w:sz w:val="20"/>
          <w:szCs w:val="20"/>
          <w:color w:val="auto"/>
        </w:rPr>
      </w:pPr>
      <w:r>
        <w:rPr>
          <w:rFonts w:ascii="Calibri" w:cs="Calibri" w:eastAsia="Calibri" w:hAnsi="Calibri"/>
          <w:sz w:val="20"/>
          <w:szCs w:val="20"/>
          <w:b w:val="1"/>
          <w:bCs w:val="1"/>
          <w:color w:val="auto"/>
        </w:rPr>
        <w:t xml:space="preserve">Family Members </w:t>
      </w:r>
      <w:r>
        <w:rPr>
          <w:rFonts w:ascii="Calibri" w:cs="Calibri" w:eastAsia="Calibri" w:hAnsi="Calibri"/>
          <w:sz w:val="20"/>
          <w:szCs w:val="20"/>
          <w:color w:val="auto"/>
        </w:rPr>
        <w:t>includes 1) a spouse or domestc partner, minor children and any other person sharing the household of a Xylem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Director, ofcer or employee, and 2) any family members who do not live in your household but whose transactons in Xylem Securites are directed by you or are subject to your infuence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8</w:t>
      </w:r>
    </w:p>
    <w:p>
      <w:pPr>
        <w:spacing w:after="0" w:line="40"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100"/>
          </w:cols>
          <w:pgMar w:left="360" w:top="141" w:right="4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right="180"/>
        <w:spacing w:after="0" w:line="234" w:lineRule="auto"/>
        <w:rPr>
          <w:sz w:val="20"/>
          <w:szCs w:val="20"/>
          <w:color w:val="auto"/>
        </w:rPr>
      </w:pPr>
      <w:r>
        <w:rPr>
          <w:rFonts w:ascii="Calibri" w:cs="Calibri" w:eastAsia="Calibri" w:hAnsi="Calibri"/>
          <w:sz w:val="20"/>
          <w:szCs w:val="20"/>
          <w:b w:val="1"/>
          <w:bCs w:val="1"/>
          <w:color w:val="auto"/>
        </w:rPr>
        <w:t xml:space="preserve">Material Informaton </w:t>
      </w:r>
      <w:r>
        <w:rPr>
          <w:rFonts w:ascii="Calibri" w:cs="Calibri" w:eastAsia="Calibri" w:hAnsi="Calibri"/>
          <w:sz w:val="20"/>
          <w:szCs w:val="20"/>
          <w:color w:val="auto"/>
        </w:rPr>
        <w:t>is informaton a reasonable investor would consider important in making an investment decision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informaton a reasonable investor would view as altering the total mix of available informaton. In general, any informaton that is likely to afect the market price of Securites, whether positvely or negatvely, should be considered Material. Materiality is based on an assessment of all of the facts and circumstances. If you are not certain whether informaton is Material, please contact the General Counsel.</w:t>
      </w:r>
    </w:p>
    <w:p>
      <w:pPr>
        <w:spacing w:after="0" w:line="241" w:lineRule="exact"/>
        <w:rPr>
          <w:sz w:val="20"/>
          <w:szCs w:val="20"/>
          <w:color w:val="auto"/>
        </w:rPr>
      </w:pPr>
    </w:p>
    <w:p>
      <w:pPr>
        <w:ind w:left="200" w:right="80"/>
        <w:spacing w:after="0" w:line="233" w:lineRule="auto"/>
        <w:rPr>
          <w:sz w:val="20"/>
          <w:szCs w:val="20"/>
          <w:color w:val="auto"/>
        </w:rPr>
      </w:pPr>
      <w:r>
        <w:rPr>
          <w:rFonts w:ascii="Calibri" w:cs="Calibri" w:eastAsia="Calibri" w:hAnsi="Calibri"/>
          <w:sz w:val="20"/>
          <w:szCs w:val="20"/>
          <w:b w:val="1"/>
          <w:bCs w:val="1"/>
          <w:color w:val="auto"/>
        </w:rPr>
        <w:t xml:space="preserve">Non-Public Informaton </w:t>
      </w:r>
      <w:r>
        <w:rPr>
          <w:rFonts w:ascii="Calibri" w:cs="Calibri" w:eastAsia="Calibri" w:hAnsi="Calibri"/>
          <w:sz w:val="20"/>
          <w:szCs w:val="20"/>
          <w:color w:val="auto"/>
        </w:rPr>
        <w:t>is informaton that is not generally known or available to the public. We consider informaton to be public</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only when it has been widely disseminated by means of a press release, an SEC fling or other means of broad public disseminaton in accordance with the SEC’s Regulaton Fair Disclosure. Informaton that has been disclosed to the general public should contnue to be considered non-public untl a sufcient amount of tme has passed for the investment markets to absorb and evaluate the informaton. Although tming may vary depending on the circumstances, informaton is generally considered to be Non-Public Informaton untl two (2) full trading days of the New York Stock Exchange have elapsed following Xylem’s disclosure.</w:t>
      </w:r>
    </w:p>
    <w:p>
      <w:pPr>
        <w:spacing w:after="0" w:line="252" w:lineRule="exact"/>
        <w:rPr>
          <w:sz w:val="20"/>
          <w:szCs w:val="20"/>
          <w:color w:val="auto"/>
        </w:rPr>
      </w:pPr>
    </w:p>
    <w:p>
      <w:pPr>
        <w:ind w:left="200" w:right="20"/>
        <w:spacing w:after="0" w:line="213" w:lineRule="auto"/>
        <w:rPr>
          <w:sz w:val="20"/>
          <w:szCs w:val="20"/>
          <w:color w:val="auto"/>
        </w:rPr>
      </w:pPr>
      <w:r>
        <w:rPr>
          <w:rFonts w:ascii="Calibri" w:cs="Calibri" w:eastAsia="Calibri" w:hAnsi="Calibri"/>
          <w:sz w:val="20"/>
          <w:szCs w:val="20"/>
          <w:b w:val="1"/>
          <w:bCs w:val="1"/>
          <w:color w:val="auto"/>
        </w:rPr>
        <w:t xml:space="preserve">Quarterly Blackout Period </w:t>
      </w:r>
      <w:r>
        <w:rPr>
          <w:rFonts w:ascii="Calibri" w:cs="Calibri" w:eastAsia="Calibri" w:hAnsi="Calibri"/>
          <w:sz w:val="20"/>
          <w:szCs w:val="20"/>
          <w:color w:val="auto"/>
        </w:rPr>
        <w:t>is a period of tme set and advised by the Ofce of the General Counsel which, as a general mater,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begins at 12:00am ET on the 15</w:t>
      </w:r>
      <w:r>
        <w:rPr>
          <w:rFonts w:ascii="Calibri" w:cs="Calibri" w:eastAsia="Calibri" w:hAnsi="Calibri"/>
          <w:sz w:val="25"/>
          <w:szCs w:val="25"/>
          <w:color w:val="auto"/>
          <w:vertAlign w:val="superscript"/>
        </w:rPr>
        <w:t>th</w:t>
      </w:r>
      <w:r>
        <w:rPr>
          <w:rFonts w:ascii="Calibri" w:cs="Calibri" w:eastAsia="Calibri" w:hAnsi="Calibri"/>
          <w:sz w:val="20"/>
          <w:szCs w:val="20"/>
          <w:color w:val="auto"/>
        </w:rPr>
        <w:t xml:space="preserve"> day of the last month of each quarter and ends at 7:00am ET on the third full trading day afer the release of Xylem’s quarterly earnings.</w:t>
      </w:r>
    </w:p>
    <w:p>
      <w:pPr>
        <w:spacing w:after="0" w:line="254" w:lineRule="exact"/>
        <w:rPr>
          <w:sz w:val="20"/>
          <w:szCs w:val="20"/>
          <w:color w:val="auto"/>
        </w:rPr>
      </w:pPr>
    </w:p>
    <w:p>
      <w:pPr>
        <w:ind w:left="200" w:right="240"/>
        <w:spacing w:after="0" w:line="230" w:lineRule="auto"/>
        <w:rPr>
          <w:sz w:val="20"/>
          <w:szCs w:val="20"/>
          <w:color w:val="auto"/>
        </w:rPr>
      </w:pPr>
      <w:r>
        <w:rPr>
          <w:rFonts w:ascii="Calibri" w:cs="Calibri" w:eastAsia="Calibri" w:hAnsi="Calibri"/>
          <w:sz w:val="20"/>
          <w:szCs w:val="20"/>
          <w:b w:val="1"/>
          <w:bCs w:val="1"/>
          <w:color w:val="auto"/>
        </w:rPr>
        <w:t xml:space="preserve">Restricted Insiders </w:t>
      </w:r>
      <w:r>
        <w:rPr>
          <w:rFonts w:ascii="Calibri" w:cs="Calibri" w:eastAsia="Calibri" w:hAnsi="Calibri"/>
          <w:sz w:val="20"/>
          <w:szCs w:val="20"/>
          <w:color w:val="auto"/>
        </w:rPr>
        <w:t>includes Directors, Secton 16 Ofcers, all direct reports to the President and Chief Executve Ofcer, and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other employees who are notfed by the Ofce of the General Counsel that they have been designated as Restricted Insiders for the purposes of Quarterly Blackout Periods or special blackout periods, as well as Restricted Insiders’ Family Members and Controlled Enttes.</w:t>
      </w:r>
    </w:p>
    <w:p>
      <w:pPr>
        <w:spacing w:after="0" w:line="252" w:lineRule="exact"/>
        <w:rPr>
          <w:sz w:val="20"/>
          <w:szCs w:val="20"/>
          <w:color w:val="auto"/>
        </w:rPr>
      </w:pPr>
    </w:p>
    <w:p>
      <w:pPr>
        <w:ind w:left="200" w:right="200"/>
        <w:spacing w:after="0" w:line="234" w:lineRule="auto"/>
        <w:rPr>
          <w:sz w:val="20"/>
          <w:szCs w:val="20"/>
          <w:color w:val="auto"/>
        </w:rPr>
      </w:pPr>
      <w:r>
        <w:rPr>
          <w:rFonts w:ascii="Calibri" w:cs="Calibri" w:eastAsia="Calibri" w:hAnsi="Calibri"/>
          <w:sz w:val="20"/>
          <w:szCs w:val="20"/>
          <w:b w:val="1"/>
          <w:bCs w:val="1"/>
          <w:color w:val="auto"/>
        </w:rPr>
        <w:t xml:space="preserve">Secton 16 Ofcers </w:t>
      </w:r>
      <w:r>
        <w:rPr>
          <w:rFonts w:ascii="Calibri" w:cs="Calibri" w:eastAsia="Calibri" w:hAnsi="Calibri"/>
          <w:sz w:val="20"/>
          <w:szCs w:val="20"/>
          <w:color w:val="auto"/>
        </w:rPr>
        <w:t>are individuals designated by the Xylem Inc.’s Board of Directors as “ofcers” for the purposes of Secton 16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Exchange Act.</w:t>
      </w:r>
    </w:p>
    <w:p>
      <w:pPr>
        <w:spacing w:after="0" w:line="253" w:lineRule="exact"/>
        <w:rPr>
          <w:sz w:val="20"/>
          <w:szCs w:val="20"/>
          <w:color w:val="auto"/>
        </w:rPr>
      </w:pPr>
    </w:p>
    <w:p>
      <w:pPr>
        <w:ind w:left="200" w:right="180"/>
        <w:spacing w:after="0" w:line="233" w:lineRule="auto"/>
        <w:rPr>
          <w:sz w:val="20"/>
          <w:szCs w:val="20"/>
          <w:color w:val="auto"/>
        </w:rPr>
      </w:pPr>
      <w:r>
        <w:rPr>
          <w:rFonts w:ascii="Calibri" w:cs="Calibri" w:eastAsia="Calibri" w:hAnsi="Calibri"/>
          <w:sz w:val="20"/>
          <w:szCs w:val="20"/>
          <w:b w:val="1"/>
          <w:bCs w:val="1"/>
          <w:color w:val="auto"/>
        </w:rPr>
        <w:t xml:space="preserve">Securites </w:t>
      </w:r>
      <w:r>
        <w:rPr>
          <w:rFonts w:ascii="Calibri" w:cs="Calibri" w:eastAsia="Calibri" w:hAnsi="Calibri"/>
          <w:sz w:val="20"/>
          <w:szCs w:val="20"/>
          <w:color w:val="auto"/>
        </w:rPr>
        <w:t>includes stock (common and preferred, including any stock acquired through exercise or setlement of equity awards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pursuant to Xylem’s long-term incentve compensaton plans), stock optons, warrants, debentures, bonds, notes, convertble instruments, put or call optons or other derivatve securites related to any of the securites of Xylem Inc. or other publicly traded companies, or other types of instruments that Xylem Inc. or other publicly traded companies may issue.</w:t>
      </w:r>
    </w:p>
    <w:p>
      <w:pPr>
        <w:spacing w:after="0" w:line="240" w:lineRule="exact"/>
        <w:rPr>
          <w:sz w:val="20"/>
          <w:szCs w:val="20"/>
          <w:color w:val="auto"/>
        </w:rPr>
      </w:pPr>
    </w:p>
    <w:p>
      <w:pPr>
        <w:ind w:left="200"/>
        <w:spacing w:after="0" w:line="234" w:lineRule="auto"/>
        <w:rPr>
          <w:sz w:val="20"/>
          <w:szCs w:val="20"/>
          <w:color w:val="auto"/>
        </w:rPr>
      </w:pPr>
      <w:r>
        <w:rPr>
          <w:rFonts w:ascii="Calibri" w:cs="Calibri" w:eastAsia="Calibri" w:hAnsi="Calibri"/>
          <w:sz w:val="20"/>
          <w:szCs w:val="20"/>
          <w:b w:val="1"/>
          <w:bCs w:val="1"/>
          <w:color w:val="auto"/>
        </w:rPr>
        <w:t xml:space="preserve">Trading Window </w:t>
      </w:r>
      <w:r>
        <w:rPr>
          <w:rFonts w:ascii="Calibri" w:cs="Calibri" w:eastAsia="Calibri" w:hAnsi="Calibri"/>
          <w:sz w:val="20"/>
          <w:szCs w:val="20"/>
          <w:color w:val="auto"/>
        </w:rPr>
        <w:t>is a period of tme specifed by the Ofce of the General Counsel during which Restricted Insiders may trade Xylem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Securites, subject to the requirements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321945</wp:posOffset>
            </wp:positionV>
            <wp:extent cx="505777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50577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0" w:hanging="313"/>
        <w:spacing w:after="0"/>
        <w:tabs>
          <w:tab w:leader="none" w:pos="1000"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Xylem Code of Conduct</w:t>
      </w:r>
    </w:p>
    <w:p>
      <w:pPr>
        <w:spacing w:after="0" w:line="39" w:lineRule="exact"/>
        <w:rPr>
          <w:rFonts w:ascii="Times New Roman" w:cs="Times New Roman" w:eastAsia="Times New Roman" w:hAnsi="Times New Roman"/>
          <w:sz w:val="20"/>
          <w:szCs w:val="20"/>
          <w:color w:val="auto"/>
        </w:rPr>
      </w:pPr>
    </w:p>
    <w:p>
      <w:pPr>
        <w:ind w:left="1000" w:hanging="312"/>
        <w:spacing w:after="0"/>
        <w:tabs>
          <w:tab w:leader="none" w:pos="1000" w:val="left"/>
        </w:tabs>
        <w:numPr>
          <w:ilvl w:val="0"/>
          <w:numId w:val="60"/>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Trading Clearance Request Form for Insiders</w:t>
      </w:r>
    </w:p>
    <w:p>
      <w:pPr>
        <w:spacing w:after="0" w:line="60" w:lineRule="exact"/>
        <w:rPr>
          <w:sz w:val="20"/>
          <w:szCs w:val="20"/>
          <w:color w:val="auto"/>
        </w:rPr>
      </w:pPr>
    </w:p>
    <w:p>
      <w:pPr>
        <w:ind w:left="1020" w:right="220" w:hanging="323"/>
        <w:spacing w:after="0"/>
        <w:rPr>
          <w:sz w:val="20"/>
          <w:szCs w:val="20"/>
          <w:color w:val="auto"/>
        </w:rPr>
      </w:pPr>
      <w:r>
        <w:rPr>
          <w:rFonts w:ascii="Times New Roman" w:cs="Times New Roman" w:eastAsia="Times New Roman" w:hAnsi="Times New Roman"/>
          <w:sz w:val="20"/>
          <w:szCs w:val="20"/>
          <w:color w:val="auto"/>
        </w:rPr>
        <w:t>•</w:t>
      </w:r>
      <w:r>
        <w:rPr>
          <w:sz w:val="1"/>
          <w:szCs w:val="1"/>
          <w:color w:val="auto"/>
        </w:rPr>
        <w:drawing>
          <wp:inline distT="0" distB="0" distL="0" distR="0">
            <wp:extent cx="5349240" cy="18859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5349240" cy="188595"/>
                    </a:xfrm>
                    <a:prstGeom prst="rect">
                      <a:avLst/>
                    </a:prstGeom>
                    <a:noFill/>
                    <a:ln>
                      <a:noFill/>
                    </a:ln>
                  </pic:spPr>
                </pic:pic>
              </a:graphicData>
            </a:graphic>
          </wp:inline>
        </w:drawing>
      </w:r>
      <w:r>
        <w:rPr>
          <w:rFonts w:ascii="Calibri" w:cs="Calibri" w:eastAsia="Calibri" w:hAnsi="Calibri"/>
          <w:sz w:val="20"/>
          <w:szCs w:val="20"/>
          <w:color w:val="auto"/>
        </w:rPr>
        <w:t xml:space="preserve"> Policy 40-18 Fair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9</w:t>
      </w:r>
    </w:p>
    <w:p>
      <w:pPr>
        <w:spacing w:after="0" w:line="40" w:lineRule="exact"/>
        <w:rPr>
          <w:sz w:val="20"/>
          <w:szCs w:val="20"/>
          <w:color w:val="auto"/>
        </w:rPr>
      </w:pPr>
    </w:p>
    <w:p>
      <w:pPr>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000"/>
          </w:cols>
          <w:pgMar w:left="360" w:top="141" w:right="539" w:bottom="1440" w:gutter="0" w:footer="0" w:header="0"/>
        </w:sectPr>
      </w:pPr>
    </w:p>
    <w:bookmarkStart w:id="157" w:name="page158"/>
    <w:bookmarkEnd w:id="157"/>
    <w:tbl>
      <w:tblPr>
        <w:tblLayout w:type="fixed"/>
        <w:tblInd w:w="4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310" w:type="dxa"/>
        <w:tblCellMar>
          <w:top w:w="0" w:type="dxa"/>
          <w:left w:w="0" w:type="dxa"/>
          <w:bottom w:w="0" w:type="dxa"/>
          <w:right w:w="0" w:type="dxa"/>
        </w:tblCellMar>
      </w:tblPr>
      <w:tr>
        <w:trPr>
          <w:trHeight w:val="189"/>
        </w:trPr>
        <w:tc>
          <w:tcPr>
            <w:tcW w:w="2420" w:type="dxa"/>
            <w:vAlign w:val="bottom"/>
            <w:tcBorders>
              <w:top w:val="single" w:sz="8" w:color="auto"/>
              <w:left w:val="single" w:sz="8" w:color="auto"/>
              <w:right w:val="single" w:sz="8" w:color="auto"/>
            </w:tcBorders>
            <w:gridSpan w:val="3"/>
            <w:shd w:val="clear" w:color="auto" w:fill="E5E5E5"/>
          </w:tcPr>
          <w:p>
            <w:pPr>
              <w:ind w:left="80"/>
              <w:spacing w:after="0" w:line="189" w:lineRule="exact"/>
              <w:rPr>
                <w:sz w:val="20"/>
                <w:szCs w:val="20"/>
                <w:color w:val="auto"/>
              </w:rPr>
            </w:pPr>
            <w:r>
              <w:rPr>
                <w:rFonts w:ascii="Calibri" w:cs="Calibri" w:eastAsia="Calibri" w:hAnsi="Calibri"/>
                <w:sz w:val="16"/>
                <w:szCs w:val="16"/>
                <w:color w:val="auto"/>
              </w:rPr>
              <w:t>Date</w:t>
            </w:r>
          </w:p>
        </w:tc>
        <w:tc>
          <w:tcPr>
            <w:tcW w:w="1580" w:type="dxa"/>
            <w:vAlign w:val="bottom"/>
            <w:tcBorders>
              <w:top w:val="single" w:sz="8" w:color="auto"/>
              <w:right w:val="single" w:sz="8" w:color="auto"/>
            </w:tcBorders>
            <w:gridSpan w:val="3"/>
            <w:shd w:val="clear" w:color="auto" w:fill="E5E5E5"/>
          </w:tcPr>
          <w:p>
            <w:pPr>
              <w:ind w:left="60"/>
              <w:spacing w:after="0" w:line="189" w:lineRule="exact"/>
              <w:rPr>
                <w:sz w:val="20"/>
                <w:szCs w:val="20"/>
                <w:color w:val="auto"/>
              </w:rPr>
            </w:pPr>
            <w:r>
              <w:rPr>
                <w:rFonts w:ascii="Calibri" w:cs="Calibri" w:eastAsia="Calibri" w:hAnsi="Calibri"/>
                <w:sz w:val="16"/>
                <w:szCs w:val="16"/>
                <w:color w:val="auto"/>
              </w:rPr>
              <w:t>Revision</w:t>
            </w:r>
          </w:p>
        </w:tc>
        <w:tc>
          <w:tcPr>
            <w:tcW w:w="60" w:type="dxa"/>
            <w:vAlign w:val="bottom"/>
            <w:tcBorders>
              <w:top w:val="single" w:sz="8" w:color="auto"/>
            </w:tcBorders>
            <w:shd w:val="clear" w:color="auto" w:fill="E5E5E5"/>
          </w:tcPr>
          <w:p>
            <w:pPr>
              <w:spacing w:after="0"/>
              <w:rPr>
                <w:sz w:val="16"/>
                <w:szCs w:val="16"/>
                <w:color w:val="auto"/>
              </w:rPr>
            </w:pPr>
          </w:p>
        </w:tc>
        <w:tc>
          <w:tcPr>
            <w:tcW w:w="3040" w:type="dxa"/>
            <w:vAlign w:val="bottom"/>
            <w:tcBorders>
              <w:top w:val="single" w:sz="8" w:color="auto"/>
              <w:right w:val="single" w:sz="8" w:color="auto"/>
            </w:tcBorders>
            <w:gridSpan w:val="2"/>
            <w:shd w:val="clear" w:color="auto" w:fill="E5E5E5"/>
          </w:tcPr>
          <w:p>
            <w:pPr>
              <w:spacing w:after="0" w:line="189" w:lineRule="exact"/>
              <w:rPr>
                <w:sz w:val="20"/>
                <w:szCs w:val="20"/>
                <w:color w:val="auto"/>
              </w:rPr>
            </w:pPr>
            <w:r>
              <w:rPr>
                <w:rFonts w:ascii="Calibri" w:cs="Calibri" w:eastAsia="Calibri" w:hAnsi="Calibri"/>
                <w:sz w:val="16"/>
                <w:szCs w:val="16"/>
                <w:color w:val="auto"/>
              </w:rPr>
              <w:t>Change Made</w:t>
            </w:r>
          </w:p>
        </w:tc>
        <w:tc>
          <w:tcPr>
            <w:tcW w:w="60" w:type="dxa"/>
            <w:vAlign w:val="bottom"/>
            <w:tcBorders>
              <w:top w:val="single" w:sz="8" w:color="auto"/>
            </w:tcBorders>
            <w:shd w:val="clear" w:color="auto" w:fill="E5E5E5"/>
          </w:tcPr>
          <w:p>
            <w:pPr>
              <w:spacing w:after="0"/>
              <w:rPr>
                <w:sz w:val="16"/>
                <w:szCs w:val="16"/>
                <w:color w:val="auto"/>
              </w:rPr>
            </w:pPr>
          </w:p>
        </w:tc>
        <w:tc>
          <w:tcPr>
            <w:tcW w:w="2500" w:type="dxa"/>
            <w:vAlign w:val="bottom"/>
            <w:tcBorders>
              <w:top w:val="single" w:sz="8" w:color="auto"/>
              <w:right w:val="single" w:sz="8" w:color="auto"/>
            </w:tcBorders>
            <w:gridSpan w:val="2"/>
            <w:shd w:val="clear" w:color="auto" w:fill="E5E5E5"/>
          </w:tcPr>
          <w:p>
            <w:pPr>
              <w:spacing w:after="0" w:line="189" w:lineRule="exact"/>
              <w:rPr>
                <w:sz w:val="20"/>
                <w:szCs w:val="20"/>
                <w:color w:val="auto"/>
              </w:rPr>
            </w:pPr>
            <w:r>
              <w:rPr>
                <w:rFonts w:ascii="Calibri" w:cs="Calibri" w:eastAsia="Calibri" w:hAnsi="Calibri"/>
                <w:sz w:val="16"/>
                <w:szCs w:val="16"/>
                <w:color w:val="auto"/>
              </w:rPr>
              <w:t>Executve Sponsor/Approver</w:t>
            </w:r>
          </w:p>
        </w:tc>
      </w:tr>
      <w:tr>
        <w:trPr>
          <w:trHeight w:val="61"/>
        </w:trPr>
        <w:tc>
          <w:tcPr>
            <w:tcW w:w="80" w:type="dxa"/>
            <w:vAlign w:val="bottom"/>
            <w:tcBorders>
              <w:top w:val="single" w:sz="8" w:color="E5E5E5"/>
              <w:left w:val="single" w:sz="8" w:color="auto"/>
              <w:bottom w:val="single" w:sz="8" w:color="auto"/>
            </w:tcBorders>
            <w:shd w:val="clear" w:color="auto" w:fill="E5E5E5"/>
          </w:tcPr>
          <w:p>
            <w:pPr>
              <w:spacing w:after="0"/>
              <w:rPr>
                <w:sz w:val="5"/>
                <w:szCs w:val="5"/>
                <w:color w:val="auto"/>
              </w:rPr>
            </w:pPr>
          </w:p>
        </w:tc>
        <w:tc>
          <w:tcPr>
            <w:tcW w:w="300" w:type="dxa"/>
            <w:vAlign w:val="bottom"/>
            <w:tcBorders>
              <w:top w:val="single" w:sz="8" w:color="auto"/>
              <w:bottom w:val="single" w:sz="8" w:color="auto"/>
            </w:tcBorders>
            <w:shd w:val="clear" w:color="auto" w:fill="E5E5E5"/>
          </w:tcPr>
          <w:p>
            <w:pPr>
              <w:spacing w:after="0"/>
              <w:rPr>
                <w:sz w:val="5"/>
                <w:szCs w:val="5"/>
                <w:color w:val="auto"/>
              </w:rPr>
            </w:pPr>
          </w:p>
        </w:tc>
        <w:tc>
          <w:tcPr>
            <w:tcW w:w="2040" w:type="dxa"/>
            <w:vAlign w:val="bottom"/>
            <w:tcBorders>
              <w:top w:val="single" w:sz="8" w:color="E5E5E5"/>
              <w:bottom w:val="single" w:sz="8" w:color="auto"/>
              <w:right w:val="single" w:sz="8" w:color="auto"/>
            </w:tcBorders>
            <w:shd w:val="clear" w:color="auto" w:fill="E5E5E5"/>
          </w:tcPr>
          <w:p>
            <w:pPr>
              <w:spacing w:after="0"/>
              <w:rPr>
                <w:sz w:val="5"/>
                <w:szCs w:val="5"/>
                <w:color w:val="auto"/>
              </w:rPr>
            </w:pPr>
          </w:p>
        </w:tc>
        <w:tc>
          <w:tcPr>
            <w:tcW w:w="60" w:type="dxa"/>
            <w:vAlign w:val="bottom"/>
            <w:tcBorders>
              <w:top w:val="single" w:sz="8" w:color="E5E5E5"/>
              <w:bottom w:val="single" w:sz="8" w:color="auto"/>
            </w:tcBorders>
            <w:shd w:val="clear" w:color="auto" w:fill="E5E5E5"/>
          </w:tcPr>
          <w:p>
            <w:pPr>
              <w:spacing w:after="0"/>
              <w:rPr>
                <w:sz w:val="5"/>
                <w:szCs w:val="5"/>
                <w:color w:val="auto"/>
              </w:rPr>
            </w:pPr>
          </w:p>
        </w:tc>
        <w:tc>
          <w:tcPr>
            <w:tcW w:w="540" w:type="dxa"/>
            <w:vAlign w:val="bottom"/>
            <w:tcBorders>
              <w:top w:val="single" w:sz="8" w:color="auto"/>
              <w:bottom w:val="single" w:sz="8" w:color="auto"/>
            </w:tcBorders>
            <w:shd w:val="clear" w:color="auto" w:fill="E5E5E5"/>
          </w:tcPr>
          <w:p>
            <w:pPr>
              <w:spacing w:after="0"/>
              <w:rPr>
                <w:sz w:val="5"/>
                <w:szCs w:val="5"/>
                <w:color w:val="auto"/>
              </w:rPr>
            </w:pPr>
          </w:p>
        </w:tc>
        <w:tc>
          <w:tcPr>
            <w:tcW w:w="980" w:type="dxa"/>
            <w:vAlign w:val="bottom"/>
            <w:tcBorders>
              <w:top w:val="single" w:sz="8" w:color="E5E5E5"/>
              <w:bottom w:val="single" w:sz="8" w:color="auto"/>
              <w:right w:val="single" w:sz="8" w:color="auto"/>
            </w:tcBorders>
            <w:shd w:val="clear" w:color="auto" w:fill="E5E5E5"/>
          </w:tcPr>
          <w:p>
            <w:pPr>
              <w:spacing w:after="0"/>
              <w:rPr>
                <w:sz w:val="5"/>
                <w:szCs w:val="5"/>
                <w:color w:val="auto"/>
              </w:rPr>
            </w:pPr>
          </w:p>
        </w:tc>
        <w:tc>
          <w:tcPr>
            <w:tcW w:w="60" w:type="dxa"/>
            <w:vAlign w:val="bottom"/>
            <w:tcBorders>
              <w:top w:val="single" w:sz="8" w:color="E5E5E5"/>
              <w:bottom w:val="single" w:sz="8" w:color="auto"/>
            </w:tcBorders>
            <w:shd w:val="clear" w:color="auto" w:fill="E5E5E5"/>
          </w:tcPr>
          <w:p>
            <w:pPr>
              <w:spacing w:after="0"/>
              <w:rPr>
                <w:sz w:val="5"/>
                <w:szCs w:val="5"/>
                <w:color w:val="auto"/>
              </w:rPr>
            </w:pPr>
          </w:p>
        </w:tc>
        <w:tc>
          <w:tcPr>
            <w:tcW w:w="900" w:type="dxa"/>
            <w:vAlign w:val="bottom"/>
            <w:tcBorders>
              <w:top w:val="single" w:sz="8" w:color="auto"/>
              <w:bottom w:val="single" w:sz="8" w:color="auto"/>
            </w:tcBorders>
            <w:shd w:val="clear" w:color="auto" w:fill="E5E5E5"/>
          </w:tcPr>
          <w:p>
            <w:pPr>
              <w:spacing w:after="0"/>
              <w:rPr>
                <w:sz w:val="5"/>
                <w:szCs w:val="5"/>
                <w:color w:val="auto"/>
              </w:rPr>
            </w:pPr>
          </w:p>
        </w:tc>
        <w:tc>
          <w:tcPr>
            <w:tcW w:w="2140" w:type="dxa"/>
            <w:vAlign w:val="bottom"/>
            <w:tcBorders>
              <w:top w:val="single" w:sz="8" w:color="E5E5E5"/>
              <w:bottom w:val="single" w:sz="8" w:color="auto"/>
              <w:right w:val="single" w:sz="8" w:color="auto"/>
            </w:tcBorders>
            <w:shd w:val="clear" w:color="auto" w:fill="E5E5E5"/>
          </w:tcPr>
          <w:p>
            <w:pPr>
              <w:spacing w:after="0"/>
              <w:rPr>
                <w:sz w:val="5"/>
                <w:szCs w:val="5"/>
                <w:color w:val="auto"/>
              </w:rPr>
            </w:pPr>
          </w:p>
        </w:tc>
        <w:tc>
          <w:tcPr>
            <w:tcW w:w="60" w:type="dxa"/>
            <w:vAlign w:val="bottom"/>
            <w:tcBorders>
              <w:top w:val="single" w:sz="8" w:color="E5E5E5"/>
              <w:bottom w:val="single" w:sz="8" w:color="auto"/>
            </w:tcBorders>
            <w:shd w:val="clear" w:color="auto" w:fill="E5E5E5"/>
          </w:tcPr>
          <w:p>
            <w:pPr>
              <w:spacing w:after="0"/>
              <w:rPr>
                <w:sz w:val="5"/>
                <w:szCs w:val="5"/>
                <w:color w:val="auto"/>
              </w:rPr>
            </w:pPr>
          </w:p>
        </w:tc>
        <w:tc>
          <w:tcPr>
            <w:tcW w:w="1860" w:type="dxa"/>
            <w:vAlign w:val="bottom"/>
            <w:tcBorders>
              <w:top w:val="single" w:sz="8" w:color="auto"/>
              <w:bottom w:val="single" w:sz="8" w:color="auto"/>
            </w:tcBorders>
            <w:shd w:val="clear" w:color="auto" w:fill="E5E5E5"/>
          </w:tcPr>
          <w:p>
            <w:pPr>
              <w:spacing w:after="0"/>
              <w:rPr>
                <w:sz w:val="5"/>
                <w:szCs w:val="5"/>
                <w:color w:val="auto"/>
              </w:rPr>
            </w:pPr>
          </w:p>
        </w:tc>
        <w:tc>
          <w:tcPr>
            <w:tcW w:w="640" w:type="dxa"/>
            <w:vAlign w:val="bottom"/>
            <w:tcBorders>
              <w:top w:val="single" w:sz="8" w:color="E5E5E5"/>
              <w:bottom w:val="single" w:sz="8" w:color="auto"/>
              <w:right w:val="single" w:sz="8" w:color="auto"/>
            </w:tcBorders>
            <w:shd w:val="clear" w:color="auto" w:fill="E5E5E5"/>
          </w:tcPr>
          <w:p>
            <w:pPr>
              <w:spacing w:after="0"/>
              <w:rPr>
                <w:sz w:val="5"/>
                <w:szCs w:val="5"/>
                <w:color w:val="auto"/>
              </w:rPr>
            </w:pPr>
          </w:p>
        </w:tc>
      </w:tr>
      <w:tr>
        <w:trPr>
          <w:trHeight w:val="187"/>
        </w:trPr>
        <w:tc>
          <w:tcPr>
            <w:tcW w:w="2420" w:type="dxa"/>
            <w:vAlign w:val="bottom"/>
            <w:tcBorders>
              <w:left w:val="single" w:sz="8" w:color="auto"/>
              <w:right w:val="single" w:sz="8" w:color="auto"/>
            </w:tcBorders>
            <w:gridSpan w:val="3"/>
          </w:tcPr>
          <w:p>
            <w:pPr>
              <w:ind w:left="80"/>
              <w:spacing w:after="0" w:line="187" w:lineRule="exact"/>
              <w:rPr>
                <w:sz w:val="20"/>
                <w:szCs w:val="20"/>
                <w:color w:val="auto"/>
              </w:rPr>
            </w:pPr>
            <w:r>
              <w:rPr>
                <w:rFonts w:ascii="Calibri" w:cs="Calibri" w:eastAsia="Calibri" w:hAnsi="Calibri"/>
                <w:sz w:val="16"/>
                <w:szCs w:val="16"/>
                <w:color w:val="auto"/>
              </w:rPr>
              <w:t>November 21, 2024</w:t>
            </w:r>
          </w:p>
        </w:tc>
        <w:tc>
          <w:tcPr>
            <w:tcW w:w="1580" w:type="dxa"/>
            <w:vAlign w:val="bottom"/>
            <w:tcBorders>
              <w:right w:val="single" w:sz="8" w:color="auto"/>
            </w:tcBorders>
            <w:gridSpan w:val="3"/>
          </w:tcPr>
          <w:p>
            <w:pPr>
              <w:ind w:left="60"/>
              <w:spacing w:after="0" w:line="187" w:lineRule="exact"/>
              <w:rPr>
                <w:sz w:val="20"/>
                <w:szCs w:val="20"/>
                <w:color w:val="auto"/>
              </w:rPr>
            </w:pPr>
            <w:r>
              <w:rPr>
                <w:rFonts w:ascii="Calibri" w:cs="Calibri" w:eastAsia="Calibri" w:hAnsi="Calibri"/>
                <w:sz w:val="16"/>
                <w:szCs w:val="16"/>
                <w:color w:val="auto"/>
              </w:rPr>
              <w:t>D</w:t>
            </w:r>
          </w:p>
        </w:tc>
        <w:tc>
          <w:tcPr>
            <w:tcW w:w="60" w:type="dxa"/>
            <w:vAlign w:val="bottom"/>
          </w:tcPr>
          <w:p>
            <w:pPr>
              <w:spacing w:after="0"/>
              <w:rPr>
                <w:sz w:val="16"/>
                <w:szCs w:val="16"/>
                <w:color w:val="auto"/>
              </w:rPr>
            </w:pPr>
          </w:p>
        </w:tc>
        <w:tc>
          <w:tcPr>
            <w:tcW w:w="3040" w:type="dxa"/>
            <w:vAlign w:val="bottom"/>
            <w:tcBorders>
              <w:right w:val="single" w:sz="8" w:color="auto"/>
            </w:tcBorders>
            <w:gridSpan w:val="2"/>
          </w:tcPr>
          <w:p>
            <w:pPr>
              <w:spacing w:after="0" w:line="187" w:lineRule="exact"/>
              <w:rPr>
                <w:sz w:val="20"/>
                <w:szCs w:val="20"/>
                <w:color w:val="auto"/>
              </w:rPr>
            </w:pPr>
            <w:r>
              <w:rPr>
                <w:rFonts w:ascii="Calibri" w:cs="Calibri" w:eastAsia="Calibri" w:hAnsi="Calibri"/>
                <w:sz w:val="16"/>
                <w:szCs w:val="16"/>
                <w:color w:val="auto"/>
              </w:rPr>
              <w:t>Policy Modifcatons</w:t>
            </w:r>
          </w:p>
        </w:tc>
        <w:tc>
          <w:tcPr>
            <w:tcW w:w="60" w:type="dxa"/>
            <w:vAlign w:val="bottom"/>
          </w:tcPr>
          <w:p>
            <w:pPr>
              <w:spacing w:after="0"/>
              <w:rPr>
                <w:sz w:val="16"/>
                <w:szCs w:val="16"/>
                <w:color w:val="auto"/>
              </w:rPr>
            </w:pPr>
          </w:p>
        </w:tc>
        <w:tc>
          <w:tcPr>
            <w:tcW w:w="2500" w:type="dxa"/>
            <w:vAlign w:val="bottom"/>
            <w:tcBorders>
              <w:right w:val="single" w:sz="8" w:color="auto"/>
            </w:tcBorders>
            <w:gridSpan w:val="2"/>
          </w:tcPr>
          <w:p>
            <w:pPr>
              <w:spacing w:after="0" w:line="187" w:lineRule="exact"/>
              <w:rPr>
                <w:sz w:val="20"/>
                <w:szCs w:val="20"/>
                <w:color w:val="auto"/>
              </w:rPr>
            </w:pPr>
            <w:r>
              <w:rPr>
                <w:rFonts w:ascii="Calibri" w:cs="Calibri" w:eastAsia="Calibri" w:hAnsi="Calibri"/>
                <w:sz w:val="16"/>
                <w:szCs w:val="16"/>
                <w:color w:val="auto"/>
              </w:rPr>
              <w:t>Dorothy Capers</w:t>
            </w:r>
          </w:p>
        </w:tc>
      </w:tr>
      <w:tr>
        <w:trPr>
          <w:trHeight w:val="23"/>
        </w:trPr>
        <w:tc>
          <w:tcPr>
            <w:tcW w:w="8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r>
        <w:trPr>
          <w:trHeight w:val="187"/>
        </w:trPr>
        <w:tc>
          <w:tcPr>
            <w:tcW w:w="2420" w:type="dxa"/>
            <w:vAlign w:val="bottom"/>
            <w:tcBorders>
              <w:left w:val="single" w:sz="8" w:color="auto"/>
              <w:right w:val="single" w:sz="8" w:color="auto"/>
            </w:tcBorders>
            <w:gridSpan w:val="3"/>
          </w:tcPr>
          <w:p>
            <w:pPr>
              <w:ind w:left="80"/>
              <w:spacing w:after="0" w:line="187" w:lineRule="exact"/>
              <w:rPr>
                <w:sz w:val="20"/>
                <w:szCs w:val="20"/>
                <w:color w:val="auto"/>
              </w:rPr>
            </w:pPr>
            <w:r>
              <w:rPr>
                <w:rFonts w:ascii="Calibri" w:cs="Calibri" w:eastAsia="Calibri" w:hAnsi="Calibri"/>
                <w:sz w:val="16"/>
                <w:szCs w:val="16"/>
                <w:color w:val="auto"/>
              </w:rPr>
              <w:t>December 19, 2019</w:t>
            </w:r>
          </w:p>
        </w:tc>
        <w:tc>
          <w:tcPr>
            <w:tcW w:w="1580" w:type="dxa"/>
            <w:vAlign w:val="bottom"/>
            <w:tcBorders>
              <w:right w:val="single" w:sz="8" w:color="auto"/>
            </w:tcBorders>
            <w:gridSpan w:val="3"/>
          </w:tcPr>
          <w:p>
            <w:pPr>
              <w:ind w:left="60"/>
              <w:spacing w:after="0" w:line="187" w:lineRule="exact"/>
              <w:rPr>
                <w:sz w:val="20"/>
                <w:szCs w:val="20"/>
                <w:color w:val="auto"/>
              </w:rPr>
            </w:pPr>
            <w:r>
              <w:rPr>
                <w:rFonts w:ascii="Calibri" w:cs="Calibri" w:eastAsia="Calibri" w:hAnsi="Calibri"/>
                <w:sz w:val="16"/>
                <w:szCs w:val="16"/>
                <w:color w:val="auto"/>
              </w:rPr>
              <w:t>C</w:t>
            </w:r>
          </w:p>
        </w:tc>
        <w:tc>
          <w:tcPr>
            <w:tcW w:w="60" w:type="dxa"/>
            <w:vAlign w:val="bottom"/>
          </w:tcPr>
          <w:p>
            <w:pPr>
              <w:spacing w:after="0"/>
              <w:rPr>
                <w:sz w:val="16"/>
                <w:szCs w:val="16"/>
                <w:color w:val="auto"/>
              </w:rPr>
            </w:pPr>
          </w:p>
        </w:tc>
        <w:tc>
          <w:tcPr>
            <w:tcW w:w="3040" w:type="dxa"/>
            <w:vAlign w:val="bottom"/>
            <w:tcBorders>
              <w:right w:val="single" w:sz="8" w:color="auto"/>
            </w:tcBorders>
            <w:gridSpan w:val="2"/>
          </w:tcPr>
          <w:p>
            <w:pPr>
              <w:spacing w:after="0" w:line="187" w:lineRule="exact"/>
              <w:rPr>
                <w:sz w:val="20"/>
                <w:szCs w:val="20"/>
                <w:color w:val="auto"/>
              </w:rPr>
            </w:pPr>
            <w:r>
              <w:rPr>
                <w:rFonts w:ascii="Calibri" w:cs="Calibri" w:eastAsia="Calibri" w:hAnsi="Calibri"/>
                <w:sz w:val="16"/>
                <w:szCs w:val="16"/>
                <w:color w:val="auto"/>
              </w:rPr>
              <w:t>Policy Modifcatons</w:t>
            </w:r>
          </w:p>
        </w:tc>
        <w:tc>
          <w:tcPr>
            <w:tcW w:w="60" w:type="dxa"/>
            <w:vAlign w:val="bottom"/>
          </w:tcPr>
          <w:p>
            <w:pPr>
              <w:spacing w:after="0"/>
              <w:rPr>
                <w:sz w:val="16"/>
                <w:szCs w:val="16"/>
                <w:color w:val="auto"/>
              </w:rPr>
            </w:pPr>
          </w:p>
        </w:tc>
        <w:tc>
          <w:tcPr>
            <w:tcW w:w="2500" w:type="dxa"/>
            <w:vAlign w:val="bottom"/>
            <w:tcBorders>
              <w:right w:val="single" w:sz="8" w:color="auto"/>
            </w:tcBorders>
            <w:gridSpan w:val="2"/>
          </w:tcPr>
          <w:p>
            <w:pPr>
              <w:spacing w:after="0" w:line="187" w:lineRule="exact"/>
              <w:rPr>
                <w:sz w:val="20"/>
                <w:szCs w:val="20"/>
                <w:color w:val="auto"/>
              </w:rPr>
            </w:pPr>
            <w:r>
              <w:rPr>
                <w:rFonts w:ascii="Calibri" w:cs="Calibri" w:eastAsia="Calibri" w:hAnsi="Calibri"/>
                <w:sz w:val="16"/>
                <w:szCs w:val="16"/>
                <w:color w:val="auto"/>
              </w:rPr>
              <w:t>Claudia Toussaint</w:t>
            </w:r>
          </w:p>
        </w:tc>
      </w:tr>
      <w:tr>
        <w:trPr>
          <w:trHeight w:val="23"/>
        </w:trPr>
        <w:tc>
          <w:tcPr>
            <w:tcW w:w="8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2420" w:type="dxa"/>
            <w:vAlign w:val="bottom"/>
            <w:tcBorders>
              <w:left w:val="single" w:sz="8" w:color="auto"/>
              <w:right w:val="single" w:sz="8" w:color="auto"/>
            </w:tcBorders>
            <w:gridSpan w:val="3"/>
          </w:tcPr>
          <w:p>
            <w:pPr>
              <w:ind w:left="80"/>
              <w:spacing w:after="0"/>
              <w:rPr>
                <w:sz w:val="20"/>
                <w:szCs w:val="20"/>
                <w:color w:val="auto"/>
              </w:rPr>
            </w:pPr>
            <w:r>
              <w:rPr>
                <w:rFonts w:ascii="Calibri" w:cs="Calibri" w:eastAsia="Calibri" w:hAnsi="Calibri"/>
                <w:sz w:val="16"/>
                <w:szCs w:val="16"/>
                <w:color w:val="auto"/>
              </w:rPr>
              <w:t>September 13, 2013</w:t>
            </w:r>
          </w:p>
        </w:tc>
        <w:tc>
          <w:tcPr>
            <w:tcW w:w="1580" w:type="dxa"/>
            <w:vAlign w:val="bottom"/>
            <w:tcBorders>
              <w:right w:val="single" w:sz="8" w:color="auto"/>
            </w:tcBorders>
            <w:gridSpan w:val="3"/>
          </w:tcPr>
          <w:p>
            <w:pPr>
              <w:ind w:left="60"/>
              <w:spacing w:after="0"/>
              <w:rPr>
                <w:sz w:val="20"/>
                <w:szCs w:val="20"/>
                <w:color w:val="auto"/>
              </w:rPr>
            </w:pPr>
            <w:r>
              <w:rPr>
                <w:rFonts w:ascii="Calibri" w:cs="Calibri" w:eastAsia="Calibri" w:hAnsi="Calibri"/>
                <w:sz w:val="16"/>
                <w:szCs w:val="16"/>
                <w:color w:val="auto"/>
              </w:rPr>
              <w:t>B</w:t>
            </w:r>
          </w:p>
        </w:tc>
        <w:tc>
          <w:tcPr>
            <w:tcW w:w="60" w:type="dxa"/>
            <w:vAlign w:val="bottom"/>
          </w:tcPr>
          <w:p>
            <w:pPr>
              <w:spacing w:after="0"/>
              <w:rPr>
                <w:sz w:val="17"/>
                <w:szCs w:val="17"/>
                <w:color w:val="auto"/>
              </w:rPr>
            </w:pPr>
          </w:p>
        </w:tc>
        <w:tc>
          <w:tcPr>
            <w:tcW w:w="3040" w:type="dxa"/>
            <w:vAlign w:val="bottom"/>
            <w:tcBorders>
              <w:right w:val="single" w:sz="8" w:color="auto"/>
            </w:tcBorders>
            <w:gridSpan w:val="2"/>
          </w:tcPr>
          <w:p>
            <w:pPr>
              <w:spacing w:after="0"/>
              <w:rPr>
                <w:sz w:val="20"/>
                <w:szCs w:val="20"/>
                <w:color w:val="auto"/>
              </w:rPr>
            </w:pPr>
            <w:r>
              <w:rPr>
                <w:rFonts w:ascii="Calibri" w:cs="Calibri" w:eastAsia="Calibri" w:hAnsi="Calibri"/>
                <w:sz w:val="16"/>
                <w:szCs w:val="16"/>
                <w:color w:val="auto"/>
              </w:rPr>
              <w:t>Policy Modifcatons</w:t>
            </w:r>
          </w:p>
        </w:tc>
        <w:tc>
          <w:tcPr>
            <w:tcW w:w="60" w:type="dxa"/>
            <w:vAlign w:val="bottom"/>
          </w:tcPr>
          <w:p>
            <w:pPr>
              <w:spacing w:after="0"/>
              <w:rPr>
                <w:sz w:val="17"/>
                <w:szCs w:val="17"/>
                <w:color w:val="auto"/>
              </w:rPr>
            </w:pPr>
          </w:p>
        </w:tc>
        <w:tc>
          <w:tcPr>
            <w:tcW w:w="2500" w:type="dxa"/>
            <w:vAlign w:val="bottom"/>
            <w:tcBorders>
              <w:right w:val="single" w:sz="8" w:color="auto"/>
            </w:tcBorders>
            <w:gridSpan w:val="2"/>
          </w:tcPr>
          <w:p>
            <w:pPr>
              <w:spacing w:after="0"/>
              <w:rPr>
                <w:sz w:val="20"/>
                <w:szCs w:val="20"/>
                <w:color w:val="auto"/>
              </w:rPr>
            </w:pPr>
            <w:r>
              <w:rPr>
                <w:rFonts w:ascii="Calibri" w:cs="Calibri" w:eastAsia="Calibri" w:hAnsi="Calibri"/>
                <w:sz w:val="16"/>
                <w:szCs w:val="16"/>
                <w:color w:val="auto"/>
              </w:rPr>
              <w:t>Christan Na</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r>
      <w:tr>
        <w:trPr>
          <w:trHeight w:val="196"/>
        </w:trPr>
        <w:tc>
          <w:tcPr>
            <w:tcW w:w="2420" w:type="dxa"/>
            <w:vAlign w:val="bottom"/>
            <w:tcBorders>
              <w:left w:val="single" w:sz="8" w:color="auto"/>
              <w:right w:val="single" w:sz="8" w:color="auto"/>
            </w:tcBorders>
            <w:gridSpan w:val="3"/>
          </w:tcPr>
          <w:p>
            <w:pPr>
              <w:ind w:left="80"/>
              <w:spacing w:after="0"/>
              <w:rPr>
                <w:sz w:val="20"/>
                <w:szCs w:val="20"/>
                <w:color w:val="auto"/>
              </w:rPr>
            </w:pPr>
            <w:r>
              <w:rPr>
                <w:rFonts w:ascii="Calibri" w:cs="Calibri" w:eastAsia="Calibri" w:hAnsi="Calibri"/>
                <w:sz w:val="16"/>
                <w:szCs w:val="16"/>
                <w:color w:val="auto"/>
              </w:rPr>
              <w:t>December 17, 2012</w:t>
            </w:r>
          </w:p>
        </w:tc>
        <w:tc>
          <w:tcPr>
            <w:tcW w:w="1580" w:type="dxa"/>
            <w:vAlign w:val="bottom"/>
            <w:tcBorders>
              <w:right w:val="single" w:sz="8" w:color="auto"/>
            </w:tcBorders>
            <w:gridSpan w:val="3"/>
          </w:tcPr>
          <w:p>
            <w:pPr>
              <w:ind w:left="60"/>
              <w:spacing w:after="0"/>
              <w:rPr>
                <w:sz w:val="20"/>
                <w:szCs w:val="20"/>
                <w:color w:val="auto"/>
              </w:rPr>
            </w:pPr>
            <w:r>
              <w:rPr>
                <w:rFonts w:ascii="Calibri" w:cs="Calibri" w:eastAsia="Calibri" w:hAnsi="Calibri"/>
                <w:sz w:val="16"/>
                <w:szCs w:val="16"/>
                <w:color w:val="auto"/>
              </w:rPr>
              <w:t>A</w:t>
            </w:r>
          </w:p>
        </w:tc>
        <w:tc>
          <w:tcPr>
            <w:tcW w:w="60" w:type="dxa"/>
            <w:vAlign w:val="bottom"/>
          </w:tcPr>
          <w:p>
            <w:pPr>
              <w:spacing w:after="0"/>
              <w:rPr>
                <w:sz w:val="17"/>
                <w:szCs w:val="17"/>
                <w:color w:val="auto"/>
              </w:rPr>
            </w:pPr>
          </w:p>
        </w:tc>
        <w:tc>
          <w:tcPr>
            <w:tcW w:w="3040" w:type="dxa"/>
            <w:vAlign w:val="bottom"/>
            <w:tcBorders>
              <w:right w:val="single" w:sz="8" w:color="auto"/>
            </w:tcBorders>
            <w:gridSpan w:val="2"/>
          </w:tcPr>
          <w:p>
            <w:pPr>
              <w:spacing w:after="0"/>
              <w:rPr>
                <w:sz w:val="20"/>
                <w:szCs w:val="20"/>
                <w:color w:val="auto"/>
              </w:rPr>
            </w:pPr>
            <w:r>
              <w:rPr>
                <w:rFonts w:ascii="Calibri" w:cs="Calibri" w:eastAsia="Calibri" w:hAnsi="Calibri"/>
                <w:sz w:val="16"/>
                <w:szCs w:val="16"/>
                <w:color w:val="auto"/>
              </w:rPr>
              <w:t>Update Executve Sponsor</w:t>
            </w:r>
          </w:p>
        </w:tc>
        <w:tc>
          <w:tcPr>
            <w:tcW w:w="60" w:type="dxa"/>
            <w:vAlign w:val="bottom"/>
          </w:tcPr>
          <w:p>
            <w:pPr>
              <w:spacing w:after="0"/>
              <w:rPr>
                <w:sz w:val="17"/>
                <w:szCs w:val="17"/>
                <w:color w:val="auto"/>
              </w:rPr>
            </w:pPr>
          </w:p>
        </w:tc>
        <w:tc>
          <w:tcPr>
            <w:tcW w:w="2500" w:type="dxa"/>
            <w:vAlign w:val="bottom"/>
            <w:tcBorders>
              <w:right w:val="single" w:sz="8" w:color="auto"/>
            </w:tcBorders>
            <w:gridSpan w:val="2"/>
          </w:tcPr>
          <w:p>
            <w:pPr>
              <w:spacing w:after="0"/>
              <w:rPr>
                <w:sz w:val="20"/>
                <w:szCs w:val="20"/>
                <w:color w:val="auto"/>
              </w:rPr>
            </w:pPr>
            <w:r>
              <w:rPr>
                <w:rFonts w:ascii="Calibri" w:cs="Calibri" w:eastAsia="Calibri" w:hAnsi="Calibri"/>
                <w:sz w:val="16"/>
                <w:szCs w:val="16"/>
                <w:color w:val="auto"/>
              </w:rPr>
              <w:t>Christan Na</w:t>
            </w: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r>
      <w:tr>
        <w:trPr>
          <w:trHeight w:val="187"/>
        </w:trPr>
        <w:tc>
          <w:tcPr>
            <w:tcW w:w="2420" w:type="dxa"/>
            <w:vAlign w:val="bottom"/>
            <w:tcBorders>
              <w:left w:val="single" w:sz="8" w:color="auto"/>
              <w:right w:val="single" w:sz="8" w:color="auto"/>
            </w:tcBorders>
            <w:gridSpan w:val="3"/>
          </w:tcPr>
          <w:p>
            <w:pPr>
              <w:ind w:left="80"/>
              <w:spacing w:after="0" w:line="187" w:lineRule="exact"/>
              <w:rPr>
                <w:sz w:val="20"/>
                <w:szCs w:val="20"/>
                <w:color w:val="auto"/>
              </w:rPr>
            </w:pPr>
            <w:r>
              <w:rPr>
                <w:rFonts w:ascii="Calibri" w:cs="Calibri" w:eastAsia="Calibri" w:hAnsi="Calibri"/>
                <w:sz w:val="16"/>
                <w:szCs w:val="16"/>
                <w:color w:val="auto"/>
              </w:rPr>
              <w:t>October 15, 2011</w:t>
            </w:r>
          </w:p>
        </w:tc>
        <w:tc>
          <w:tcPr>
            <w:tcW w:w="600" w:type="dxa"/>
            <w:vAlign w:val="bottom"/>
            <w:gridSpan w:val="2"/>
          </w:tcPr>
          <w:p>
            <w:pPr>
              <w:ind w:left="60"/>
              <w:spacing w:after="0" w:line="187" w:lineRule="exact"/>
              <w:rPr>
                <w:sz w:val="20"/>
                <w:szCs w:val="20"/>
                <w:color w:val="auto"/>
              </w:rPr>
            </w:pPr>
            <w:r>
              <w:rPr>
                <w:rFonts w:ascii="Calibri" w:cs="Calibri" w:eastAsia="Calibri" w:hAnsi="Calibri"/>
                <w:sz w:val="16"/>
                <w:szCs w:val="16"/>
                <w:color w:val="auto"/>
              </w:rPr>
              <w:t>--</w:t>
            </w:r>
          </w:p>
        </w:tc>
        <w:tc>
          <w:tcPr>
            <w:tcW w:w="9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40" w:type="dxa"/>
            <w:vAlign w:val="bottom"/>
            <w:tcBorders>
              <w:right w:val="single" w:sz="8" w:color="auto"/>
            </w:tcBorders>
            <w:gridSpan w:val="2"/>
          </w:tcPr>
          <w:p>
            <w:pPr>
              <w:spacing w:after="0" w:line="187" w:lineRule="exact"/>
              <w:rPr>
                <w:sz w:val="20"/>
                <w:szCs w:val="20"/>
                <w:color w:val="auto"/>
              </w:rPr>
            </w:pPr>
            <w:r>
              <w:rPr>
                <w:rFonts w:ascii="Calibri" w:cs="Calibri" w:eastAsia="Calibri" w:hAnsi="Calibri"/>
                <w:sz w:val="16"/>
                <w:szCs w:val="16"/>
                <w:color w:val="auto"/>
              </w:rPr>
              <w:t>Inital Issuance</w:t>
            </w:r>
          </w:p>
        </w:tc>
        <w:tc>
          <w:tcPr>
            <w:tcW w:w="60" w:type="dxa"/>
            <w:vAlign w:val="bottom"/>
          </w:tcPr>
          <w:p>
            <w:pPr>
              <w:spacing w:after="0"/>
              <w:rPr>
                <w:sz w:val="16"/>
                <w:szCs w:val="16"/>
                <w:color w:val="auto"/>
              </w:rPr>
            </w:pPr>
          </w:p>
        </w:tc>
        <w:tc>
          <w:tcPr>
            <w:tcW w:w="2500" w:type="dxa"/>
            <w:vAlign w:val="bottom"/>
            <w:tcBorders>
              <w:right w:val="single" w:sz="8" w:color="auto"/>
            </w:tcBorders>
            <w:gridSpan w:val="2"/>
          </w:tcPr>
          <w:p>
            <w:pPr>
              <w:spacing w:after="0" w:line="187" w:lineRule="exact"/>
              <w:rPr>
                <w:sz w:val="20"/>
                <w:szCs w:val="20"/>
                <w:color w:val="auto"/>
              </w:rPr>
            </w:pPr>
            <w:r>
              <w:rPr>
                <w:rFonts w:ascii="Calibri" w:cs="Calibri" w:eastAsia="Calibri" w:hAnsi="Calibri"/>
                <w:sz w:val="16"/>
                <w:szCs w:val="16"/>
                <w:color w:val="auto"/>
              </w:rPr>
              <w:t>Frank Jimenez</w:t>
            </w:r>
          </w:p>
        </w:tc>
      </w:tr>
      <w:tr>
        <w:trPr>
          <w:trHeight w:val="23"/>
        </w:trPr>
        <w:tc>
          <w:tcPr>
            <w:tcW w:w="8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Acknowledgement and Certfcaton Required by All Restricted Insiders</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I certfy that:</w:t>
      </w:r>
    </w:p>
    <w:p>
      <w:pPr>
        <w:spacing w:after="0" w:line="252" w:lineRule="exact"/>
        <w:rPr>
          <w:sz w:val="20"/>
          <w:szCs w:val="20"/>
          <w:color w:val="auto"/>
        </w:rPr>
      </w:pPr>
    </w:p>
    <w:p>
      <w:pPr>
        <w:ind w:left="660" w:hanging="328"/>
        <w:spacing w:after="0" w:line="228" w:lineRule="auto"/>
        <w:tabs>
          <w:tab w:leader="none" w:pos="652"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I have read and understand the Insider Trading and 10b5-1 Plans Policy 40-04 of Xylem Inc. I understand that the Company’s Ofce of General Counsel is available to answer any questons I have at any tme regarding the policy.</w:t>
      </w:r>
    </w:p>
    <w:p>
      <w:pPr>
        <w:spacing w:after="0" w:line="251" w:lineRule="exact"/>
        <w:rPr>
          <w:rFonts w:ascii="Calibri" w:cs="Calibri" w:eastAsia="Calibri" w:hAnsi="Calibri"/>
          <w:sz w:val="20"/>
          <w:szCs w:val="20"/>
          <w:color w:val="auto"/>
        </w:rPr>
      </w:pPr>
    </w:p>
    <w:p>
      <w:pPr>
        <w:ind w:left="660" w:hanging="328"/>
        <w:spacing w:after="0" w:line="234" w:lineRule="auto"/>
        <w:tabs>
          <w:tab w:leader="none" w:pos="652"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Since the date this policy became efectve, or such shorter period of tme that I have been involved with the Company, I have complied with the policy.</w:t>
      </w:r>
    </w:p>
    <w:p>
      <w:pPr>
        <w:spacing w:after="0" w:line="239" w:lineRule="exact"/>
        <w:rPr>
          <w:rFonts w:ascii="Calibri" w:cs="Calibri" w:eastAsia="Calibri" w:hAnsi="Calibri"/>
          <w:sz w:val="20"/>
          <w:szCs w:val="20"/>
          <w:color w:val="auto"/>
        </w:rPr>
      </w:pPr>
    </w:p>
    <w:p>
      <w:pPr>
        <w:ind w:left="660" w:hanging="328"/>
        <w:spacing w:after="0" w:line="234" w:lineRule="auto"/>
        <w:tabs>
          <w:tab w:leader="none" w:pos="652" w:val="left"/>
        </w:tabs>
        <w:numPr>
          <w:ilvl w:val="0"/>
          <w:numId w:val="61"/>
        </w:numPr>
        <w:rPr>
          <w:rFonts w:ascii="Calibri" w:cs="Calibri" w:eastAsia="Calibri" w:hAnsi="Calibri"/>
          <w:sz w:val="20"/>
          <w:szCs w:val="20"/>
          <w:color w:val="auto"/>
        </w:rPr>
      </w:pPr>
      <w:r>
        <w:rPr>
          <w:rFonts w:ascii="Calibri" w:cs="Calibri" w:eastAsia="Calibri" w:hAnsi="Calibri"/>
          <w:sz w:val="20"/>
          <w:szCs w:val="20"/>
          <w:color w:val="auto"/>
        </w:rPr>
        <w:t>I will contnue to comply with the policy for as long as I am subject to the policy, regardless of my contnued designaton, or not, as a Restricted Insider.</w:t>
      </w: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71"/>
        </w:trPr>
        <w:tc>
          <w:tcPr>
            <w:tcW w:w="4300" w:type="dxa"/>
            <w:vAlign w:val="bottom"/>
          </w:tcPr>
          <w:p>
            <w:pPr>
              <w:spacing w:after="0"/>
              <w:rPr>
                <w:sz w:val="20"/>
                <w:szCs w:val="20"/>
                <w:color w:val="auto"/>
              </w:rPr>
            </w:pPr>
            <w:r>
              <w:rPr>
                <w:rFonts w:ascii="Calibri" w:cs="Calibri" w:eastAsia="Calibri" w:hAnsi="Calibri"/>
                <w:sz w:val="20"/>
                <w:szCs w:val="20"/>
                <w:color w:val="auto"/>
              </w:rPr>
              <w:t>_________________________________</w:t>
            </w:r>
          </w:p>
        </w:tc>
        <w:tc>
          <w:tcPr>
            <w:tcW w:w="4100" w:type="dxa"/>
            <w:vAlign w:val="bottom"/>
          </w:tcPr>
          <w:p>
            <w:pPr>
              <w:ind w:left="980"/>
              <w:spacing w:after="0"/>
              <w:rPr>
                <w:sz w:val="20"/>
                <w:szCs w:val="20"/>
                <w:color w:val="auto"/>
              </w:rPr>
            </w:pPr>
            <w:r>
              <w:rPr>
                <w:rFonts w:ascii="Calibri" w:cs="Calibri" w:eastAsia="Calibri" w:hAnsi="Calibri"/>
                <w:sz w:val="20"/>
                <w:szCs w:val="20"/>
                <w:color w:val="auto"/>
              </w:rPr>
              <w:t>Date: __________________________</w:t>
            </w:r>
          </w:p>
        </w:tc>
      </w:tr>
      <w:tr>
        <w:trPr>
          <w:trHeight w:val="243"/>
        </w:trPr>
        <w:tc>
          <w:tcPr>
            <w:tcW w:w="4300" w:type="dxa"/>
            <w:vAlign w:val="bottom"/>
          </w:tcPr>
          <w:p>
            <w:pPr>
              <w:spacing w:after="0" w:line="243" w:lineRule="exact"/>
              <w:rPr>
                <w:sz w:val="20"/>
                <w:szCs w:val="20"/>
                <w:color w:val="auto"/>
              </w:rPr>
            </w:pPr>
            <w:r>
              <w:rPr>
                <w:rFonts w:ascii="Calibri" w:cs="Calibri" w:eastAsia="Calibri" w:hAnsi="Calibri"/>
                <w:sz w:val="20"/>
                <w:szCs w:val="20"/>
                <w:color w:val="auto"/>
              </w:rPr>
              <w:t>Signature of Restricted Insider</w:t>
            </w:r>
          </w:p>
        </w:tc>
        <w:tc>
          <w:tcPr>
            <w:tcW w:w="4100" w:type="dxa"/>
            <w:vAlign w:val="bottom"/>
          </w:tcPr>
          <w:p>
            <w:pPr>
              <w:spacing w:after="0"/>
              <w:rPr>
                <w:sz w:val="21"/>
                <w:szCs w:val="21"/>
                <w:color w:val="auto"/>
              </w:rPr>
            </w:pPr>
          </w:p>
        </w:tc>
      </w:tr>
      <w:tr>
        <w:trPr>
          <w:trHeight w:val="225"/>
        </w:trPr>
        <w:tc>
          <w:tcPr>
            <w:tcW w:w="4300" w:type="dxa"/>
            <w:vAlign w:val="bottom"/>
          </w:tcPr>
          <w:p>
            <w:pPr>
              <w:spacing w:after="0" w:line="224" w:lineRule="exact"/>
              <w:rPr>
                <w:sz w:val="20"/>
                <w:szCs w:val="20"/>
                <w:color w:val="auto"/>
              </w:rPr>
            </w:pPr>
            <w:r>
              <w:rPr>
                <w:rFonts w:ascii="Calibri" w:cs="Calibri" w:eastAsia="Calibri" w:hAnsi="Calibri"/>
                <w:sz w:val="20"/>
                <w:szCs w:val="20"/>
                <w:color w:val="auto"/>
              </w:rPr>
              <w:t>_________________________________</w:t>
            </w:r>
          </w:p>
        </w:tc>
        <w:tc>
          <w:tcPr>
            <w:tcW w:w="4100" w:type="dxa"/>
            <w:vAlign w:val="bottom"/>
          </w:tcPr>
          <w:p>
            <w:pPr>
              <w:spacing w:after="0"/>
              <w:rPr>
                <w:sz w:val="19"/>
                <w:szCs w:val="19"/>
                <w:color w:val="auto"/>
              </w:rPr>
            </w:pPr>
          </w:p>
        </w:tc>
      </w:tr>
      <w:tr>
        <w:trPr>
          <w:trHeight w:val="234"/>
        </w:trPr>
        <w:tc>
          <w:tcPr>
            <w:tcW w:w="4300" w:type="dxa"/>
            <w:vAlign w:val="bottom"/>
          </w:tcPr>
          <w:p>
            <w:pPr>
              <w:spacing w:after="0" w:line="234" w:lineRule="exact"/>
              <w:rPr>
                <w:sz w:val="20"/>
                <w:szCs w:val="20"/>
                <w:color w:val="auto"/>
              </w:rPr>
            </w:pPr>
            <w:r>
              <w:rPr>
                <w:rFonts w:ascii="Calibri" w:cs="Calibri" w:eastAsia="Calibri" w:hAnsi="Calibri"/>
                <w:sz w:val="20"/>
                <w:szCs w:val="20"/>
                <w:color w:val="auto"/>
              </w:rPr>
              <w:t>Name of Restricted Insider (Please Print)</w:t>
            </w:r>
          </w:p>
        </w:tc>
        <w:tc>
          <w:tcPr>
            <w:tcW w:w="4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10</w:t>
      </w:r>
    </w:p>
    <w:p>
      <w:pPr>
        <w:spacing w:after="0" w:line="40" w:lineRule="exact"/>
        <w:rPr>
          <w:sz w:val="20"/>
          <w:szCs w:val="20"/>
          <w:color w:val="auto"/>
        </w:rPr>
      </w:pPr>
    </w:p>
    <w:p>
      <w:pPr>
        <w:ind w:left="40"/>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240"/>
          </w:cols>
          <w:pgMar w:left="320" w:top="141" w:right="339" w:bottom="1440" w:gutter="0" w:footer="0" w:header="0"/>
        </w:sectPr>
      </w:pPr>
    </w:p>
    <w:bookmarkStart w:id="158" w:name="page159"/>
    <w:bookmarkEnd w:id="158"/>
    <w:tbl>
      <w:tblPr>
        <w:tblLayout w:type="fixed"/>
        <w:tblInd w:w="40"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Appendix A</w:t>
      </w:r>
    </w:p>
    <w:p>
      <w:pPr>
        <w:jc w:val="center"/>
        <w:spacing w:after="0" w:line="238" w:lineRule="auto"/>
        <w:rPr>
          <w:sz w:val="20"/>
          <w:szCs w:val="20"/>
          <w:color w:val="auto"/>
        </w:rPr>
      </w:pPr>
      <w:r>
        <w:rPr>
          <w:rFonts w:ascii="Calibri" w:cs="Calibri" w:eastAsia="Calibri" w:hAnsi="Calibri"/>
          <w:sz w:val="20"/>
          <w:szCs w:val="20"/>
          <w:b w:val="1"/>
          <w:bCs w:val="1"/>
          <w:color w:val="auto"/>
        </w:rPr>
        <w:t>Guidelines for Rule 10b5-1 Trading Plans</w:t>
      </w:r>
    </w:p>
    <w:p>
      <w:pPr>
        <w:spacing w:after="0" w:line="104" w:lineRule="exact"/>
        <w:rPr>
          <w:sz w:val="20"/>
          <w:szCs w:val="20"/>
          <w:color w:val="auto"/>
        </w:rPr>
      </w:pPr>
    </w:p>
    <w:p>
      <w:pPr>
        <w:ind w:right="380"/>
        <w:spacing w:after="0" w:line="233" w:lineRule="auto"/>
        <w:rPr>
          <w:sz w:val="20"/>
          <w:szCs w:val="20"/>
          <w:color w:val="auto"/>
        </w:rPr>
      </w:pPr>
      <w:r>
        <w:rPr>
          <w:rFonts w:ascii="Calibri" w:cs="Calibri" w:eastAsia="Calibri" w:hAnsi="Calibri"/>
          <w:sz w:val="20"/>
          <w:szCs w:val="20"/>
          <w:color w:val="auto"/>
        </w:rPr>
        <w:t>These guidelines are in additon to, and not in lieu of, the requirements and conditons of the SEC’s Rule 10b5-1. The Ofce of the General Counsel will interpret and administer these guidelines in assessing compliance with Rule 10b5-1 and this policy. A Restricted Insider is ultmately responsible for ensuring that their Rule 10b5-1 Plan and contemplated transactons fully comply with applicable securites laws.</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A 10b5-1 Plan must comply with all applicable SEC requirements and Company requirements, including as follows:</w:t>
      </w:r>
    </w:p>
    <w:p>
      <w:pPr>
        <w:spacing w:after="0" w:line="238" w:lineRule="exact"/>
        <w:rPr>
          <w:sz w:val="20"/>
          <w:szCs w:val="20"/>
          <w:color w:val="auto"/>
        </w:rPr>
      </w:pPr>
    </w:p>
    <w:p>
      <w:pPr>
        <w:ind w:left="260" w:right="260" w:hanging="252"/>
        <w:spacing w:after="0" w:line="234" w:lineRule="auto"/>
        <w:tabs>
          <w:tab w:leader="none" w:pos="261" w:val="left"/>
        </w:tabs>
        <w:numPr>
          <w:ilvl w:val="0"/>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Time of Adopton</w:t>
      </w:r>
      <w:r>
        <w:rPr>
          <w:rFonts w:ascii="Calibri" w:cs="Calibri" w:eastAsia="Calibri" w:hAnsi="Calibri"/>
          <w:sz w:val="20"/>
          <w:szCs w:val="20"/>
          <w:color w:val="auto"/>
        </w:rPr>
        <w:t>. Subject to pre-clearance requirements (see 3. Below), a Restricted Insider may enter into a 10b5-1 Plan only at a tme when they are not in possession of any Material Non-Public Informaton, and during a Trading Window.</w:t>
      </w:r>
    </w:p>
    <w:p>
      <w:pPr>
        <w:spacing w:after="0" w:line="108" w:lineRule="exact"/>
        <w:rPr>
          <w:rFonts w:ascii="Calibri" w:cs="Calibri" w:eastAsia="Calibri" w:hAnsi="Calibri"/>
          <w:sz w:val="20"/>
          <w:szCs w:val="20"/>
          <w:color w:val="auto"/>
        </w:rPr>
      </w:pPr>
    </w:p>
    <w:p>
      <w:pPr>
        <w:ind w:left="260" w:hanging="252"/>
        <w:spacing w:after="0"/>
        <w:tabs>
          <w:tab w:leader="none" w:pos="260" w:val="left"/>
        </w:tabs>
        <w:numPr>
          <w:ilvl w:val="0"/>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Good Faith and Certfcaton Requirements</w:t>
      </w:r>
      <w:r>
        <w:rPr>
          <w:rFonts w:ascii="Calibri" w:cs="Calibri" w:eastAsia="Calibri" w:hAnsi="Calibri"/>
          <w:sz w:val="20"/>
          <w:szCs w:val="20"/>
          <w:color w:val="auto"/>
        </w:rPr>
        <w:t>. Restricted Insiders that enter into a 10b5-1 Plan must:</w:t>
      </w:r>
    </w:p>
    <w:p>
      <w:pPr>
        <w:spacing w:after="0" w:line="103" w:lineRule="exact"/>
        <w:rPr>
          <w:rFonts w:ascii="Calibri" w:cs="Calibri" w:eastAsia="Calibri" w:hAnsi="Calibri"/>
          <w:sz w:val="20"/>
          <w:szCs w:val="20"/>
          <w:color w:val="auto"/>
        </w:rPr>
      </w:pPr>
    </w:p>
    <w:p>
      <w:pPr>
        <w:ind w:left="580" w:hanging="329"/>
        <w:spacing w:after="0" w:line="234" w:lineRule="auto"/>
        <w:tabs>
          <w:tab w:leader="none" w:pos="580"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Enter into the 10b5-1 Plan in good faith and not as part of a plan or scheme to evade the prohibitons of Rule 10b5-1, and certfy to same in the 10b5-1 Plan document;</w:t>
      </w:r>
    </w:p>
    <w:p>
      <w:pPr>
        <w:spacing w:after="0" w:line="94" w:lineRule="exact"/>
        <w:rPr>
          <w:rFonts w:ascii="Calibri" w:cs="Calibri" w:eastAsia="Calibri" w:hAnsi="Calibri"/>
          <w:sz w:val="20"/>
          <w:szCs w:val="20"/>
          <w:color w:val="auto"/>
        </w:rPr>
      </w:pPr>
    </w:p>
    <w:p>
      <w:pPr>
        <w:ind w:left="580" w:hanging="329"/>
        <w:spacing w:after="0"/>
        <w:tabs>
          <w:tab w:leader="none" w:pos="580"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Act in good faith with respect to the 10b5-1 Plan for its entre duraton; and</w:t>
      </w:r>
    </w:p>
    <w:p>
      <w:pPr>
        <w:spacing w:after="0" w:line="116" w:lineRule="exact"/>
        <w:rPr>
          <w:rFonts w:ascii="Calibri" w:cs="Calibri" w:eastAsia="Calibri" w:hAnsi="Calibri"/>
          <w:sz w:val="20"/>
          <w:szCs w:val="20"/>
          <w:color w:val="auto"/>
        </w:rPr>
      </w:pPr>
    </w:p>
    <w:p>
      <w:pPr>
        <w:ind w:left="580" w:right="20" w:hanging="329"/>
        <w:spacing w:after="0" w:line="234" w:lineRule="auto"/>
        <w:tabs>
          <w:tab w:leader="none" w:pos="582"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Certfy in the 10b5-1 Plan document that they are not aware of any Material Non-Public Informaton about Xylem or its Securites at the tme of entry into the Plan.</w:t>
      </w:r>
    </w:p>
    <w:p>
      <w:pPr>
        <w:spacing w:after="0" w:line="104" w:lineRule="exact"/>
        <w:rPr>
          <w:rFonts w:ascii="Calibri" w:cs="Calibri" w:eastAsia="Calibri" w:hAnsi="Calibri"/>
          <w:sz w:val="20"/>
          <w:szCs w:val="20"/>
          <w:color w:val="auto"/>
        </w:rPr>
      </w:pPr>
    </w:p>
    <w:p>
      <w:pPr>
        <w:ind w:left="260" w:right="60" w:hanging="252"/>
        <w:spacing w:after="0" w:line="233" w:lineRule="auto"/>
        <w:tabs>
          <w:tab w:leader="none" w:pos="261" w:val="left"/>
        </w:tabs>
        <w:numPr>
          <w:ilvl w:val="0"/>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w:t>
      </w:r>
      <w:r>
        <w:rPr>
          <w:rFonts w:ascii="Calibri" w:cs="Calibri" w:eastAsia="Calibri" w:hAnsi="Calibri"/>
          <w:sz w:val="20"/>
          <w:szCs w:val="20"/>
          <w:color w:val="auto"/>
        </w:rPr>
        <w:t>. A Restricted Insider’s adopton, voluntary terminaton or modifcaton of a 10b5-1 Plan must undergo the mandatory pre-clearance process as specifed in the policy (see the “Mandatory Pre-Clearance for Restricted Insiders” secton of the policy). Pre-clearance requests must be submited to the Ofce of the General Counsel at least two (2) weeks prior to the contemplated adopton date of the 10b5-1 Plan to enable sufcient tme for review and pre-clearance.</w:t>
      </w:r>
    </w:p>
    <w:p>
      <w:pPr>
        <w:spacing w:after="0" w:line="108" w:lineRule="exact"/>
        <w:rPr>
          <w:rFonts w:ascii="Calibri" w:cs="Calibri" w:eastAsia="Calibri" w:hAnsi="Calibri"/>
          <w:sz w:val="20"/>
          <w:szCs w:val="20"/>
          <w:color w:val="auto"/>
        </w:rPr>
      </w:pPr>
    </w:p>
    <w:p>
      <w:pPr>
        <w:ind w:left="260" w:hanging="252"/>
        <w:spacing w:after="0"/>
        <w:tabs>
          <w:tab w:leader="none" w:pos="260" w:val="left"/>
        </w:tabs>
        <w:numPr>
          <w:ilvl w:val="0"/>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10b5-1 Plan Design and Administraton</w:t>
      </w:r>
      <w:r>
        <w:rPr>
          <w:rFonts w:ascii="Calibri" w:cs="Calibri" w:eastAsia="Calibri" w:hAnsi="Calibri"/>
          <w:sz w:val="20"/>
          <w:szCs w:val="20"/>
          <w:color w:val="auto"/>
        </w:rPr>
        <w:t>.</w:t>
      </w:r>
    </w:p>
    <w:p>
      <w:pPr>
        <w:spacing w:after="0" w:line="103" w:lineRule="exact"/>
        <w:rPr>
          <w:rFonts w:ascii="Calibri" w:cs="Calibri" w:eastAsia="Calibri" w:hAnsi="Calibri"/>
          <w:sz w:val="20"/>
          <w:szCs w:val="20"/>
          <w:color w:val="auto"/>
        </w:rPr>
      </w:pPr>
    </w:p>
    <w:p>
      <w:pPr>
        <w:ind w:left="580" w:right="400" w:hanging="329"/>
        <w:spacing w:after="0" w:line="234" w:lineRule="auto"/>
        <w:tabs>
          <w:tab w:leader="none" w:pos="580"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A 10b5-1 Plan may only be placed, administered and maintained by a broker designated by Xylem, unless a diferent broker is expressly authorized by the Ofce of the General Counsel.</w:t>
      </w:r>
    </w:p>
    <w:p>
      <w:pPr>
        <w:spacing w:after="0" w:line="104" w:lineRule="exact"/>
        <w:rPr>
          <w:rFonts w:ascii="Calibri" w:cs="Calibri" w:eastAsia="Calibri" w:hAnsi="Calibri"/>
          <w:sz w:val="20"/>
          <w:szCs w:val="20"/>
          <w:color w:val="auto"/>
        </w:rPr>
      </w:pPr>
    </w:p>
    <w:p>
      <w:pPr>
        <w:ind w:left="580" w:right="260" w:hanging="329"/>
        <w:spacing w:after="0" w:line="234" w:lineRule="auto"/>
        <w:tabs>
          <w:tab w:leader="none" w:pos="575"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A 10b5-1 Plan must be in writng using Xylem’s pre-approved document with appropriate certfcatons signed by the Restricted Insider.</w:t>
      </w:r>
    </w:p>
    <w:p>
      <w:pPr>
        <w:spacing w:after="0" w:line="104" w:lineRule="exact"/>
        <w:rPr>
          <w:rFonts w:ascii="Calibri" w:cs="Calibri" w:eastAsia="Calibri" w:hAnsi="Calibri"/>
          <w:sz w:val="20"/>
          <w:szCs w:val="20"/>
          <w:color w:val="auto"/>
        </w:rPr>
      </w:pPr>
    </w:p>
    <w:p>
      <w:pPr>
        <w:ind w:left="580" w:right="320" w:hanging="329"/>
        <w:spacing w:after="0" w:line="234" w:lineRule="auto"/>
        <w:tabs>
          <w:tab w:leader="none" w:pos="582"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A 10b5-1 Plan must specify (i) the amount, price and date of trades in Xylem Securites to be efected, or (ii) a writen formula, computer program or algorithm for determining the amount, price and date of any trades to be efected.</w:t>
      </w:r>
    </w:p>
    <w:p>
      <w:pPr>
        <w:spacing w:after="0" w:line="117" w:lineRule="exact"/>
        <w:rPr>
          <w:rFonts w:ascii="Calibri" w:cs="Calibri" w:eastAsia="Calibri" w:hAnsi="Calibri"/>
          <w:sz w:val="20"/>
          <w:szCs w:val="20"/>
          <w:color w:val="auto"/>
        </w:rPr>
      </w:pPr>
    </w:p>
    <w:p>
      <w:pPr>
        <w:ind w:left="580" w:right="20" w:hanging="329"/>
        <w:spacing w:after="0" w:line="228" w:lineRule="auto"/>
        <w:tabs>
          <w:tab w:leader="none" w:pos="575"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A 10b5-1 Plan must include closed trading windows that incept at 7:00am ET on the ffh trading day before the release of Xylem’s quarterly earnings and end at 7:00am on the third trading day following the earnings release.</w:t>
      </w:r>
    </w:p>
    <w:p>
      <w:pPr>
        <w:spacing w:after="0" w:line="116" w:lineRule="exact"/>
        <w:rPr>
          <w:rFonts w:ascii="Calibri" w:cs="Calibri" w:eastAsia="Calibri" w:hAnsi="Calibri"/>
          <w:sz w:val="20"/>
          <w:szCs w:val="20"/>
          <w:color w:val="auto"/>
        </w:rPr>
      </w:pPr>
    </w:p>
    <w:p>
      <w:pPr>
        <w:ind w:left="580" w:right="340" w:hanging="329"/>
        <w:spacing w:after="0" w:line="228" w:lineRule="auto"/>
        <w:tabs>
          <w:tab w:leader="none" w:pos="583" w:val="left"/>
        </w:tabs>
        <w:numPr>
          <w:ilvl w:val="1"/>
          <w:numId w:val="62"/>
        </w:numPr>
        <w:rPr>
          <w:rFonts w:ascii="Calibri" w:cs="Calibri" w:eastAsia="Calibri" w:hAnsi="Calibri"/>
          <w:sz w:val="20"/>
          <w:szCs w:val="20"/>
          <w:color w:val="auto"/>
        </w:rPr>
      </w:pPr>
      <w:r>
        <w:rPr>
          <w:rFonts w:ascii="Calibri" w:cs="Calibri" w:eastAsia="Calibri" w:hAnsi="Calibri"/>
          <w:sz w:val="20"/>
          <w:szCs w:val="20"/>
          <w:color w:val="auto"/>
        </w:rPr>
        <w:t>Following adopton of the Rule 10b5-1 Plan, the Restricted Insider must not be able to exercise any subsequent infuence over how, when or whether to afect trades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pacing w:after="0" w:line="40" w:lineRule="exact"/>
        <w:rPr>
          <w:sz w:val="20"/>
          <w:szCs w:val="20"/>
          <w:color w:val="auto"/>
        </w:rPr>
      </w:pPr>
    </w:p>
    <w:p>
      <w:pPr>
        <w:ind w:left="40"/>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240"/>
          </w:cols>
          <w:pgMar w:left="320" w:top="141" w:right="339" w:bottom="1440" w:gutter="0" w:footer="0" w:header="0"/>
        </w:sectPr>
      </w:pPr>
    </w:p>
    <w:bookmarkStart w:id="159" w:name="page160"/>
    <w:bookmarkEnd w:id="159"/>
    <w:tbl>
      <w:tblPr>
        <w:tblLayout w:type="fixed"/>
        <w:tblInd w:w="32"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8"/>
        </w:trPr>
        <w:tc>
          <w:tcPr>
            <w:tcW w:w="5400" w:type="dxa"/>
            <w:vAlign w:val="bottom"/>
          </w:tcPr>
          <w:p>
            <w:pPr>
              <w:spacing w:after="0"/>
              <w:rPr>
                <w:sz w:val="22"/>
                <w:szCs w:val="22"/>
                <w:color w:val="auto"/>
              </w:rPr>
            </w:pPr>
          </w:p>
        </w:tc>
        <w:tc>
          <w:tcPr>
            <w:tcW w:w="5100" w:type="dxa"/>
            <w:vAlign w:val="bottom"/>
          </w:tcPr>
          <w:p>
            <w:pPr>
              <w:ind w:left="2560"/>
              <w:spacing w:after="0" w:line="258"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2" w:right="80" w:hanging="329"/>
        <w:spacing w:after="0" w:line="234" w:lineRule="auto"/>
        <w:tabs>
          <w:tab w:leader="none" w:pos="550" w:val="left"/>
        </w:tabs>
        <w:numPr>
          <w:ilvl w:val="1"/>
          <w:numId w:val="63"/>
        </w:numPr>
        <w:rPr>
          <w:rFonts w:ascii="Calibri" w:cs="Calibri" w:eastAsia="Calibri" w:hAnsi="Calibri"/>
          <w:sz w:val="20"/>
          <w:szCs w:val="20"/>
          <w:color w:val="auto"/>
        </w:rPr>
      </w:pPr>
      <w:r>
        <w:rPr>
          <w:rFonts w:ascii="Calibri" w:cs="Calibri" w:eastAsia="Calibri" w:hAnsi="Calibri"/>
          <w:sz w:val="20"/>
          <w:szCs w:val="20"/>
          <w:color w:val="auto"/>
        </w:rPr>
        <w:t>A Restricted Insider may not have more than one 10b5-1 Plan in efect at any tme, except as may be otherwise permited by Rule 10b5-1’s limited exceptons and subject to pre-clearance as required by this policy.</w:t>
      </w:r>
    </w:p>
    <w:p>
      <w:pPr>
        <w:spacing w:after="0" w:line="104" w:lineRule="exact"/>
        <w:rPr>
          <w:rFonts w:ascii="Calibri" w:cs="Calibri" w:eastAsia="Calibri" w:hAnsi="Calibri"/>
          <w:sz w:val="20"/>
          <w:szCs w:val="20"/>
          <w:color w:val="auto"/>
        </w:rPr>
      </w:pPr>
    </w:p>
    <w:p>
      <w:pPr>
        <w:ind w:left="572" w:right="160" w:hanging="329"/>
        <w:spacing w:after="0" w:line="233" w:lineRule="auto"/>
        <w:tabs>
          <w:tab w:leader="none" w:pos="570" w:val="left"/>
        </w:tabs>
        <w:numPr>
          <w:ilvl w:val="1"/>
          <w:numId w:val="63"/>
        </w:numPr>
        <w:rPr>
          <w:rFonts w:ascii="Calibri" w:cs="Calibri" w:eastAsia="Calibri" w:hAnsi="Calibri"/>
          <w:sz w:val="20"/>
          <w:szCs w:val="20"/>
          <w:color w:val="auto"/>
        </w:rPr>
      </w:pPr>
      <w:r>
        <w:rPr>
          <w:rFonts w:ascii="Calibri" w:cs="Calibri" w:eastAsia="Calibri" w:hAnsi="Calibri"/>
          <w:sz w:val="20"/>
          <w:szCs w:val="20"/>
          <w:color w:val="auto"/>
        </w:rPr>
        <w:t>A Restricted Insider may not have more than one “single trade plan” in any consecutve 12-month period, other than for sales to satsfy tax obligatons consequent to the vestng of Xylem Securites as part of the Company’s long-term incentve compensaton plans. Per Rule 10b5-1, a single-trade plan is “designed to efect” the purchase or sale of securites as a single transacton when the terms of the plan directly or indirectly require executon in a single transacton.</w:t>
      </w:r>
    </w:p>
    <w:p>
      <w:pPr>
        <w:spacing w:after="0" w:line="108" w:lineRule="exact"/>
        <w:rPr>
          <w:rFonts w:ascii="Calibri" w:cs="Calibri" w:eastAsia="Calibri" w:hAnsi="Calibri"/>
          <w:sz w:val="20"/>
          <w:szCs w:val="20"/>
          <w:color w:val="auto"/>
        </w:rPr>
      </w:pPr>
    </w:p>
    <w:p>
      <w:pPr>
        <w:ind w:left="252" w:hanging="252"/>
        <w:spacing w:after="0"/>
        <w:tabs>
          <w:tab w:leader="none" w:pos="252" w:val="left"/>
        </w:tabs>
        <w:numPr>
          <w:ilvl w:val="0"/>
          <w:numId w:val="64"/>
        </w:numPr>
        <w:rPr>
          <w:rFonts w:ascii="Calibri" w:cs="Calibri" w:eastAsia="Calibri" w:hAnsi="Calibri"/>
          <w:sz w:val="20"/>
          <w:szCs w:val="20"/>
          <w:color w:val="auto"/>
        </w:rPr>
      </w:pPr>
      <w:r>
        <w:rPr>
          <w:rFonts w:ascii="Calibri" w:cs="Calibri" w:eastAsia="Calibri" w:hAnsi="Calibri"/>
          <w:sz w:val="20"/>
          <w:szCs w:val="20"/>
          <w:u w:val="single" w:color="auto"/>
          <w:color w:val="auto"/>
        </w:rPr>
        <w:t>Cooling-Of Periods</w:t>
      </w:r>
      <w:r>
        <w:rPr>
          <w:rFonts w:ascii="Calibri" w:cs="Calibri" w:eastAsia="Calibri" w:hAnsi="Calibri"/>
          <w:sz w:val="20"/>
          <w:szCs w:val="20"/>
          <w:color w:val="auto"/>
        </w:rPr>
        <w:t>. The frst trade under the 10b5-1 Plan may not occur untl the expiraton of a cooling-of period as follows:</w:t>
      </w:r>
    </w:p>
    <w:p>
      <w:pPr>
        <w:spacing w:after="0" w:line="103" w:lineRule="exact"/>
        <w:rPr>
          <w:rFonts w:ascii="Calibri" w:cs="Calibri" w:eastAsia="Calibri" w:hAnsi="Calibri"/>
          <w:sz w:val="20"/>
          <w:szCs w:val="20"/>
          <w:color w:val="auto"/>
        </w:rPr>
      </w:pPr>
    </w:p>
    <w:p>
      <w:pPr>
        <w:ind w:left="572" w:right="40" w:hanging="329"/>
        <w:spacing w:after="0" w:line="233" w:lineRule="auto"/>
        <w:tabs>
          <w:tab w:leader="none" w:pos="572" w:val="left"/>
        </w:tabs>
        <w:numPr>
          <w:ilvl w:val="1"/>
          <w:numId w:val="64"/>
        </w:numPr>
        <w:rPr>
          <w:rFonts w:ascii="Calibri" w:cs="Calibri" w:eastAsia="Calibri" w:hAnsi="Calibri"/>
          <w:sz w:val="20"/>
          <w:szCs w:val="20"/>
          <w:color w:val="auto"/>
        </w:rPr>
      </w:pPr>
      <w:r>
        <w:rPr>
          <w:rFonts w:ascii="Calibri" w:cs="Calibri" w:eastAsia="Calibri" w:hAnsi="Calibri"/>
          <w:sz w:val="20"/>
          <w:szCs w:val="20"/>
          <w:i w:val="1"/>
          <w:iCs w:val="1"/>
          <w:u w:val="single" w:color="auto"/>
          <w:color w:val="auto"/>
        </w:rPr>
        <w:t>For Directors and Secton 16 Ofcers, as well as their Family Members and Controlled Enttes</w:t>
      </w:r>
      <w:r>
        <w:rPr>
          <w:rFonts w:ascii="Calibri" w:cs="Calibri" w:eastAsia="Calibri" w:hAnsi="Calibri"/>
          <w:sz w:val="20"/>
          <w:szCs w:val="20"/>
          <w:color w:val="auto"/>
        </w:rPr>
        <w:t>: the later of (i) two (2) business days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following the fling of Xylem’s Form 10-Q or Form 10-K for the completed fscal quarter in which the 10b5-1 Plan was adopted, and (ii) 90 calendar days afer the adopton of the 10b5-1 Plan; provided, however, that the required cooling-of period shall not exceed 120 calendar days.</w:t>
      </w:r>
    </w:p>
    <w:p>
      <w:pPr>
        <w:spacing w:after="0" w:line="108" w:lineRule="exact"/>
        <w:rPr>
          <w:rFonts w:ascii="Calibri" w:cs="Calibri" w:eastAsia="Calibri" w:hAnsi="Calibri"/>
          <w:sz w:val="20"/>
          <w:szCs w:val="20"/>
          <w:color w:val="auto"/>
        </w:rPr>
      </w:pPr>
    </w:p>
    <w:p>
      <w:pPr>
        <w:ind w:left="572" w:hanging="329"/>
        <w:spacing w:after="0"/>
        <w:tabs>
          <w:tab w:leader="none" w:pos="572" w:val="left"/>
        </w:tabs>
        <w:numPr>
          <w:ilvl w:val="1"/>
          <w:numId w:val="64"/>
        </w:numPr>
        <w:rPr>
          <w:rFonts w:ascii="Calibri" w:cs="Calibri" w:eastAsia="Calibri" w:hAnsi="Calibri"/>
          <w:sz w:val="20"/>
          <w:szCs w:val="20"/>
          <w:color w:val="auto"/>
        </w:rPr>
      </w:pPr>
      <w:r>
        <w:rPr>
          <w:rFonts w:ascii="Calibri" w:cs="Calibri" w:eastAsia="Calibri" w:hAnsi="Calibri"/>
          <w:sz w:val="20"/>
          <w:szCs w:val="20"/>
          <w:i w:val="1"/>
          <w:iCs w:val="1"/>
          <w:u w:val="single" w:color="auto"/>
          <w:color w:val="auto"/>
        </w:rPr>
        <w:t>For all other Restricted Insiders</w:t>
      </w:r>
      <w:r>
        <w:rPr>
          <w:rFonts w:ascii="Calibri" w:cs="Calibri" w:eastAsia="Calibri" w:hAnsi="Calibri"/>
          <w:sz w:val="20"/>
          <w:szCs w:val="20"/>
          <w:color w:val="auto"/>
        </w:rPr>
        <w:t>: 30 calendar days afer adopton of the 10b5-1 Plan.</w:t>
      </w:r>
    </w:p>
    <w:p>
      <w:pPr>
        <w:spacing w:after="0" w:line="103" w:lineRule="exact"/>
        <w:rPr>
          <w:rFonts w:ascii="Calibri" w:cs="Calibri" w:eastAsia="Calibri" w:hAnsi="Calibri"/>
          <w:sz w:val="20"/>
          <w:szCs w:val="20"/>
          <w:color w:val="auto"/>
        </w:rPr>
      </w:pPr>
    </w:p>
    <w:p>
      <w:pPr>
        <w:ind w:left="252" w:right="540" w:hanging="252"/>
        <w:spacing w:after="0" w:line="234" w:lineRule="auto"/>
        <w:tabs>
          <w:tab w:leader="none" w:pos="253" w:val="left"/>
        </w:tabs>
        <w:numPr>
          <w:ilvl w:val="0"/>
          <w:numId w:val="64"/>
        </w:numPr>
        <w:rPr>
          <w:rFonts w:ascii="Calibri" w:cs="Calibri" w:eastAsia="Calibri" w:hAnsi="Calibri"/>
          <w:sz w:val="20"/>
          <w:szCs w:val="20"/>
          <w:color w:val="auto"/>
        </w:rPr>
      </w:pPr>
      <w:r>
        <w:rPr>
          <w:rFonts w:ascii="Calibri" w:cs="Calibri" w:eastAsia="Calibri" w:hAnsi="Calibri"/>
          <w:sz w:val="20"/>
          <w:szCs w:val="20"/>
          <w:u w:val="single" w:color="auto"/>
          <w:color w:val="auto"/>
        </w:rPr>
        <w:t>No Hedging</w:t>
      </w:r>
      <w:r>
        <w:rPr>
          <w:rFonts w:ascii="Calibri" w:cs="Calibri" w:eastAsia="Calibri" w:hAnsi="Calibri"/>
          <w:sz w:val="20"/>
          <w:szCs w:val="20"/>
          <w:color w:val="auto"/>
        </w:rPr>
        <w:t>. Restricted Insiders may not enter into, or alter, a corresponding or hedging transacton or positon of the Securites subject to the 10b5-1 Plan and must agree not to enter into any such transacton while the 10b5-1 Plan is in efect.</w:t>
      </w:r>
    </w:p>
    <w:p>
      <w:pPr>
        <w:spacing w:after="0" w:line="108" w:lineRule="exact"/>
        <w:rPr>
          <w:rFonts w:ascii="Calibri" w:cs="Calibri" w:eastAsia="Calibri" w:hAnsi="Calibri"/>
          <w:sz w:val="20"/>
          <w:szCs w:val="20"/>
          <w:color w:val="auto"/>
        </w:rPr>
      </w:pPr>
    </w:p>
    <w:p>
      <w:pPr>
        <w:ind w:left="252" w:hanging="252"/>
        <w:spacing w:after="0"/>
        <w:tabs>
          <w:tab w:leader="none" w:pos="252" w:val="left"/>
        </w:tabs>
        <w:numPr>
          <w:ilvl w:val="0"/>
          <w:numId w:val="64"/>
        </w:numPr>
        <w:rPr>
          <w:rFonts w:ascii="Calibri" w:cs="Calibri" w:eastAsia="Calibri" w:hAnsi="Calibri"/>
          <w:sz w:val="20"/>
          <w:szCs w:val="20"/>
          <w:color w:val="auto"/>
        </w:rPr>
      </w:pPr>
      <w:r>
        <w:rPr>
          <w:rFonts w:ascii="Calibri" w:cs="Calibri" w:eastAsia="Calibri" w:hAnsi="Calibri"/>
          <w:sz w:val="20"/>
          <w:szCs w:val="20"/>
          <w:u w:val="single" w:color="auto"/>
          <w:color w:val="auto"/>
        </w:rPr>
        <w:t>Compliance With Plan</w:t>
      </w:r>
      <w:r>
        <w:rPr>
          <w:rFonts w:ascii="Calibri" w:cs="Calibri" w:eastAsia="Calibri" w:hAnsi="Calibri"/>
          <w:sz w:val="20"/>
          <w:szCs w:val="20"/>
          <w:color w:val="auto"/>
        </w:rPr>
        <w:t>. The Restricted Insider must abide by the terms of their 10b5-1 Plan as long as the Plan remains in efect.</w:t>
      </w:r>
    </w:p>
    <w:p>
      <w:pPr>
        <w:spacing w:after="0" w:line="103" w:lineRule="exact"/>
        <w:rPr>
          <w:rFonts w:ascii="Calibri" w:cs="Calibri" w:eastAsia="Calibri" w:hAnsi="Calibri"/>
          <w:sz w:val="20"/>
          <w:szCs w:val="20"/>
          <w:color w:val="auto"/>
        </w:rPr>
      </w:pPr>
    </w:p>
    <w:p>
      <w:pPr>
        <w:ind w:left="252" w:right="280" w:hanging="252"/>
        <w:spacing w:after="0" w:line="234" w:lineRule="auto"/>
        <w:tabs>
          <w:tab w:leader="none" w:pos="253" w:val="left"/>
        </w:tabs>
        <w:numPr>
          <w:ilvl w:val="0"/>
          <w:numId w:val="64"/>
        </w:numPr>
        <w:rPr>
          <w:rFonts w:ascii="Calibri" w:cs="Calibri" w:eastAsia="Calibri" w:hAnsi="Calibri"/>
          <w:sz w:val="20"/>
          <w:szCs w:val="20"/>
          <w:color w:val="auto"/>
        </w:rPr>
      </w:pPr>
      <w:r>
        <w:rPr>
          <w:rFonts w:ascii="Calibri" w:cs="Calibri" w:eastAsia="Calibri" w:hAnsi="Calibri"/>
          <w:sz w:val="20"/>
          <w:szCs w:val="20"/>
          <w:u w:val="single" w:color="auto"/>
          <w:color w:val="auto"/>
        </w:rPr>
        <w:t>Modifcaton and Terminaton</w:t>
      </w:r>
      <w:r>
        <w:rPr>
          <w:rFonts w:ascii="Calibri" w:cs="Calibri" w:eastAsia="Calibri" w:hAnsi="Calibri"/>
          <w:sz w:val="20"/>
          <w:szCs w:val="20"/>
          <w:color w:val="auto"/>
        </w:rPr>
        <w:t>. Any modifcaton or terminaton of an in-force 10b5-1 Plan is strongly discouraged due to legal risks, and can afect the validity of trades that have taken place under the Plan prior to modifcaton or terminaton.</w:t>
      </w:r>
    </w:p>
    <w:p>
      <w:pPr>
        <w:spacing w:after="0" w:line="104" w:lineRule="exact"/>
        <w:rPr>
          <w:rFonts w:ascii="Calibri" w:cs="Calibri" w:eastAsia="Calibri" w:hAnsi="Calibri"/>
          <w:sz w:val="20"/>
          <w:szCs w:val="20"/>
          <w:color w:val="auto"/>
        </w:rPr>
      </w:pPr>
    </w:p>
    <w:p>
      <w:pPr>
        <w:ind w:left="252"/>
        <w:spacing w:after="0" w:line="233" w:lineRule="auto"/>
        <w:rPr>
          <w:rFonts w:ascii="Calibri" w:cs="Calibri" w:eastAsia="Calibri" w:hAnsi="Calibri"/>
          <w:sz w:val="20"/>
          <w:szCs w:val="20"/>
          <w:color w:val="auto"/>
        </w:rPr>
      </w:pPr>
      <w:r>
        <w:rPr>
          <w:rFonts w:ascii="Calibri" w:cs="Calibri" w:eastAsia="Calibri" w:hAnsi="Calibri"/>
          <w:sz w:val="20"/>
          <w:szCs w:val="20"/>
          <w:color w:val="auto"/>
        </w:rPr>
        <w:t>Under Rule 10b5-1 and these guidelines, any deviaton from or modifcaton to the amount, price or tming of sale or purchase of Securites underlying a 10b5-1 Plan (a “Material Modifcaton”) will consttute a terminaton of the Plan and adopton of a new 10b5-1 Plan, and will be subject to all requirements set forth in these guidelines regarding the adopton of a new 10b5-1 Plan, including a new cooling-of period. As such, any Material Modifcaton of an existng 10b5-1 Plan is subject to prior approval via the mandatory pre-clearance process described in paragraph 3 of these guidelines. A Restricted Insider considering administratve changes to an in-force 10b5-1 Plan (e.g. changing the account informaton) should consult with the Ofce of the General Counsel in advance to confrm that any such change does not consttute an efectve terminaton of the Plan and adopton of a new Plan.</w:t>
      </w:r>
    </w:p>
    <w:p>
      <w:pPr>
        <w:spacing w:after="0" w:line="109" w:lineRule="exact"/>
        <w:rPr>
          <w:rFonts w:ascii="Calibri" w:cs="Calibri" w:eastAsia="Calibri" w:hAnsi="Calibri"/>
          <w:sz w:val="20"/>
          <w:szCs w:val="20"/>
          <w:color w:val="auto"/>
        </w:rPr>
      </w:pPr>
    </w:p>
    <w:p>
      <w:pPr>
        <w:ind w:left="252" w:right="140"/>
        <w:spacing w:after="0" w:line="233" w:lineRule="auto"/>
        <w:rPr>
          <w:rFonts w:ascii="Calibri" w:cs="Calibri" w:eastAsia="Calibri" w:hAnsi="Calibri"/>
          <w:sz w:val="20"/>
          <w:szCs w:val="20"/>
          <w:color w:val="auto"/>
        </w:rPr>
      </w:pPr>
      <w:r>
        <w:rPr>
          <w:rFonts w:ascii="Calibri" w:cs="Calibri" w:eastAsia="Calibri" w:hAnsi="Calibri"/>
          <w:sz w:val="20"/>
          <w:szCs w:val="20"/>
          <w:color w:val="auto"/>
        </w:rPr>
        <w:t>Voluntary terminaton (other than through an amendment or modifcaton) of an existng 10b5-1 Plan is subject to prior approval via the mandatory pre-clearance process described in paragraph 3 of these guidelines. As a threshold mater, consideraton of possible terminaton of a 10b5-1 Plan requires that the Restricted Insider is not aware of any Material Non-public Informaton, and that the proposed terminaton would occur in a Trading Window. If voluntary terminaton is approved, the Restricted Insider may neither engage in any transacton in Xylem Securites nor adopt a new 10b5-1 Plan for at least 90 calendar days following the Plan terminaton, subject to an open Trading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color w:val="auto"/>
        </w:rPr>
        <w:t>12</w:t>
      </w:r>
    </w:p>
    <w:p>
      <w:pPr>
        <w:spacing w:after="0" w:line="40" w:lineRule="exact"/>
        <w:rPr>
          <w:sz w:val="20"/>
          <w:szCs w:val="20"/>
          <w:color w:val="auto"/>
        </w:rPr>
      </w:pPr>
    </w:p>
    <w:p>
      <w:pPr>
        <w:ind w:left="32"/>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1232"/>
          </w:cols>
          <w:pgMar w:left="328" w:top="141" w:right="339" w:bottom="1440" w:gutter="0" w:footer="0" w:header="0"/>
        </w:sectPr>
      </w:pPr>
    </w:p>
    <w:bookmarkStart w:id="160" w:name="page161"/>
    <w:bookmarkEnd w:id="160"/>
    <w:tbl>
      <w:tblPr>
        <w:tblLayout w:type="fixed"/>
        <w:tblInd w:w="32" w:type="dxa"/>
        <w:tblCellMar>
          <w:top w:w="0" w:type="dxa"/>
          <w:left w:w="0" w:type="dxa"/>
          <w:bottom w:w="0" w:type="dxa"/>
          <w:right w:w="0" w:type="dxa"/>
        </w:tblCellMar>
      </w:tblPr>
      <w:tr>
        <w:trPr>
          <w:trHeight w:val="244"/>
        </w:trPr>
        <w:tc>
          <w:tcPr>
            <w:tcW w:w="5400" w:type="dxa"/>
            <w:vAlign w:val="bottom"/>
          </w:tcPr>
          <w:p>
            <w:pPr>
              <w:ind w:left="1060"/>
              <w:spacing w:after="0"/>
              <w:rPr>
                <w:sz w:val="20"/>
                <w:szCs w:val="20"/>
                <w:color w:val="auto"/>
              </w:rPr>
            </w:pPr>
            <w:r>
              <w:rPr>
                <w:rFonts w:ascii="Calibri" w:cs="Calibri" w:eastAsia="Calibri" w:hAnsi="Calibri"/>
                <w:sz w:val="20"/>
                <w:szCs w:val="20"/>
                <w:color w:val="auto"/>
              </w:rPr>
              <w:t>Policy Number: 40-04</w:t>
            </w:r>
          </w:p>
        </w:tc>
        <w:tc>
          <w:tcPr>
            <w:tcW w:w="5100" w:type="dxa"/>
            <w:vAlign w:val="bottom"/>
          </w:tcPr>
          <w:p>
            <w:pPr>
              <w:spacing w:after="0"/>
              <w:rPr>
                <w:sz w:val="21"/>
                <w:szCs w:val="21"/>
                <w:color w:val="auto"/>
              </w:rPr>
            </w:pPr>
          </w:p>
        </w:tc>
      </w:tr>
      <w:tr>
        <w:trPr>
          <w:trHeight w:val="234"/>
        </w:trPr>
        <w:tc>
          <w:tcPr>
            <w:tcW w:w="5400" w:type="dxa"/>
            <w:vAlign w:val="bottom"/>
          </w:tcPr>
          <w:p>
            <w:pPr>
              <w:spacing w:after="0" w:line="234" w:lineRule="exact"/>
              <w:rPr>
                <w:sz w:val="20"/>
                <w:szCs w:val="20"/>
                <w:color w:val="auto"/>
              </w:rPr>
            </w:pPr>
            <w:r>
              <w:rPr>
                <w:rFonts w:ascii="Calibri" w:cs="Calibri" w:eastAsia="Calibri" w:hAnsi="Calibri"/>
                <w:sz w:val="20"/>
                <w:szCs w:val="20"/>
                <w:color w:val="auto"/>
              </w:rPr>
              <w:t>Efectve Date: November 21, 2024</w:t>
            </w:r>
          </w:p>
        </w:tc>
        <w:tc>
          <w:tcPr>
            <w:tcW w:w="5100" w:type="dxa"/>
            <w:vAlign w:val="bottom"/>
          </w:tcPr>
          <w:p>
            <w:pPr>
              <w:spacing w:after="0"/>
              <w:rPr>
                <w:sz w:val="20"/>
                <w:szCs w:val="20"/>
                <w:color w:val="auto"/>
              </w:rPr>
            </w:pPr>
          </w:p>
        </w:tc>
      </w:tr>
      <w:tr>
        <w:trPr>
          <w:trHeight w:val="195"/>
        </w:trPr>
        <w:tc>
          <w:tcPr>
            <w:tcW w:w="5400" w:type="dxa"/>
            <w:vAlign w:val="bottom"/>
          </w:tcPr>
          <w:p>
            <w:pPr>
              <w:ind w:left="40"/>
              <w:spacing w:after="0" w:line="195" w:lineRule="exact"/>
              <w:rPr>
                <w:sz w:val="20"/>
                <w:szCs w:val="20"/>
                <w:color w:val="auto"/>
              </w:rPr>
            </w:pPr>
            <w:r>
              <w:rPr>
                <w:rFonts w:ascii="Calibri" w:cs="Calibri" w:eastAsia="Calibri" w:hAnsi="Calibri"/>
                <w:sz w:val="20"/>
                <w:szCs w:val="20"/>
                <w:color w:val="auto"/>
              </w:rPr>
              <w:t>Functon: Legal</w:t>
            </w:r>
          </w:p>
        </w:tc>
        <w:tc>
          <w:tcPr>
            <w:tcW w:w="5100" w:type="dxa"/>
            <w:vAlign w:val="bottom"/>
          </w:tcPr>
          <w:p>
            <w:pPr>
              <w:ind w:left="3680"/>
              <w:spacing w:after="0" w:line="195" w:lineRule="exact"/>
              <w:rPr>
                <w:sz w:val="20"/>
                <w:szCs w:val="20"/>
                <w:color w:val="auto"/>
              </w:rPr>
            </w:pPr>
            <w:r>
              <w:rPr>
                <w:rFonts w:ascii="Calibri" w:cs="Calibri" w:eastAsia="Calibri" w:hAnsi="Calibri"/>
                <w:sz w:val="17"/>
                <w:szCs w:val="17"/>
                <w:color w:val="FFFFFF"/>
              </w:rPr>
              <w:t>CORPORATE POLICY</w:t>
            </w:r>
          </w:p>
        </w:tc>
      </w:tr>
      <w:tr>
        <w:trPr>
          <w:trHeight w:val="256"/>
        </w:trPr>
        <w:tc>
          <w:tcPr>
            <w:tcW w:w="5400" w:type="dxa"/>
            <w:vAlign w:val="bottom"/>
          </w:tcPr>
          <w:p>
            <w:pPr>
              <w:spacing w:after="0"/>
              <w:rPr>
                <w:sz w:val="22"/>
                <w:szCs w:val="22"/>
                <w:color w:val="auto"/>
              </w:rPr>
            </w:pPr>
          </w:p>
        </w:tc>
        <w:tc>
          <w:tcPr>
            <w:tcW w:w="5100" w:type="dxa"/>
            <w:vAlign w:val="bottom"/>
          </w:tcPr>
          <w:p>
            <w:pPr>
              <w:ind w:left="2560"/>
              <w:spacing w:after="0" w:line="256" w:lineRule="exact"/>
              <w:rPr>
                <w:sz w:val="20"/>
                <w:szCs w:val="20"/>
                <w:color w:val="auto"/>
              </w:rPr>
            </w:pPr>
            <w:r>
              <w:rPr>
                <w:rFonts w:ascii="Calibri" w:cs="Calibri" w:eastAsia="Calibri" w:hAnsi="Calibri"/>
                <w:sz w:val="22"/>
                <w:szCs w:val="22"/>
                <w:color w:val="auto"/>
              </w:rPr>
              <w:t>Exhibit: 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52"/>
        <w:spacing w:after="0"/>
        <w:rPr>
          <w:sz w:val="20"/>
          <w:szCs w:val="20"/>
          <w:color w:val="auto"/>
        </w:rPr>
      </w:pPr>
      <w:r>
        <w:rPr>
          <w:rFonts w:ascii="Calibri" w:cs="Calibri" w:eastAsia="Calibri" w:hAnsi="Calibri"/>
          <w:sz w:val="20"/>
          <w:szCs w:val="20"/>
          <w:color w:val="auto"/>
        </w:rPr>
        <w:t>The General Counsel may terminate or suspend a 10b5-1 Plan at any tme for any reason.</w:t>
      </w:r>
    </w:p>
    <w:p>
      <w:pPr>
        <w:spacing w:after="0" w:line="117" w:lineRule="exact"/>
        <w:rPr>
          <w:sz w:val="20"/>
          <w:szCs w:val="20"/>
          <w:color w:val="auto"/>
        </w:rPr>
      </w:pPr>
    </w:p>
    <w:p>
      <w:pPr>
        <w:ind w:left="252" w:hanging="252"/>
        <w:spacing w:after="0" w:line="231" w:lineRule="auto"/>
        <w:tabs>
          <w:tab w:leader="none" w:pos="244" w:val="left"/>
        </w:tabs>
        <w:numPr>
          <w:ilvl w:val="0"/>
          <w:numId w:val="65"/>
        </w:numPr>
        <w:rPr>
          <w:rFonts w:ascii="Calibri" w:cs="Calibri" w:eastAsia="Calibri" w:hAnsi="Calibri"/>
          <w:sz w:val="20"/>
          <w:szCs w:val="20"/>
          <w:color w:val="auto"/>
        </w:rPr>
      </w:pPr>
      <w:r>
        <w:rPr>
          <w:rFonts w:ascii="Calibri" w:cs="Calibri" w:eastAsia="Calibri" w:hAnsi="Calibri"/>
          <w:sz w:val="20"/>
          <w:szCs w:val="20"/>
          <w:u w:val="single" w:color="auto"/>
          <w:color w:val="auto"/>
        </w:rPr>
        <w:t>Transactons Outside an In-Force 10b5-1 Plan</w:t>
      </w:r>
      <w:r>
        <w:rPr>
          <w:rFonts w:ascii="Calibri" w:cs="Calibri" w:eastAsia="Calibri" w:hAnsi="Calibri"/>
          <w:sz w:val="20"/>
          <w:szCs w:val="20"/>
          <w:color w:val="auto"/>
        </w:rPr>
        <w:t>. You may not buy Xylem Securites outside of a 10b5-1 Plan while the Plan is in efect. Generally, selling Xylem Securites not otherwise designated in a 10b5-1 Plan while a Plan is in efect is not advised but may be permited upon consultaton with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1"/>
        <w:spacing w:after="0"/>
        <w:rPr>
          <w:sz w:val="20"/>
          <w:szCs w:val="20"/>
          <w:color w:val="auto"/>
        </w:rPr>
      </w:pPr>
      <w:r>
        <w:rPr>
          <w:rFonts w:ascii="Calibri" w:cs="Calibri" w:eastAsia="Calibri" w:hAnsi="Calibri"/>
          <w:sz w:val="20"/>
          <w:szCs w:val="20"/>
          <w:color w:val="auto"/>
        </w:rPr>
        <w:t>13</w:t>
      </w:r>
    </w:p>
    <w:p>
      <w:pPr>
        <w:spacing w:after="0" w:line="53" w:lineRule="exact"/>
        <w:rPr>
          <w:sz w:val="20"/>
          <w:szCs w:val="20"/>
          <w:color w:val="auto"/>
        </w:rPr>
      </w:pPr>
    </w:p>
    <w:p>
      <w:pPr>
        <w:ind w:left="32"/>
        <w:spacing w:after="0"/>
        <w:rPr>
          <w:sz w:val="20"/>
          <w:szCs w:val="20"/>
          <w:color w:val="auto"/>
        </w:rPr>
      </w:pPr>
      <w:r>
        <w:rPr>
          <w:rFonts w:ascii="Calibri" w:cs="Calibri" w:eastAsia="Calibri" w:hAnsi="Calibri"/>
          <w:sz w:val="16"/>
          <w:szCs w:val="16"/>
          <w:color w:val="auto"/>
        </w:rPr>
        <w:t>Printed or electronic copies are uncontrolled</w:t>
      </w:r>
    </w:p>
    <w:p>
      <w:pPr>
        <w:sectPr>
          <w:pgSz w:w="11900" w:h="16838" w:orient="portrait"/>
          <w:cols w:equalWidth="0" w:num="1">
            <w:col w:w="10972"/>
          </w:cols>
          <w:pgMar w:left="328" w:top="141" w:right="599" w:bottom="1440" w:gutter="0" w:footer="0" w:header="0"/>
        </w:sectPr>
      </w:pPr>
    </w:p>
    <w:bookmarkStart w:id="161" w:name="page162"/>
    <w:bookmarkEnd w:id="161"/>
    <w:tbl>
      <w:tblPr>
        <w:tblLayout w:type="fixed"/>
        <w:tblInd w:w="20" w:type="dxa"/>
        <w:tblCellMar>
          <w:top w:w="0" w:type="dxa"/>
          <w:left w:w="0" w:type="dxa"/>
          <w:bottom w:w="0" w:type="dxa"/>
          <w:right w:w="0" w:type="dxa"/>
        </w:tblCellMar>
      </w:tblPr>
      <w:tr>
        <w:trPr>
          <w:trHeight w:val="247"/>
        </w:trPr>
        <w:tc>
          <w:tcPr>
            <w:tcW w:w="48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740" w:type="dxa"/>
            <w:vAlign w:val="bottom"/>
          </w:tcPr>
          <w:p>
            <w:pPr>
              <w:ind w:left="2780"/>
              <w:spacing w:after="0"/>
              <w:rPr>
                <w:sz w:val="20"/>
                <w:szCs w:val="20"/>
                <w:color w:val="auto"/>
              </w:rPr>
            </w:pPr>
            <w:r>
              <w:rPr>
                <w:rFonts w:ascii="Arial" w:cs="Arial" w:eastAsia="Arial" w:hAnsi="Arial"/>
                <w:sz w:val="18"/>
                <w:szCs w:val="18"/>
                <w:b w:val="1"/>
                <w:bCs w:val="1"/>
                <w:color w:val="auto"/>
                <w:w w:val="97"/>
              </w:rPr>
              <w:t>EXHIBIT 21</w:t>
            </w:r>
          </w:p>
        </w:tc>
      </w:tr>
      <w:tr>
        <w:trPr>
          <w:trHeight w:val="459"/>
        </w:trPr>
        <w:tc>
          <w:tcPr>
            <w:tcW w:w="7480" w:type="dxa"/>
            <w:vAlign w:val="bottom"/>
            <w:gridSpan w:val="2"/>
          </w:tcPr>
          <w:p>
            <w:pPr>
              <w:ind w:left="3960"/>
              <w:spacing w:after="0"/>
              <w:rPr>
                <w:sz w:val="20"/>
                <w:szCs w:val="20"/>
                <w:color w:val="auto"/>
              </w:rPr>
            </w:pPr>
            <w:r>
              <w:rPr>
                <w:rFonts w:ascii="Arial" w:cs="Arial" w:eastAsia="Arial" w:hAnsi="Arial"/>
                <w:sz w:val="18"/>
                <w:szCs w:val="18"/>
                <w:b w:val="1"/>
                <w:bCs w:val="1"/>
                <w:color w:val="auto"/>
              </w:rPr>
              <w:t>SUBSIDIARIES OF THE REGISTRANT*</w:t>
            </w:r>
          </w:p>
        </w:tc>
        <w:tc>
          <w:tcPr>
            <w:tcW w:w="3740" w:type="dxa"/>
            <w:vAlign w:val="bottom"/>
          </w:tcPr>
          <w:p>
            <w:pPr>
              <w:spacing w:after="0"/>
              <w:rPr>
                <w:sz w:val="24"/>
                <w:szCs w:val="24"/>
                <w:color w:val="auto"/>
              </w:rPr>
            </w:pPr>
          </w:p>
        </w:tc>
      </w:tr>
      <w:tr>
        <w:trPr>
          <w:trHeight w:val="262"/>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7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Name Under Which Doing Business</w:t>
            </w: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Aanderaa Data Instruments AS</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Norway</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Anadolu Flygt Pompa Pazarlama Ve Ticaret A.Ş.</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Turkey</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AquaTune GmbH</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Germany</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Arrow Rental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Ireland</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ATG Environmental Holdco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ATG Environmental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ATG R&amp;D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ATG UV Technology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Bellingham &amp; Stanley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BS Pumps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Northern Ireland</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CMS Research Corporation</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Alabama</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Finance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Pension Trustees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(Shanghai) Co.,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China</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Canada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Nova Scotia</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Corp.</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GmbH</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Germany</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India Private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India</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Ireland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Ireland</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Canada</w:t>
            </w:r>
          </w:p>
        </w:tc>
        <w:tc>
          <w:tcPr>
            <w:tcW w:w="3740" w:type="dxa"/>
            <w:vAlign w:val="bottom"/>
          </w:tcPr>
          <w:p>
            <w:pPr>
              <w:spacing w:after="0"/>
              <w:rPr>
                <w:sz w:val="22"/>
                <w:szCs w:val="22"/>
                <w:color w:val="auto"/>
              </w:rPr>
            </w:pP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Pte.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Singapore</w:t>
            </w:r>
          </w:p>
        </w:tc>
        <w:tc>
          <w:tcPr>
            <w:tcW w:w="3740" w:type="dxa"/>
            <w:vAlign w:val="bottom"/>
          </w:tcPr>
          <w:p>
            <w:pPr>
              <w:spacing w:after="0"/>
              <w:rPr>
                <w:sz w:val="24"/>
                <w:szCs w:val="24"/>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Pty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Australia</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EWT Holdings II Corp.</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EWT Holdings III Corp.</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Faradyne Motors (Suzhou) Co.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China</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Faradyne Motors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Flow Control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Fluid Handling,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Godwin Holdings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Goulds Water Technology Philippines, Inc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Philippines</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Grindex Pumps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IMT B.V.</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Netherlands</w:t>
            </w:r>
          </w:p>
        </w:tc>
        <w:tc>
          <w:tcPr>
            <w:tcW w:w="3740" w:type="dxa"/>
            <w:vAlign w:val="bottom"/>
          </w:tcPr>
          <w:p>
            <w:pPr>
              <w:spacing w:after="0"/>
              <w:rPr>
                <w:sz w:val="22"/>
                <w:szCs w:val="22"/>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Jabsco Marine Italia s.r.l.</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Italy</w:t>
            </w:r>
          </w:p>
        </w:tc>
        <w:tc>
          <w:tcPr>
            <w:tcW w:w="3740" w:type="dxa"/>
            <w:vAlign w:val="bottom"/>
          </w:tcPr>
          <w:p>
            <w:pPr>
              <w:spacing w:after="0"/>
              <w:rPr>
                <w:sz w:val="22"/>
                <w:szCs w:val="22"/>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Jabsco S. de R.L. De C.V.</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Mexico</w:t>
            </w:r>
          </w:p>
        </w:tc>
        <w:tc>
          <w:tcPr>
            <w:tcW w:w="3740" w:type="dxa"/>
            <w:vAlign w:val="bottom"/>
          </w:tcPr>
          <w:p>
            <w:pPr>
              <w:spacing w:after="0"/>
              <w:rPr>
                <w:sz w:val="22"/>
                <w:szCs w:val="22"/>
                <w:color w:val="auto"/>
              </w:rPr>
            </w:pPr>
          </w:p>
        </w:tc>
      </w:tr>
      <w:tr>
        <w:trPr>
          <w:trHeight w:val="25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Jason Consultants,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r>
    </w:tbl>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240"/>
          </w:cols>
          <w:pgMar w:left="320" w:top="931" w:right="339" w:bottom="1440" w:gutter="0" w:footer="0" w:header="0"/>
        </w:sectPr>
      </w:pPr>
    </w:p>
    <w:bookmarkStart w:id="162" w:name="page163"/>
    <w:bookmarkEnd w:id="162"/>
    <w:tbl>
      <w:tblPr>
        <w:tblLayout w:type="fixed"/>
        <w:tblInd w:w="20" w:type="dxa"/>
        <w:tblCellMar>
          <w:top w:w="0" w:type="dxa"/>
          <w:left w:w="0" w:type="dxa"/>
          <w:bottom w:w="0" w:type="dxa"/>
          <w:right w:w="0" w:type="dxa"/>
        </w:tblCellMar>
      </w:tblPr>
      <w:tr>
        <w:trPr>
          <w:trHeight w:val="261"/>
        </w:trPr>
        <w:tc>
          <w:tcPr>
            <w:tcW w:w="4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Lowara s.r.l. Unipersonale</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Lowara</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Lowara UK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Lowara Vogel Polska SP.ZO.O.</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Poland</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MAGNETO (Suzhou) special anodes Co.,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China</w:t>
            </w:r>
          </w:p>
        </w:tc>
        <w:tc>
          <w:tcPr>
            <w:tcW w:w="3200" w:type="dxa"/>
            <w:vAlign w:val="bottom"/>
          </w:tcPr>
          <w:p>
            <w:pPr>
              <w:spacing w:after="0"/>
              <w:rPr>
                <w:sz w:val="22"/>
                <w:szCs w:val="22"/>
                <w:color w:val="auto"/>
              </w:rPr>
            </w:pPr>
          </w:p>
        </w:tc>
      </w:tr>
      <w:tr>
        <w:trPr>
          <w:trHeight w:val="258"/>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MAGNETO international B.V.</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Netherlands</w:t>
            </w:r>
          </w:p>
        </w:tc>
        <w:tc>
          <w:tcPr>
            <w:tcW w:w="3200" w:type="dxa"/>
            <w:vAlign w:val="bottom"/>
          </w:tcPr>
          <w:p>
            <w:pPr>
              <w:spacing w:after="0"/>
              <w:rPr>
                <w:sz w:val="22"/>
                <w:szCs w:val="22"/>
                <w:color w:val="auto"/>
              </w:rPr>
            </w:pPr>
          </w:p>
        </w:tc>
      </w:tr>
      <w:tr>
        <w:trPr>
          <w:trHeight w:val="283"/>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MAGNETO special anodes B.V.</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Netherlands</w:t>
            </w:r>
          </w:p>
        </w:tc>
        <w:tc>
          <w:tcPr>
            <w:tcW w:w="3200" w:type="dxa"/>
            <w:vAlign w:val="bottom"/>
          </w:tcPr>
          <w:p>
            <w:pPr>
              <w:spacing w:after="0"/>
              <w:rPr>
                <w:sz w:val="24"/>
                <w:szCs w:val="24"/>
                <w:color w:val="auto"/>
              </w:rPr>
            </w:pPr>
          </w:p>
        </w:tc>
      </w:tr>
      <w:tr>
        <w:trPr>
          <w:trHeight w:val="282"/>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MultiTrode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Florida</w:t>
            </w:r>
          </w:p>
        </w:tc>
        <w:tc>
          <w:tcPr>
            <w:tcW w:w="3200" w:type="dxa"/>
            <w:vAlign w:val="bottom"/>
          </w:tcPr>
          <w:p>
            <w:pPr>
              <w:spacing w:after="0"/>
              <w:rPr>
                <w:sz w:val="24"/>
                <w:szCs w:val="24"/>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Multitrode Pty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Queensland</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Neptune Benson,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Nova Analytics Europe, LLC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O.I. Corporation</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Oklahoma</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OI Analytical</w:t>
            </w: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PCI Membrane Systems,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Pension Trustee Management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Pipeline Technologies Philippines Corp</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Philippines</w:t>
            </w:r>
          </w:p>
        </w:tc>
        <w:tc>
          <w:tcPr>
            <w:tcW w:w="3200" w:type="dxa"/>
            <w:vAlign w:val="bottom"/>
          </w:tcPr>
          <w:p>
            <w:pPr>
              <w:spacing w:after="0"/>
              <w:rPr>
                <w:sz w:val="22"/>
                <w:szCs w:val="22"/>
                <w:color w:val="auto"/>
              </w:rPr>
            </w:pPr>
          </w:p>
        </w:tc>
      </w:tr>
      <w:tr>
        <w:trPr>
          <w:trHeight w:val="258"/>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Portacel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Pennsylvania</w:t>
            </w:r>
          </w:p>
        </w:tc>
        <w:tc>
          <w:tcPr>
            <w:tcW w:w="3200" w:type="dxa"/>
            <w:vAlign w:val="bottom"/>
          </w:tcPr>
          <w:p>
            <w:pPr>
              <w:spacing w:after="0"/>
              <w:rPr>
                <w:sz w:val="22"/>
                <w:szCs w:val="22"/>
                <w:color w:val="auto"/>
              </w:rPr>
            </w:pPr>
          </w:p>
        </w:tc>
      </w:tr>
      <w:tr>
        <w:trPr>
          <w:trHeight w:val="283"/>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PT Xylem Water Solutions Indonesia</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Indonesia</w:t>
            </w:r>
          </w:p>
        </w:tc>
        <w:tc>
          <w:tcPr>
            <w:tcW w:w="3200" w:type="dxa"/>
            <w:vAlign w:val="bottom"/>
          </w:tcPr>
          <w:p>
            <w:pPr>
              <w:spacing w:after="0"/>
              <w:rPr>
                <w:sz w:val="24"/>
                <w:szCs w:val="24"/>
                <w:color w:val="auto"/>
              </w:rPr>
            </w:pPr>
          </w:p>
        </w:tc>
      </w:tr>
      <w:tr>
        <w:trPr>
          <w:trHeight w:val="282"/>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 Holding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4"/>
                <w:szCs w:val="24"/>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(China)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Hong Kong</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(UK)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Abu Dhabi</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Canada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Alberta</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Alberta</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U.S.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Wachs Water Services</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PureHM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Alberta</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PureHM U.S.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(UK Holdings) Ltd.</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Canada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Ontario</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Chile SpA</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Chile</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de Mexico, S de RL de CV</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Mexico</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Holdings SAS</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SAS</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GmbH Hannover</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GmbH Ludwigshafen</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Italia S.R.L.</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Maroc SA</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Morocco</w:t>
            </w:r>
          </w:p>
        </w:tc>
        <w:tc>
          <w:tcPr>
            <w:tcW w:w="3200" w:type="dxa"/>
            <w:vAlign w:val="bottom"/>
          </w:tcPr>
          <w:p>
            <w:pPr>
              <w:spacing w:after="0"/>
              <w:rPr>
                <w:sz w:val="22"/>
                <w:szCs w:val="22"/>
                <w:color w:val="auto"/>
              </w:rPr>
            </w:pPr>
          </w:p>
        </w:tc>
      </w:tr>
      <w:tr>
        <w:trPr>
          <w:trHeight w:val="258"/>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2) S.ar.l</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82"/>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3) S.àr.l</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4"/>
                <w:szCs w:val="24"/>
                <w:color w:val="auto"/>
              </w:rPr>
            </w:pPr>
          </w:p>
        </w:tc>
      </w:tr>
      <w:tr>
        <w:trPr>
          <w:trHeight w:val="256"/>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do Brasil Ltda</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Brazil</w:t>
            </w:r>
          </w:p>
        </w:tc>
        <w:tc>
          <w:tcPr>
            <w:tcW w:w="3200" w:type="dxa"/>
            <w:vAlign w:val="bottom"/>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IP Holdings, Inc.</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8"/>
        </w:trPr>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Sensus Polska Sp. z o.o.</w:t>
            </w:r>
          </w:p>
        </w:tc>
        <w:tc>
          <w:tcPr>
            <w:tcW w:w="2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Poland</w:t>
            </w:r>
          </w:p>
        </w:tc>
        <w:tc>
          <w:tcPr>
            <w:tcW w:w="3200" w:type="dxa"/>
            <w:vAlign w:val="bottom"/>
          </w:tcPr>
          <w:p>
            <w:pPr>
              <w:spacing w:after="0"/>
              <w:rPr>
                <w:sz w:val="22"/>
                <w:szCs w:val="22"/>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63" w:name="page164"/>
    <w:bookmarkEnd w:id="163"/>
    <w:tbl>
      <w:tblPr>
        <w:tblLayout w:type="fixed"/>
        <w:tblInd w:w="20" w:type="dxa"/>
        <w:tblCellMar>
          <w:top w:w="0" w:type="dxa"/>
          <w:left w:w="0" w:type="dxa"/>
          <w:bottom w:w="0" w:type="dxa"/>
          <w:right w:w="0" w:type="dxa"/>
        </w:tblCellMar>
      </w:tblPr>
      <w:tr>
        <w:trPr>
          <w:trHeight w:val="261"/>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36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Services Deutschland GmbH</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Slovensko a.s.</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Slovak Republic</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South Africa (Proprietary)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South Africa</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SPA (Algeria)</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Algeria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Spectrum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UK Systems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USA Inc.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Sentec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Smith-Blair, Inc.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Texas Turbine,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Xylem Texas Turbine LLC</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Corporation</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Texas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Tideland Signal,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UGI Global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Water Asset Management, Inc.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Water Process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Water Technologies U.K.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WTG Holdco Australia Pty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Australia</w:t>
            </w:r>
          </w:p>
        </w:tc>
        <w:tc>
          <w:tcPr>
            <w:tcW w:w="3360" w:type="dxa"/>
            <w:vAlign w:val="bottom"/>
          </w:tcPr>
          <w:p>
            <w:pPr>
              <w:spacing w:after="0"/>
              <w:rPr>
                <w:sz w:val="22"/>
                <w:szCs w:val="22"/>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WTG Holdco I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WTG Holdings Cooperatief U.A.</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Netherlands</w:t>
            </w:r>
          </w:p>
        </w:tc>
        <w:tc>
          <w:tcPr>
            <w:tcW w:w="3360" w:type="dxa"/>
            <w:vAlign w:val="bottom"/>
          </w:tcPr>
          <w:p>
            <w:pPr>
              <w:spacing w:after="0"/>
              <w:rPr>
                <w:sz w:val="23"/>
                <w:szCs w:val="23"/>
                <w:color w:val="auto"/>
              </w:rPr>
            </w:pPr>
          </w:p>
        </w:tc>
      </w:tr>
      <w:tr>
        <w:trPr>
          <w:trHeight w:val="26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(Beijing) Technology Co.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3"/>
                <w:szCs w:val="23"/>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(China) Company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(Hong Kong)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Hong Kong</w:t>
            </w:r>
          </w:p>
        </w:tc>
        <w:tc>
          <w:tcPr>
            <w:tcW w:w="3360" w:type="dxa"/>
            <w:vAlign w:val="bottom"/>
          </w:tcPr>
          <w:p>
            <w:pPr>
              <w:spacing w:after="0"/>
              <w:rPr>
                <w:sz w:val="24"/>
                <w:szCs w:val="24"/>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(Nanjing) Co.,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Beijing Co.,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France S.A.S.</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France</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GmbH</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Sales GmbH &amp; Co. KG</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GmbH &amp; Co. KG</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Management GmbH</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UK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Australia Holdings PTY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New South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Brasil Soluções para Água Ltda</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Brazil</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GP ULC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Ontario</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LP</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Ontario</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Česká republika spol. s r.o.</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Czech Republic</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Chihuahua S. de R.L. de C.V.</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Mexico</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China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Cote d’Ivoire</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Ivory Coast</w:t>
            </w:r>
          </w:p>
        </w:tc>
        <w:tc>
          <w:tcPr>
            <w:tcW w:w="3360" w:type="dxa"/>
            <w:vAlign w:val="bottom"/>
          </w:tcPr>
          <w:p>
            <w:pPr>
              <w:spacing w:after="0"/>
              <w:rPr>
                <w:sz w:val="22"/>
                <w:szCs w:val="22"/>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64" w:name="page165"/>
    <w:bookmarkEnd w:id="164"/>
    <w:tbl>
      <w:tblPr>
        <w:tblLayout w:type="fixed"/>
        <w:tblInd w:w="20" w:type="dxa"/>
        <w:tblCellMar>
          <w:top w:w="0" w:type="dxa"/>
          <w:left w:w="0" w:type="dxa"/>
          <w:bottom w:w="0" w:type="dxa"/>
          <w:right w:w="0" w:type="dxa"/>
        </w:tblCellMar>
      </w:tblPr>
      <w:tr>
        <w:trPr>
          <w:trHeight w:val="260"/>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Delaware,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UK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New Jersey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Godwin Pumps of America</w:t>
            </w: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Egypt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Egypt</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Egypt Manufacturing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Egypt</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Europe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Global S.àr.l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Holdings Egypt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Egypt</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Singapore Pte.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Singapore</w:t>
            </w:r>
          </w:p>
        </w:tc>
        <w:tc>
          <w:tcPr>
            <w:tcW w:w="3200" w:type="dxa"/>
            <w:vAlign w:val="bottom"/>
          </w:tcPr>
          <w:p>
            <w:pPr>
              <w:spacing w:after="0"/>
              <w:rPr>
                <w:sz w:val="22"/>
                <w:szCs w:val="22"/>
                <w:color w:val="auto"/>
              </w:rPr>
            </w:pPr>
          </w:p>
        </w:tc>
      </w:tr>
      <w:tr>
        <w:trPr>
          <w:trHeight w:val="25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International S.àr.l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8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IP Holdings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4"/>
                <w:szCs w:val="24"/>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IP UK S.àr.l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Israel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Israel</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Japan K.K.</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Japan</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Lowara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Luxembourg 1</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Manufacturing Middle East Region FZCO</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Middle East Water Equipment Trading &amp; Rental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Ontario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Ontario</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Rus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Russian Federation</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Saudi Arabia Limited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Saudi Arabia</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 Hungary Kft</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Hungary</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 Italia Srl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Services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Services USA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South Africa Trust</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South Africa</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1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2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3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4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Vue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Holdings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Services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(Thailand) Co.,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Thailand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Argentina S.R.L.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Argentina</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Australia Limited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New South Wales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Austria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Austria</w:t>
            </w:r>
          </w:p>
        </w:tc>
        <w:tc>
          <w:tcPr>
            <w:tcW w:w="3200" w:type="dxa"/>
            <w:vAlign w:val="bottom"/>
          </w:tcPr>
          <w:p>
            <w:pPr>
              <w:spacing w:after="0"/>
              <w:rPr>
                <w:sz w:val="22"/>
                <w:szCs w:val="22"/>
                <w:color w:val="auto"/>
              </w:rPr>
            </w:pPr>
          </w:p>
        </w:tc>
      </w:tr>
      <w:tr>
        <w:trPr>
          <w:trHeight w:val="25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Belgium BVBA</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Belgium</w:t>
            </w:r>
          </w:p>
        </w:tc>
        <w:tc>
          <w:tcPr>
            <w:tcW w:w="3200" w:type="dxa"/>
            <w:vAlign w:val="bottom"/>
          </w:tcPr>
          <w:p>
            <w:pPr>
              <w:spacing w:after="0"/>
              <w:rPr>
                <w:sz w:val="22"/>
                <w:szCs w:val="22"/>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65" w:name="page166"/>
    <w:bookmarkEnd w:id="165"/>
    <w:tbl>
      <w:tblPr>
        <w:tblLayout w:type="fixed"/>
        <w:tblInd w:w="20" w:type="dxa"/>
        <w:tblCellMar>
          <w:top w:w="0" w:type="dxa"/>
          <w:left w:w="0" w:type="dxa"/>
          <w:bottom w:w="0" w:type="dxa"/>
          <w:right w:w="0" w:type="dxa"/>
        </w:tblCellMar>
      </w:tblPr>
      <w:tr>
        <w:trPr>
          <w:trHeight w:val="260"/>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Chile S.A.</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Chile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Colombia S.A.S.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Colombia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Denmark ApS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Denmark</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Deutschland GmbH</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Flygt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España, S.L.U</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Spain</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Florida LLC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France SAS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Global Services AB</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Sweden</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Herford GmbH</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India Pvt.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India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Ireland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Ireland</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Italia S.r.l.</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Flygt</w:t>
            </w: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Kenya Limited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Kenya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Korea Co.,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South Korea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Magyarorszag KFT</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Hungary</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Malaysia SDN. BHD.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Malaysia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Manufacturing AB</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Sweden</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Metz SAS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Mexico S.de R.L. de C.V.</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Mexico</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Middle East Region FZCO</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Muscat Co. LLC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Oman</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Nederland BV</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Netherlands</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Flygt</w:t>
            </w: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New Zealand Limited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New Zealand</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Norge 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Norway</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Panama s.r.l.</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Panama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Peru S.A.</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Peru</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Polska Sp.z.o.o.</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Poland</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Portugal Unipessoal Lda.</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Portugal</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Romania SRL</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Romania</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Rugby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Singapore PTE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Singapore</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South Africa (Pty)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South Africa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Suomi Oy</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Finland</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Sweden AB</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Sweden</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U.S.A., Inc.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Holdings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Zelienople LLC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Solutions(Shenyang) CO.,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(California), Inc.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California</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Hungary KFT</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Hungary</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International, Inc.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Philippines Holding, Inc.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66" w:name="page167"/>
    <w:bookmarkEnd w:id="166"/>
    <w:tbl>
      <w:tblPr>
        <w:tblLayout w:type="fixed"/>
        <w:tblInd w:w="20" w:type="dxa"/>
        <w:tblCellMar>
          <w:top w:w="0" w:type="dxa"/>
          <w:left w:w="0" w:type="dxa"/>
          <w:bottom w:w="0" w:type="dxa"/>
          <w:right w:w="0" w:type="dxa"/>
        </w:tblCellMar>
      </w:tblPr>
      <w:tr>
        <w:trPr>
          <w:trHeight w:val="260"/>
        </w:trPr>
        <w:tc>
          <w:tcPr>
            <w:tcW w:w="4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620" w:type="dxa"/>
            <w:vAlign w:val="bottom"/>
          </w:tcPr>
          <w:p>
            <w:pPr>
              <w:ind w:left="108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56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Texas Holdings LLC</w:t>
            </w:r>
          </w:p>
        </w:tc>
        <w:tc>
          <w:tcPr>
            <w:tcW w:w="262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Delaware</w:t>
            </w:r>
          </w:p>
        </w:tc>
        <w:tc>
          <w:tcPr>
            <w:tcW w:w="3560" w:type="dxa"/>
            <w:vAlign w:val="bottom"/>
          </w:tcPr>
          <w:p>
            <w:pPr>
              <w:spacing w:after="0"/>
              <w:rPr>
                <w:sz w:val="22"/>
                <w:szCs w:val="22"/>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U.S.A., LLC</w:t>
            </w:r>
          </w:p>
        </w:tc>
        <w:tc>
          <w:tcPr>
            <w:tcW w:w="262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Delaware</w:t>
            </w:r>
          </w:p>
        </w:tc>
        <w:tc>
          <w:tcPr>
            <w:tcW w:w="3560" w:type="dxa"/>
            <w:vAlign w:val="bottom"/>
          </w:tcPr>
          <w:p>
            <w:pPr>
              <w:spacing w:after="0"/>
              <w:rPr>
                <w:sz w:val="22"/>
                <w:szCs w:val="22"/>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YSI (China) Limited</w:t>
            </w:r>
          </w:p>
        </w:tc>
        <w:tc>
          <w:tcPr>
            <w:tcW w:w="262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Hong Kong</w:t>
            </w:r>
          </w:p>
        </w:tc>
        <w:tc>
          <w:tcPr>
            <w:tcW w:w="3560" w:type="dxa"/>
            <w:vAlign w:val="bottom"/>
          </w:tcPr>
          <w:p>
            <w:pPr>
              <w:spacing w:after="0"/>
              <w:rPr>
                <w:sz w:val="22"/>
                <w:szCs w:val="22"/>
                <w:color w:val="auto"/>
              </w:rPr>
            </w:pPr>
          </w:p>
        </w:tc>
      </w:tr>
      <w:tr>
        <w:trPr>
          <w:trHeight w:val="256"/>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YSI Incorporated</w:t>
            </w:r>
          </w:p>
        </w:tc>
        <w:tc>
          <w:tcPr>
            <w:tcW w:w="262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Ohio</w:t>
            </w:r>
          </w:p>
        </w:tc>
        <w:tc>
          <w:tcPr>
            <w:tcW w:w="3560" w:type="dxa"/>
            <w:vAlign w:val="bottom"/>
          </w:tcPr>
          <w:p>
            <w:pPr>
              <w:spacing w:after="0"/>
              <w:rPr>
                <w:sz w:val="22"/>
                <w:szCs w:val="22"/>
                <w:color w:val="auto"/>
              </w:rPr>
            </w:pPr>
          </w:p>
        </w:tc>
      </w:tr>
      <w:tr>
        <w:trPr>
          <w:trHeight w:val="258"/>
        </w:trPr>
        <w:tc>
          <w:tcPr>
            <w:tcW w:w="4540" w:type="dxa"/>
            <w:vAlign w:val="bottom"/>
          </w:tcPr>
          <w:p>
            <w:pPr>
              <w:spacing w:after="0"/>
              <w:rPr>
                <w:sz w:val="20"/>
                <w:szCs w:val="20"/>
                <w:color w:val="auto"/>
              </w:rPr>
            </w:pPr>
            <w:r>
              <w:rPr>
                <w:rFonts w:ascii="Times New Roman" w:cs="Times New Roman" w:eastAsia="Times New Roman" w:hAnsi="Times New Roman"/>
                <w:sz w:val="20"/>
                <w:szCs w:val="20"/>
                <w:color w:val="auto"/>
              </w:rPr>
              <w:t>YSI International, Inc.</w:t>
            </w:r>
          </w:p>
        </w:tc>
        <w:tc>
          <w:tcPr>
            <w:tcW w:w="262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Ohio</w:t>
            </w:r>
          </w:p>
        </w:tc>
        <w:tc>
          <w:tcPr>
            <w:tcW w:w="3560" w:type="dxa"/>
            <w:vAlign w:val="bottom"/>
          </w:tcPr>
          <w:p>
            <w:pPr>
              <w:spacing w:after="0"/>
              <w:rPr>
                <w:sz w:val="22"/>
                <w:szCs w:val="22"/>
                <w:color w:val="auto"/>
              </w:rPr>
            </w:pPr>
          </w:p>
        </w:tc>
      </w:tr>
    </w:tbl>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 333-273653 on Form S-3 and Registration Statement No. 333-272165, 333-272166 and No. 333-268476 on Form S-8 of our reports dated March 3, 2025, relating to the financial statements of Xylem Inc. and the effectiveness of Xylem Inc.’s internal control over financial reporting appearing in this Annual Report on Form 10-K for the year ended December 31,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 2025</w:t>
      </w:r>
    </w:p>
    <w:p>
      <w:pPr>
        <w:sectPr>
          <w:pgSz w:w="11900" w:h="16838" w:orient="portrait"/>
          <w:cols w:equalWidth="0" w:num="1">
            <w:col w:w="11240"/>
          </w:cols>
          <w:pgMar w:left="320" w:top="890"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2025</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25971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F. Pine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580" w:hanging="332"/>
        <w:spacing w:after="0" w:line="318"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7"/>
          <w:szCs w:val="17"/>
          <w:color w:val="auto"/>
        </w:rPr>
      </w:pPr>
    </w:p>
    <w:p>
      <w:pPr>
        <w:ind w:left="660" w:right="280" w:hanging="328"/>
        <w:spacing w:after="0" w:line="287" w:lineRule="auto"/>
        <w:tabs>
          <w:tab w:leader="none" w:pos="6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2025</w:t>
      </w:r>
    </w:p>
    <w:p>
      <w:pPr>
        <w:spacing w:after="0" w:line="1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17780</wp:posOffset>
            </wp:positionV>
            <wp:extent cx="34290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William K. Grogan</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Senior Vice President, Chief Financial Officer</w:t>
      </w:r>
    </w:p>
    <w:p>
      <w:pPr>
        <w:sectPr>
          <w:pgSz w:w="11900" w:h="16838" w:orient="portrait"/>
          <w:cols w:equalWidth="0" w:num="1">
            <w:col w:w="11240"/>
          </w:cols>
          <w:pgMar w:left="320" w:top="890" w:right="339" w:bottom="1440" w:gutter="0" w:footer="0" w:header="0"/>
        </w:sectPr>
      </w:pPr>
    </w:p>
    <w:bookmarkStart w:id="170" w:name="page171"/>
    <w:bookmarkEnd w:id="1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2024 as filed with the Securities and Exchange Commission on the date hereof (the “Report”), each of the undersigned officers of the Company, certifies, pursuant to 18 U.S.C. 1350, as adopted pursuant to 906 of the Sarbanes-Oxley Act of 2002, to his knowledge, that:</w:t>
      </w:r>
    </w:p>
    <w:p>
      <w:pPr>
        <w:spacing w:after="0" w:line="63"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31203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 2025</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 2025</w:t>
      </w:r>
    </w:p>
    <w:p>
      <w:pPr>
        <w:spacing w:after="0" w:line="9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lowerLetter"/>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lvl w:ilvl="1">
      <w:lvlJc w:val="left"/>
      <w:lvlText w:val="(%2)"/>
      <w:numFmt w:val="lowerLetter"/>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1"/>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1)"/>
      <w:numFmt w:val="lowerLetter"/>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lowerLetter"/>
      <w:start w:val="1"/>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1"/>
    </w:lvl>
    <w:lvl w:ilvl="1">
      <w:lvlJc w:val="left"/>
      <w:lvlText w:val="(%2)"/>
      <w:numFmt w:val="decimal"/>
      <w:start w:val="2"/>
    </w:lvl>
  </w:abstractNum>
  <w:abstractNum w:abstractNumId="40">
    <w:nsid w:val="4F4EF005"/>
    <w:multiLevelType w:val="hybridMultilevel"/>
    <w:lvl w:ilvl="0">
      <w:lvlJc w:val="left"/>
      <w:lvlText w:val="%1"/>
      <w:numFmt w:val="decimal"/>
      <w:start w:val="97"/>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decimal"/>
      <w:start w:val="1"/>
    </w:lvl>
    <w:lvl w:ilvl="1">
      <w:lvlJc w:val="left"/>
      <w:lvlText w:val="%2)"/>
      <w:numFmt w:val="lowerLetter"/>
      <w:start w:val="1"/>
    </w:lvl>
  </w:abstractNum>
  <w:abstractNum w:abstractNumId="44">
    <w:nsid w:val="39386575"/>
    <w:multiLevelType w:val="hybridMultilevel"/>
    <w:lvl w:ilvl="0">
      <w:lvlJc w:val="left"/>
      <w:lvlText w:val="%1"/>
      <w:numFmt w:val="decimal"/>
      <w:start w:val="1"/>
    </w:lvl>
    <w:lvl w:ilvl="1">
      <w:lvlJc w:val="left"/>
      <w:lvlText w:val="%2)"/>
      <w:numFmt w:val="lowerLetter"/>
      <w:start w:val="5"/>
    </w:lvl>
  </w:abstractNum>
  <w:abstractNum w:abstractNumId="45">
    <w:nsid w:val="1CF10FD8"/>
    <w:multiLevelType w:val="hybridMultilevel"/>
    <w:lvl w:ilvl="0">
      <w:lvlJc w:val="left"/>
      <w:lvlText w:val="%1."/>
      <w:numFmt w:val="decimal"/>
      <w:start w:val="3"/>
    </w:lvl>
    <w:lvl w:ilvl="1">
      <w:lvlJc w:val="left"/>
      <w:lvlText w:val="%2)"/>
      <w:numFmt w:val="lowerLetter"/>
      <w:start w:val="1"/>
    </w:lvl>
  </w:abstractNum>
  <w:abstractNum w:abstractNumId="46">
    <w:nsid w:val="180115BE"/>
    <w:multiLevelType w:val="hybridMultilevel"/>
    <w:lvl w:ilvl="0">
      <w:lvlJc w:val="left"/>
      <w:lvlText w:val="%1."/>
      <w:numFmt w:val="decimal"/>
      <w:start w:val="8"/>
    </w:lvl>
  </w:abstractNum>
  <w:abstractNum w:abstractNumId="47">
    <w:nsid w:val="235BA8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8">
    <w:nsid w:val="47398C89"/>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9">
    <w:nsid w:val="354FE9F9"/>
    <w:multiLevelType w:val="hybridMultilevel"/>
    <w:lvl w:ilvl="0">
      <w:lvlJc w:val="left"/>
      <w:lvlText w:val="%1."/>
      <w:numFmt w:val="decimal"/>
      <w:start w:val="3"/>
    </w:lvl>
    <w:lvl w:ilvl="1">
      <w:lvlJc w:val="left"/>
      <w:lvlText w:val="%2."/>
      <w:numFmt w:val="lowerLetter"/>
      <w:start w:val="1"/>
    </w:lvl>
  </w:abstractNum>
  <w:abstractNum w:abstractNumId="50">
    <w:nsid w:val="15B5AF5C"/>
    <w:multiLevelType w:val="hybridMultilevel"/>
    <w:lvl w:ilvl="0">
      <w:lvlJc w:val="left"/>
      <w:lvlText w:val="%1."/>
      <w:numFmt w:val="lowerLetter"/>
      <w:start w:val="2"/>
    </w:lvl>
    <w:lvl w:ilvl="1">
      <w:lvlJc w:val="left"/>
      <w:lvlText w:val="%2."/>
      <w:numFmt w:val="lowerLetter"/>
      <w:start w:val="9"/>
    </w:lvl>
  </w:abstractNum>
  <w:abstractNum w:abstractNumId="51">
    <w:nsid w:val="741226BB"/>
    <w:multiLevelType w:val="hybridMultilevel"/>
    <w:lvl w:ilvl="0">
      <w:lvlJc w:val="left"/>
      <w:lvlText w:val="%1."/>
      <w:numFmt w:val="lowerRoman"/>
      <w:start w:val="2"/>
    </w:lvl>
  </w:abstractNum>
  <w:abstractNum w:abstractNumId="52">
    <w:nsid w:val="D34B6A8"/>
    <w:multiLevelType w:val="hybridMultilevel"/>
    <w:lvl w:ilvl="0">
      <w:lvlJc w:val="left"/>
      <w:lvlText w:val="%1."/>
      <w:numFmt w:val="decimal"/>
      <w:start w:val="6"/>
    </w:lvl>
  </w:abstractNum>
  <w:abstractNum w:abstractNumId="53">
    <w:nsid w:val="10233C99"/>
    <w:multiLevelType w:val="hybridMultilevel"/>
    <w:lvl w:ilvl="0">
      <w:lvlJc w:val="left"/>
      <w:lvlText w:val="%1."/>
      <w:numFmt w:val="decimal"/>
      <w:start w:val="1"/>
    </w:lvl>
    <w:lvl w:ilvl="1">
      <w:lvlJc w:val="left"/>
      <w:lvlText w:val="%2."/>
      <w:numFmt w:val="lowerLetter"/>
      <w:start w:val="1"/>
    </w:lvl>
  </w:abstractNum>
  <w:abstractNum w:abstractNumId="54">
    <w:nsid w:val="3F6AB60F"/>
    <w:multiLevelType w:val="hybridMultilevel"/>
    <w:lvl w:ilvl="0">
      <w:lvlJc w:val="left"/>
      <w:lvlText w:val="%1"/>
      <w:numFmt w:val="decimal"/>
      <w:start w:val="1"/>
    </w:lvl>
    <w:lvl w:ilvl="1">
      <w:lvlJc w:val="left"/>
      <w:lvlText w:val="%2."/>
      <w:numFmt w:val="lowerLetter"/>
      <w:start w:val="3"/>
    </w:lvl>
  </w:abstractNum>
  <w:abstractNum w:abstractNumId="55">
    <w:nsid w:val="61574095"/>
    <w:multiLevelType w:val="hybridMultilevel"/>
    <w:lvl w:ilvl="0">
      <w:lvlJc w:val="left"/>
      <w:lvlText w:val="%1."/>
      <w:numFmt w:val="decimal"/>
      <w:start w:val="4"/>
    </w:lvl>
    <w:lvl w:ilvl="1">
      <w:lvlJc w:val="left"/>
      <w:lvlText w:val="%2"/>
      <w:numFmt w:val="lowerLetter"/>
      <w:start w:val="1"/>
    </w:lvl>
  </w:abstractNum>
  <w:abstractNum w:abstractNumId="56">
    <w:nsid w:val="7E0C57B1"/>
    <w:multiLevelType w:val="hybridMultilevel"/>
    <w:lvl w:ilvl="0">
      <w:lvlJc w:val="left"/>
      <w:lvlText w:val="%1."/>
      <w:numFmt w:val="decimal"/>
      <w:start w:val="5"/>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lvl w:ilvl="1">
      <w:lvlJc w:val="left"/>
      <w:lvlText w:val="%2."/>
      <w:numFmt w:val="lowerLetter"/>
      <w:start w:val="1"/>
    </w:lvl>
  </w:abstractNum>
  <w:abstractNum w:abstractNumId="62">
    <w:nsid w:val="25A70BF7"/>
    <w:multiLevelType w:val="hybridMultilevel"/>
    <w:lvl w:ilvl="0">
      <w:lvlJc w:val="left"/>
      <w:lvlText w:val="%1"/>
      <w:numFmt w:val="decimal"/>
      <w:start w:val="1"/>
    </w:lvl>
    <w:lvl w:ilvl="1">
      <w:lvlJc w:val="left"/>
      <w:lvlText w:val="%2."/>
      <w:numFmt w:val="lowerLetter"/>
      <w:start w:val="6"/>
    </w:lvl>
  </w:abstractNum>
  <w:abstractNum w:abstractNumId="63">
    <w:nsid w:val="1DBABF00"/>
    <w:multiLevelType w:val="hybridMultilevel"/>
    <w:lvl w:ilvl="0">
      <w:lvlJc w:val="left"/>
      <w:lvlText w:val="%1."/>
      <w:numFmt w:val="decimal"/>
      <w:start w:val="5"/>
    </w:lvl>
    <w:lvl w:ilvl="1">
      <w:lvlJc w:val="left"/>
      <w:lvlText w:val="%2."/>
      <w:numFmt w:val="lowerLetter"/>
      <w:start w:val="1"/>
    </w:lvl>
  </w:abstractNum>
  <w:abstractNum w:abstractNumId="64">
    <w:nsid w:val="4AD084E9"/>
    <w:multiLevelType w:val="hybridMultilevel"/>
    <w:lvl w:ilvl="0">
      <w:lvlJc w:val="left"/>
      <w:lvlText w:val="%1."/>
      <w:numFmt w:val="decimal"/>
      <w:start w:val="8"/>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68"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jpeg"/><Relationship Id="rId207" Type="http://schemas.openxmlformats.org/officeDocument/2006/relationships/image" Target="media/image159.png"/><Relationship Id="rId208" Type="http://schemas.openxmlformats.org/officeDocument/2006/relationships/image" Target="media/image160.jpe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jpeg"/><Relationship Id="rId212" Type="http://schemas.openxmlformats.org/officeDocument/2006/relationships/image" Target="media/image164.jpeg"/><Relationship Id="rId213" Type="http://schemas.openxmlformats.org/officeDocument/2006/relationships/image" Target="media/image165.jpeg"/><Relationship Id="rId214" Type="http://schemas.openxmlformats.org/officeDocument/2006/relationships/image" Target="media/image166.jpeg"/><Relationship Id="rId215" Type="http://schemas.openxmlformats.org/officeDocument/2006/relationships/image" Target="media/image167.jpeg"/><Relationship Id="rId216" Type="http://schemas.openxmlformats.org/officeDocument/2006/relationships/image" Target="media/image168.jpeg"/><Relationship Id="rId217" Type="http://schemas.openxmlformats.org/officeDocument/2006/relationships/image" Target="media/image169.png"/><Relationship Id="rId218" Type="http://schemas.openxmlformats.org/officeDocument/2006/relationships/image" Target="media/image170.jpeg"/><Relationship Id="rId219" Type="http://schemas.openxmlformats.org/officeDocument/2006/relationships/image" Target="media/image171.jpeg"/><Relationship Id="rId220" Type="http://schemas.openxmlformats.org/officeDocument/2006/relationships/image" Target="media/image172.jpeg"/><Relationship Id="rId221" Type="http://schemas.openxmlformats.org/officeDocument/2006/relationships/image" Target="media/image173.jpeg"/><Relationship Id="rId222" Type="http://schemas.openxmlformats.org/officeDocument/2006/relationships/image" Target="media/image174.jpeg"/><Relationship Id="rId223" Type="http://schemas.openxmlformats.org/officeDocument/2006/relationships/image" Target="media/image175.jpeg"/><Relationship Id="rId224" Type="http://schemas.openxmlformats.org/officeDocument/2006/relationships/image" Target="media/image176.jpeg"/><Relationship Id="rId225" Type="http://schemas.openxmlformats.org/officeDocument/2006/relationships/image" Target="media/image177.jpeg"/><Relationship Id="rId226" Type="http://schemas.openxmlformats.org/officeDocument/2006/relationships/image" Target="media/image178.jpe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158" Type="http://schemas.openxmlformats.org/officeDocument/2006/relationships/hyperlink" Target="https://www.sec.gov/Archives/edgar/data/1524472/000152447217000027/a8-k31xcharter.htm" TargetMode="External"/><Relationship Id="rId159" Type="http://schemas.openxmlformats.org/officeDocument/2006/relationships/hyperlink" Target="https://www.sec.gov/Archives/edgar/data/1524472/000152447222000055/xyl11102022ex31.htm" TargetMode="External"/><Relationship Id="rId160" Type="http://schemas.openxmlformats.org/officeDocument/2006/relationships/hyperlink" Target="https://www.sec.gov/Archives/edgar/data/1524472/000152447223000009/xyl12312022ex41.htm" TargetMode="External"/><Relationship Id="rId161" Type="http://schemas.openxmlformats.org/officeDocument/2006/relationships/hyperlink" Target="https://www.sec.gov/Archives/edgar/data/216228/000095012311085776/y92722exv4w2.htm" TargetMode="External"/><Relationship Id="rId162" Type="http://schemas.openxmlformats.org/officeDocument/2006/relationships/hyperlink" Target="https://www.sec.gov/Archives/edgar/data/1524472/000119312516501188/d161514dex41.htm" TargetMode="External"/><Relationship Id="rId163" Type="http://schemas.openxmlformats.org/officeDocument/2006/relationships/hyperlink" Target="https://www.sec.gov/Archives/edgar/data/1524472/000119312516501188/d161514dex42.htm" TargetMode="External"/><Relationship Id="rId164" Type="http://schemas.openxmlformats.org/officeDocument/2006/relationships/hyperlink" Target="https://www.sec.gov/Archives/edgar/data/1524472/000119312516735781/d271767dex41.htm" TargetMode="External"/><Relationship Id="rId165" Type="http://schemas.openxmlformats.org/officeDocument/2006/relationships/hyperlink" Target="https://www.sec.gov/Archives/edgar/data/1524472/000119312520180917/d913118dex41.htm" TargetMode="External"/><Relationship Id="rId166" Type="http://schemas.openxmlformats.org/officeDocument/2006/relationships/hyperlink" Target="https://www.sec.gov/Archives/edgar/data/1524472/000152447216000027/xyl12312015ex106.htm" TargetMode="External"/><Relationship Id="rId167" Type="http://schemas.openxmlformats.org/officeDocument/2006/relationships/hyperlink" Target="https://www.sec.gov/Archives/edgar/data/1524472/000152447213000011/xyl06302013ex101.htm" TargetMode="External"/><Relationship Id="rId169" Type="http://schemas.openxmlformats.org/officeDocument/2006/relationships/hyperlink" Target="https://www.sec.gov/Archives/edgar/data/1524472/000095012311099774/y93003exv10w11.htm" TargetMode="External"/><Relationship Id="rId170" Type="http://schemas.openxmlformats.org/officeDocument/2006/relationships/hyperlink" Target="https://www.sec.gov/Archives/edgar/data/1524472/000152447217000008/xyl12312016ex1012.htm" TargetMode="External"/><Relationship Id="rId171" Type="http://schemas.openxmlformats.org/officeDocument/2006/relationships/hyperlink" Target="https://www.sec.gov/Archives/edgar/data/1524472/000152447222000034/xyl06302022ex101.htm" TargetMode="External"/><Relationship Id="rId172" Type="http://schemas.openxmlformats.org/officeDocument/2006/relationships/hyperlink" Target="https://www.sec.gov/Archives/edgar/data/1524472/000152447216000027/xyl12312015ex1015.htm" TargetMode="External"/><Relationship Id="rId173" Type="http://schemas.openxmlformats.org/officeDocument/2006/relationships/hyperlink" Target="https://www.sec.gov/Archives/edgar/data/1524472/000152447217000039/xyl06302017ex101.htm" TargetMode="External"/><Relationship Id="rId174" Type="http://schemas.openxmlformats.org/officeDocument/2006/relationships/hyperlink" Target="https://www.sec.gov/Archives/edgar/data/1524472/000152447221000012/xyl03312021ex103.htm" TargetMode="External"/><Relationship Id="rId175" Type="http://schemas.openxmlformats.org/officeDocument/2006/relationships/hyperlink" Target="https://www.sec.gov/Archives/edgar/data/1524472/000152447221000012/xyl03312021ex106.htm" TargetMode="External"/><Relationship Id="rId176" Type="http://schemas.openxmlformats.org/officeDocument/2006/relationships/hyperlink" Target="https://www.sec.gov/Archives/edgar/data/1524472/000152447222000017/xyl03312022ex101.htm" TargetMode="External"/><Relationship Id="rId177" Type="http://schemas.openxmlformats.org/officeDocument/2006/relationships/hyperlink" Target="https://www.sec.gov/Archives/edgar/data/1524472/000152447222000017/xyl03312022ex102.htm" TargetMode="External"/><Relationship Id="rId178" Type="http://schemas.openxmlformats.org/officeDocument/2006/relationships/hyperlink" Target="https://www.sec.gov/Archives/edgar/data/1524472/000095012311099774/y93003exv10w13.htm" TargetMode="External"/><Relationship Id="rId179" Type="http://schemas.openxmlformats.org/officeDocument/2006/relationships/hyperlink" Target="https://www.sec.gov/Archives/edgar/data/1524472/000152447215000015/xyl06302015ex101.htm" TargetMode="External"/><Relationship Id="rId180" Type="http://schemas.openxmlformats.org/officeDocument/2006/relationships/hyperlink" Target="https://www.sec.gov/Archives/edgar/data/1524472/000152447223000018/xyl03312023ex103.htm" TargetMode="External"/><Relationship Id="rId181" Type="http://schemas.openxmlformats.org/officeDocument/2006/relationships/hyperlink" Target="https://www.sec.gov/Archives/edgar/data/1524472/000152447223000018/xyl03312023ex104.htm" TargetMode="External"/><Relationship Id="rId182" Type="http://schemas.openxmlformats.org/officeDocument/2006/relationships/hyperlink" Target="https://www.sec.gov/Archives/edgar/data/1524472/000152447223000018/xyl03312023ex105.htm" TargetMode="External"/><Relationship Id="rId183" Type="http://schemas.openxmlformats.org/officeDocument/2006/relationships/hyperlink" Target="https://www.sec.gov/Archives/edgar/data/1524472/000152447224000015/a102-2024nqgrantagreementf.htm" TargetMode="External"/><Relationship Id="rId184" Type="http://schemas.openxmlformats.org/officeDocument/2006/relationships/hyperlink" Target="https://www.sec.gov/Archives/edgar/data/1524472/000152447224000015/a103-2024nqgrantagreementf.htm" TargetMode="External"/><Relationship Id="rId185" Type="http://schemas.openxmlformats.org/officeDocument/2006/relationships/hyperlink" Target="https://www.sec.gov/Archives/edgar/data/1524472/000152447224000015/a104-2024psugrantagreement.htm" TargetMode="External"/><Relationship Id="rId188" Type="http://schemas.openxmlformats.org/officeDocument/2006/relationships/hyperlink" Target="https://www.sec.gov/Archives/edgar/data/1524472/000152447224000015/a105-2024psugrantagreement.htm" TargetMode="External"/><Relationship Id="rId189" Type="http://schemas.openxmlformats.org/officeDocument/2006/relationships/hyperlink" Target="https://www.sec.gov/Archives/edgar/data/1524472/000152447224000015/a106-2024rsugrantagreement.htm" TargetMode="External"/><Relationship Id="rId190" Type="http://schemas.openxmlformats.org/officeDocument/2006/relationships/hyperlink" Target="https://www.sec.gov/Archives/edgar/data/1524472/000152447224000015/a107-2024rsugrantagreement.htm" TargetMode="External"/><Relationship Id="rId191" Type="http://schemas.openxmlformats.org/officeDocument/2006/relationships/hyperlink" Target="https://www.sec.gov/Archives/edgar/data/1604643/000160464320000018/exhibit101amendedandrestat.htm" TargetMode="External"/><Relationship Id="rId192" Type="http://schemas.openxmlformats.org/officeDocument/2006/relationships/hyperlink" Target="https://www.sec.gov/Archives/edgar/data/1604643/000160464322000024/formrsuawardex102toq1fy22.htm" TargetMode="External"/><Relationship Id="rId193" Type="http://schemas.openxmlformats.org/officeDocument/2006/relationships/hyperlink" Target="https://www.sec.gov/Archives/edgar/data/1604643/000160464322000024/formpsuawardex103toq1fy22.htm" TargetMode="External"/><Relationship Id="rId194" Type="http://schemas.openxmlformats.org/officeDocument/2006/relationships/hyperlink" Target="https://www.sec.gov/Archives/edgar/data/1524472/000152447221000008/xyl12312020ex1020.htm" TargetMode="External"/><Relationship Id="rId195" Type="http://schemas.openxmlformats.org/officeDocument/2006/relationships/hyperlink" Target="https://www.sec.gov/Archives/edgar/data/1524472/000152447221000008/xyl12312020ex1023.htm" TargetMode="External"/><Relationship Id="rId196" Type="http://schemas.openxmlformats.org/officeDocument/2006/relationships/hyperlink" Target="https://www.sec.gov/Archives/edgar/data/1524472/000152447221000012/xyl03312021ex102.htm" TargetMode="External"/><Relationship Id="rId197" Type="http://schemas.openxmlformats.org/officeDocument/2006/relationships/hyperlink" Target="https://www.sec.gov/Archives/edgar/data/1524472/000152447223000018/xyl03312023ex101.htm" TargetMode="External"/><Relationship Id="rId198" Type="http://schemas.openxmlformats.org/officeDocument/2006/relationships/hyperlink" Target="https://www.sec.gov/Archives/edgar/data/1524472/000152447224000006/xyl12312023ex1033.htm" TargetMode="External"/><Relationship Id="rId199" Type="http://schemas.openxmlformats.org/officeDocument/2006/relationships/hyperlink" Target="https://www.sec.gov/Archives/edgar/data/1524472/000152447223000041/xyl09302023103.htm" TargetMode="External"/><Relationship Id="rId200" Type="http://schemas.openxmlformats.org/officeDocument/2006/relationships/hyperlink" Target="https://www.sec.gov/Archives/edgar/data/1524472/000152447224000040/xyl10152024ex101.htm" TargetMode="External"/><Relationship Id="rId201" Type="http://schemas.openxmlformats.org/officeDocument/2006/relationships/hyperlink" Target="https://www.sec.gov/Archives/edgar/data/1524472/000152447223000012/exhibit101five-yearrevolv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2025-03-03T11:19:46Z</dcterms:created>
  <dcterms:modified xsi:type="dcterms:W3CDTF">2025-03-03T11:19:46Z</dcterms:modified>
</cp:coreProperties>
</file>