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333-273653</w:t>
      </w:r>
    </w:p>
    <w:p>
      <w:pPr>
        <w:sectPr>
          <w:pgSz w:w="11900" w:h="16838" w:orient="portrait"/>
          <w:cols w:equalWidth="0" w:num="1">
            <w:col w:w="11140"/>
          </w:cols>
          <w:pgMar w:left="320" w:top="225" w:right="439" w:bottom="918" w:gutter="0" w:footer="0" w:header="0"/>
        </w:sectPr>
      </w:pPr>
    </w:p>
    <w:p>
      <w:pPr>
        <w:spacing w:after="0" w:line="200" w:lineRule="exact"/>
        <w:rPr>
          <w:sz w:val="24"/>
          <w:szCs w:val="24"/>
          <w:color w:val="auto"/>
        </w:rPr>
      </w:pPr>
    </w:p>
    <w:p>
      <w:pPr>
        <w:spacing w:after="0" w:line="314" w:lineRule="exact"/>
        <w:rPr>
          <w:sz w:val="24"/>
          <w:szCs w:val="24"/>
          <w:color w:val="auto"/>
        </w:rPr>
      </w:pPr>
    </w:p>
    <w:tbl>
      <w:tblPr>
        <w:tblLayout w:type="fixed"/>
        <w:tblInd w:w="120" w:type="dxa"/>
        <w:tblCellMar>
          <w:top w:w="0" w:type="dxa"/>
          <w:left w:w="0" w:type="dxa"/>
          <w:bottom w:w="0" w:type="dxa"/>
          <w:right w:w="0" w:type="dxa"/>
        </w:tblCellMar>
      </w:tblPr>
      <w:tr>
        <w:trPr>
          <w:trHeight w:val="3160"/>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rPr>
              <w:t>be changed. This preliminary prospectus</w:t>
            </w:r>
          </w:p>
        </w:tc>
        <w:tc>
          <w:tcPr>
            <w:tcW w:w="320" w:type="dxa"/>
            <w:vAlign w:val="bottom"/>
            <w:textDirection w:val="btLr"/>
          </w:tcPr>
          <w:p>
            <w:pPr>
              <w:ind w:left="44"/>
              <w:spacing w:after="0"/>
              <w:rPr>
                <w:sz w:val="20"/>
                <w:szCs w:val="20"/>
                <w:color w:val="auto"/>
              </w:rPr>
            </w:pPr>
            <w:r>
              <w:rPr>
                <w:rFonts w:ascii="Arial" w:cs="Arial" w:eastAsia="Arial" w:hAnsi="Arial"/>
                <w:sz w:val="14"/>
                <w:szCs w:val="14"/>
                <w:b w:val="1"/>
                <w:bCs w:val="1"/>
                <w:color w:val="FF4338"/>
              </w:rPr>
              <w:t>buy these securities, in any jurisdiction where</w:t>
            </w:r>
          </w:p>
        </w:tc>
      </w:tr>
      <w:tr>
        <w:trPr>
          <w:trHeight w:val="3853"/>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rPr>
              <w:t>the accompanying prospectus is not complete and may</w:t>
            </w:r>
          </w:p>
        </w:tc>
        <w:tc>
          <w:tcPr>
            <w:tcW w:w="320" w:type="dxa"/>
            <w:vAlign w:val="bottom"/>
            <w:textDirection w:val="btLr"/>
          </w:tcPr>
          <w:p>
            <w:pPr>
              <w:ind w:left="44"/>
              <w:spacing w:after="0"/>
              <w:rPr>
                <w:sz w:val="20"/>
                <w:szCs w:val="20"/>
                <w:color w:val="auto"/>
              </w:rPr>
            </w:pPr>
            <w:r>
              <w:rPr>
                <w:rFonts w:ascii="Arial" w:cs="Arial" w:eastAsia="Arial" w:hAnsi="Arial"/>
                <w:sz w:val="14"/>
                <w:szCs w:val="14"/>
                <w:b w:val="1"/>
                <w:bCs w:val="1"/>
                <w:color w:val="FF4338"/>
              </w:rPr>
              <w:t>to sell these securities, and are not soliciting an offer to</w:t>
            </w:r>
          </w:p>
        </w:tc>
      </w:tr>
      <w:tr>
        <w:trPr>
          <w:trHeight w:val="4349"/>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rPr>
              <w:t>The information in this preliminary prospectus supplement and</w:t>
            </w:r>
          </w:p>
        </w:tc>
        <w:tc>
          <w:tcPr>
            <w:tcW w:w="320" w:type="dxa"/>
            <w:vAlign w:val="bottom"/>
            <w:textDirection w:val="btLr"/>
          </w:tcPr>
          <w:p>
            <w:pPr>
              <w:ind w:left="171"/>
              <w:spacing w:after="0"/>
              <w:rPr>
                <w:sz w:val="20"/>
                <w:szCs w:val="20"/>
                <w:color w:val="auto"/>
              </w:rPr>
            </w:pPr>
            <w:r>
              <w:rPr>
                <w:rFonts w:ascii="Arial" w:cs="Arial" w:eastAsia="Arial" w:hAnsi="Arial"/>
                <w:sz w:val="13"/>
                <w:szCs w:val="13"/>
                <w:b w:val="1"/>
                <w:bCs w:val="1"/>
                <w:color w:val="FF4338"/>
                <w:w w:val="74"/>
              </w:rPr>
              <w:t>supplement and the accompanying prospectus are not an offersuchofferorsaleisnotpermitted.</w:t>
            </w:r>
          </w:p>
        </w:tc>
      </w:tr>
    </w:tbl>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4"/>
          <w:szCs w:val="14"/>
          <w:b w:val="1"/>
          <w:bCs w:val="1"/>
          <w:color w:val="FF4338"/>
        </w:rPr>
        <w:t>SUBJECT TO COMPLETION, DATED MAY 19, 2026</w:t>
      </w: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PRELIMINARY PROSPECTUS SUPPLEMENT</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(To Prospectus dated August 3, 2023)</w:t>
      </w:r>
    </w:p>
    <w:p>
      <w:pPr>
        <w:spacing w:after="0" w:line="172"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9"/>
          <w:szCs w:val="29"/>
          <w:b w:val="1"/>
          <w:bCs w:val="1"/>
          <w:color w:val="auto"/>
        </w:rPr>
        <w:t xml:space="preserv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2202815</wp:posOffset>
            </wp:positionH>
            <wp:positionV relativeFrom="paragraph">
              <wp:posOffset>180975</wp:posOffset>
            </wp:positionV>
            <wp:extent cx="149161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9161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36"/>
          <w:szCs w:val="36"/>
          <w:b w:val="1"/>
          <w:bCs w:val="1"/>
          <w:color w:val="auto"/>
        </w:rPr>
        <w:t>Xylem Inc.</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97"/>
        </w:trPr>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w w:val="70"/>
              </w:rPr>
              <w:t>$  </w:t>
            </w:r>
          </w:p>
        </w:tc>
        <w:tc>
          <w:tcPr>
            <w:tcW w:w="260" w:type="dxa"/>
            <w:vAlign w:val="bottom"/>
          </w:tcPr>
          <w:p>
            <w:pPr>
              <w:jc w:val="right"/>
              <w:spacing w:after="0"/>
              <w:rPr>
                <w:sz w:val="20"/>
                <w:szCs w:val="20"/>
                <w:color w:val="auto"/>
              </w:rPr>
            </w:pPr>
            <w:r>
              <w:rPr>
                <w:rFonts w:ascii="Times New Roman" w:cs="Times New Roman" w:eastAsia="Times New Roman" w:hAnsi="Times New Roman"/>
                <w:sz w:val="25"/>
                <w:szCs w:val="25"/>
                <w:b w:val="1"/>
                <w:bCs w:val="1"/>
                <w:color w:val="auto"/>
                <w:w w:val="87"/>
              </w:rPr>
              <w:t> </w:t>
            </w:r>
          </w:p>
        </w:tc>
        <w:tc>
          <w:tcPr>
            <w:tcW w:w="30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3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w w:val="79"/>
              </w:rPr>
              <w:t> </w:t>
            </w:r>
          </w:p>
        </w:tc>
        <w:tc>
          <w:tcPr>
            <w:tcW w:w="12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25"/>
                <w:szCs w:val="25"/>
                <w:b w:val="1"/>
                <w:bCs w:val="1"/>
                <w:color w:val="auto"/>
                <w:w w:val="79"/>
              </w:rPr>
              <w:t> </w:t>
            </w:r>
          </w:p>
        </w:tc>
        <w:tc>
          <w:tcPr>
            <w:tcW w:w="2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74"/>
              </w:rPr>
              <w:t xml:space="preserve">  </w:t>
            </w:r>
          </w:p>
        </w:tc>
        <w:tc>
          <w:tcPr>
            <w:tcW w:w="2620" w:type="dxa"/>
            <w:vAlign w:val="bottom"/>
            <w:gridSpan w:val="5"/>
          </w:tcPr>
          <w:p>
            <w:pPr>
              <w:ind w:left="140"/>
              <w:spacing w:after="0"/>
              <w:rPr>
                <w:sz w:val="20"/>
                <w:szCs w:val="20"/>
                <w:color w:val="auto"/>
              </w:rPr>
            </w:pPr>
            <w:r>
              <w:rPr>
                <w:rFonts w:ascii="Times New Roman" w:cs="Times New Roman" w:eastAsia="Times New Roman" w:hAnsi="Times New Roman"/>
                <w:sz w:val="25"/>
                <w:szCs w:val="25"/>
                <w:b w:val="1"/>
                <w:bCs w:val="1"/>
                <w:color w:val="auto"/>
              </w:rPr>
              <w:t>% Senior Notes due 20</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4"/>
        </w:trPr>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25"/>
                <w:szCs w:val="25"/>
                <w:b w:val="1"/>
                <w:bCs w:val="1"/>
                <w:color w:val="2399BF"/>
              </w:rPr>
              <w:t xml:space="preserve">$ </w:t>
            </w:r>
          </w:p>
        </w:tc>
        <w:tc>
          <w:tcPr>
            <w:tcW w:w="260" w:type="dxa"/>
            <w:vAlign w:val="bottom"/>
          </w:tcPr>
          <w:p>
            <w:pPr>
              <w:jc w:val="right"/>
              <w:spacing w:after="0"/>
              <w:rPr>
                <w:sz w:val="20"/>
                <w:szCs w:val="20"/>
                <w:color w:val="auto"/>
              </w:rPr>
            </w:pPr>
            <w:r>
              <w:rPr>
                <w:rFonts w:ascii="Times New Roman" w:cs="Times New Roman" w:eastAsia="Times New Roman" w:hAnsi="Times New Roman"/>
                <w:sz w:val="25"/>
                <w:szCs w:val="25"/>
                <w:b w:val="1"/>
                <w:bCs w:val="1"/>
                <w:color w:val="2399BF"/>
                <w:w w:val="71"/>
              </w:rPr>
              <w:t> </w:t>
            </w:r>
          </w:p>
        </w:tc>
        <w:tc>
          <w:tcPr>
            <w:tcW w:w="30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2399BF"/>
                <w:w w:val="72"/>
              </w:rPr>
              <w:t> </w:t>
            </w:r>
          </w:p>
        </w:tc>
        <w:tc>
          <w:tcPr>
            <w:tcW w:w="300" w:type="dxa"/>
            <w:vAlign w:val="bottom"/>
          </w:tcPr>
          <w:p>
            <w:pPr>
              <w:ind w:left="80"/>
              <w:spacing w:after="0"/>
              <w:rPr>
                <w:sz w:val="20"/>
                <w:szCs w:val="20"/>
                <w:color w:val="auto"/>
              </w:rPr>
            </w:pPr>
            <w:r>
              <w:rPr>
                <w:rFonts w:ascii="Times New Roman" w:cs="Times New Roman" w:eastAsia="Times New Roman" w:hAnsi="Times New Roman"/>
                <w:sz w:val="25"/>
                <w:szCs w:val="25"/>
                <w:b w:val="1"/>
                <w:bCs w:val="1"/>
                <w:color w:val="2399BF"/>
                <w:w w:val="79"/>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0"/>
                <w:szCs w:val="10"/>
                <w:b w:val="1"/>
                <w:bCs w:val="1"/>
                <w:color w:val="2399BF"/>
                <w:w w:val="79"/>
              </w:rPr>
              <w:t xml:space="preserve">  </w:t>
            </w:r>
          </w:p>
        </w:tc>
        <w:tc>
          <w:tcPr>
            <w:tcW w:w="120" w:type="dxa"/>
            <w:vAlign w:val="bottom"/>
          </w:tcPr>
          <w:p>
            <w:pPr>
              <w:spacing w:after="0"/>
              <w:rPr>
                <w:sz w:val="24"/>
                <w:szCs w:val="24"/>
                <w:color w:val="auto"/>
              </w:rPr>
            </w:pPr>
          </w:p>
        </w:tc>
        <w:tc>
          <w:tcPr>
            <w:tcW w:w="3080" w:type="dxa"/>
            <w:vAlign w:val="bottom"/>
            <w:gridSpan w:val="7"/>
          </w:tcPr>
          <w:p>
            <w:pPr>
              <w:ind w:left="60"/>
              <w:spacing w:after="0"/>
              <w:rPr>
                <w:sz w:val="20"/>
                <w:szCs w:val="20"/>
                <w:color w:val="auto"/>
              </w:rPr>
            </w:pPr>
            <w:r>
              <w:rPr>
                <w:rFonts w:ascii="Times New Roman" w:cs="Times New Roman" w:eastAsia="Times New Roman" w:hAnsi="Times New Roman"/>
                <w:sz w:val="25"/>
                <w:szCs w:val="25"/>
                <w:b w:val="1"/>
                <w:bCs w:val="1"/>
                <w:color w:val="2399BF"/>
              </w:rPr>
              <w:t>% Senior Blue Notes due 20</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56"/>
        </w:trPr>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5"/>
          </w:tcPr>
          <w:p>
            <w:pPr>
              <w:spacing w:after="0"/>
              <w:rPr>
                <w:sz w:val="24"/>
                <w:szCs w:val="24"/>
                <w:color w:val="auto"/>
              </w:rPr>
            </w:pPr>
          </w:p>
        </w:tc>
        <w:tc>
          <w:tcPr>
            <w:tcW w:w="1940" w:type="dxa"/>
            <w:vAlign w:val="bottom"/>
            <w:tcBorders>
              <w:bottom w:val="single" w:sz="8" w:color="auto"/>
            </w:tcBorders>
            <w:gridSpan w:val="4"/>
          </w:tcPr>
          <w:p>
            <w:pPr>
              <w:spacing w:after="0"/>
              <w:rPr>
                <w:sz w:val="24"/>
                <w:szCs w:val="24"/>
                <w:color w:val="auto"/>
              </w:rPr>
            </w:pPr>
          </w:p>
        </w:tc>
        <w:tc>
          <w:tcPr>
            <w:tcW w:w="2360" w:type="dxa"/>
            <w:vAlign w:val="bottom"/>
            <w:gridSpan w:val="5"/>
          </w:tcPr>
          <w:p>
            <w:pPr>
              <w:spacing w:after="0"/>
              <w:rPr>
                <w:sz w:val="24"/>
                <w:szCs w:val="24"/>
                <w:color w:val="auto"/>
              </w:rPr>
            </w:pPr>
          </w:p>
        </w:tc>
        <w:tc>
          <w:tcPr>
            <w:tcW w:w="1220" w:type="dxa"/>
            <w:vAlign w:val="bottom"/>
            <w:gridSpan w:val="3"/>
          </w:tcPr>
          <w:p>
            <w:pPr>
              <w:spacing w:after="0"/>
              <w:rPr>
                <w:sz w:val="24"/>
                <w:szCs w:val="24"/>
                <w:color w:val="auto"/>
              </w:rPr>
            </w:pPr>
          </w:p>
        </w:tc>
      </w:tr>
      <w:tr>
        <w:trPr>
          <w:trHeight w:val="335"/>
        </w:trPr>
        <w:tc>
          <w:tcPr>
            <w:tcW w:w="17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 xml:space="preserve">We are offering $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6140" w:type="dxa"/>
            <w:vAlign w:val="bottom"/>
            <w:gridSpan w:val="14"/>
          </w:tcPr>
          <w:p>
            <w:pPr>
              <w:ind w:left="120"/>
              <w:spacing w:after="0"/>
              <w:rPr>
                <w:sz w:val="20"/>
                <w:szCs w:val="20"/>
                <w:color w:val="auto"/>
              </w:rPr>
            </w:pPr>
            <w:r>
              <w:rPr>
                <w:rFonts w:ascii="Times New Roman" w:cs="Times New Roman" w:eastAsia="Times New Roman" w:hAnsi="Times New Roman"/>
                <w:sz w:val="14"/>
                <w:szCs w:val="14"/>
                <w:color w:val="auto"/>
              </w:rPr>
              <w:t xml:space="preserve">aggregate principal amount of notes, consisting of $            aggregate principal amount of our          </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 Senior Notes due</w:t>
            </w:r>
          </w:p>
        </w:tc>
      </w:tr>
      <w:tr>
        <w:trPr>
          <w:trHeight w:val="148"/>
        </w:trPr>
        <w:tc>
          <w:tcPr>
            <w:tcW w:w="26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 xml:space="preserve">20            , which we refer to as the “20    </w:t>
            </w:r>
          </w:p>
        </w:tc>
        <w:tc>
          <w:tcPr>
            <w:tcW w:w="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88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color w:val="auto"/>
              </w:rPr>
              <w:t xml:space="preserve">notes” and $ </w:t>
            </w:r>
          </w:p>
        </w:tc>
        <w:tc>
          <w:tcPr>
            <w:tcW w:w="26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200" w:type="dxa"/>
            <w:vAlign w:val="bottom"/>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21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 xml:space="preserve">aggregate principal amount of our 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66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color w:val="auto"/>
                <w:w w:val="95"/>
              </w:rPr>
              <w:t>   % Senior Notes due 20 </w:t>
            </w:r>
          </w:p>
        </w:tc>
        <w:tc>
          <w:tcPr>
            <w:tcW w:w="1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w w:val="71"/>
              </w:rPr>
              <w:t> </w:t>
            </w:r>
          </w:p>
        </w:tc>
        <w:tc>
          <w:tcPr>
            <w:tcW w:w="8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      , which</w:t>
            </w:r>
          </w:p>
        </w:tc>
      </w:tr>
      <w:tr>
        <w:trPr>
          <w:trHeight w:val="188"/>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we refer to as the “ 20          </w:t>
            </w:r>
          </w:p>
        </w:tc>
        <w:tc>
          <w:tcPr>
            <w:tcW w:w="100" w:type="dxa"/>
            <w:vAlign w:val="bottom"/>
          </w:tcPr>
          <w:p>
            <w:pPr>
              <w:spacing w:after="0"/>
              <w:rPr>
                <w:sz w:val="16"/>
                <w:szCs w:val="16"/>
                <w:color w:val="auto"/>
              </w:rPr>
            </w:pPr>
          </w:p>
        </w:tc>
        <w:tc>
          <w:tcPr>
            <w:tcW w:w="614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blue notes.” We refer to both series of the notes offered hereby collectively as the “notes.”</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25"/>
        </w:trPr>
        <w:tc>
          <w:tcPr>
            <w:tcW w:w="3520" w:type="dxa"/>
            <w:vAlign w:val="bottom"/>
            <w:gridSpan w:val="6"/>
          </w:tcPr>
          <w:p>
            <w:pPr>
              <w:ind w:left="380"/>
              <w:spacing w:after="0"/>
              <w:rPr>
                <w:sz w:val="20"/>
                <w:szCs w:val="20"/>
                <w:color w:val="auto"/>
              </w:rPr>
            </w:pPr>
            <w:r>
              <w:rPr>
                <w:rFonts w:ascii="Times New Roman" w:cs="Times New Roman" w:eastAsia="Times New Roman" w:hAnsi="Times New Roman"/>
                <w:sz w:val="14"/>
                <w:szCs w:val="14"/>
                <w:color w:val="auto"/>
              </w:rPr>
              <w:t xml:space="preserve">We will pay interest on the notes semi-annually on 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xml:space="preserve">and    </w:t>
            </w:r>
          </w:p>
        </w:tc>
        <w:tc>
          <w:tcPr>
            <w:tcW w:w="21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5"/>
              </w:rPr>
              <w:t>      of each year, commencing on 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71"/>
              </w:rPr>
              <w:t> </w:t>
            </w:r>
          </w:p>
        </w:tc>
        <w:tc>
          <w:tcPr>
            <w:tcW w:w="110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89"/>
              </w:rPr>
              <w:t>, 2026   . The 20 </w:t>
            </w:r>
          </w:p>
        </w:tc>
        <w:tc>
          <w:tcPr>
            <w:tcW w:w="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xml:space="preserve">    </w:t>
            </w:r>
          </w:p>
        </w:tc>
        <w:tc>
          <w:tcPr>
            <w:tcW w:w="140" w:type="dxa"/>
            <w:vAlign w:val="bottom"/>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8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notes will</w:t>
            </w:r>
          </w:p>
        </w:tc>
      </w:tr>
      <w:tr>
        <w:trPr>
          <w:trHeight w:val="148"/>
        </w:trPr>
        <w:tc>
          <w:tcPr>
            <w:tcW w:w="1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 xml:space="preserve">bear interest at the rate of    </w:t>
            </w:r>
          </w:p>
        </w:tc>
        <w:tc>
          <w:tcPr>
            <w:tcW w:w="100" w:type="dxa"/>
            <w:vAlign w:val="bottom"/>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680" w:type="dxa"/>
            <w:vAlign w:val="bottom"/>
            <w:gridSpan w:val="4"/>
          </w:tcPr>
          <w:p>
            <w:pPr>
              <w:ind w:left="60"/>
              <w:spacing w:after="0" w:line="149" w:lineRule="exact"/>
              <w:rPr>
                <w:sz w:val="20"/>
                <w:szCs w:val="20"/>
                <w:color w:val="auto"/>
              </w:rPr>
            </w:pPr>
            <w:r>
              <w:rPr>
                <w:rFonts w:ascii="Times New Roman" w:cs="Times New Roman" w:eastAsia="Times New Roman" w:hAnsi="Times New Roman"/>
                <w:sz w:val="14"/>
                <w:szCs w:val="14"/>
                <w:color w:val="auto"/>
                <w:w w:val="93"/>
              </w:rPr>
              <w:t>   % per annum and the 20 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2640" w:type="dxa"/>
            <w:vAlign w:val="bottom"/>
            <w:gridSpan w:val="4"/>
          </w:tcPr>
          <w:p>
            <w:pPr>
              <w:ind w:left="80"/>
              <w:spacing w:after="0" w:line="149" w:lineRule="exact"/>
              <w:rPr>
                <w:sz w:val="20"/>
                <w:szCs w:val="20"/>
                <w:color w:val="auto"/>
              </w:rPr>
            </w:pPr>
            <w:r>
              <w:rPr>
                <w:rFonts w:ascii="Times New Roman" w:cs="Times New Roman" w:eastAsia="Times New Roman" w:hAnsi="Times New Roman"/>
                <w:sz w:val="14"/>
                <w:szCs w:val="14"/>
                <w:color w:val="auto"/>
                <w:w w:val="96"/>
              </w:rPr>
              <w:t>   blue notes will bear interest at the rate of 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38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w w:val="96"/>
              </w:rPr>
              <w:t>% per annum. The 20 </w:t>
            </w:r>
          </w:p>
        </w:tc>
        <w:tc>
          <w:tcPr>
            <w:tcW w:w="140" w:type="dxa"/>
            <w:vAlign w:val="bottom"/>
          </w:tcPr>
          <w:p>
            <w:pPr>
              <w:ind w:left="80"/>
              <w:spacing w:after="0"/>
              <w:rPr>
                <w:sz w:val="20"/>
                <w:szCs w:val="20"/>
                <w:color w:val="auto"/>
              </w:rPr>
            </w:pPr>
            <w:r>
              <w:rPr>
                <w:rFonts w:ascii="Times New Roman" w:cs="Times New Roman" w:eastAsia="Times New Roman" w:hAnsi="Times New Roman"/>
                <w:sz w:val="5"/>
                <w:szCs w:val="5"/>
                <w:color w:val="auto"/>
                <w:w w:val="79"/>
              </w:rPr>
              <w:t> </w:t>
            </w:r>
          </w:p>
        </w:tc>
        <w:tc>
          <w:tcPr>
            <w:tcW w:w="8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      notes</w:t>
            </w:r>
          </w:p>
        </w:tc>
      </w:tr>
      <w:tr>
        <w:trPr>
          <w:trHeight w:val="188"/>
        </w:trPr>
        <w:tc>
          <w:tcPr>
            <w:tcW w:w="1740" w:type="dxa"/>
            <w:vAlign w:val="bottom"/>
          </w:tcPr>
          <w:p>
            <w:pPr>
              <w:spacing w:after="0"/>
              <w:rPr>
                <w:sz w:val="20"/>
                <w:szCs w:val="20"/>
                <w:color w:val="auto"/>
              </w:rPr>
            </w:pPr>
            <w:r>
              <w:rPr>
                <w:rFonts w:ascii="Times New Roman" w:cs="Times New Roman" w:eastAsia="Times New Roman" w:hAnsi="Times New Roman"/>
                <w:sz w:val="14"/>
                <w:szCs w:val="14"/>
                <w:color w:val="auto"/>
              </w:rPr>
              <w:t>will mature on            , 20 </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 xml:space="preserve">and the 20    </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    </w:t>
            </w:r>
          </w:p>
        </w:tc>
        <w:tc>
          <w:tcPr>
            <w:tcW w:w="3520" w:type="dxa"/>
            <w:vAlign w:val="bottom"/>
            <w:gridSpan w:val="8"/>
          </w:tcPr>
          <w:p>
            <w:pPr>
              <w:jc w:val="center"/>
              <w:ind w:right="1040"/>
              <w:spacing w:after="0"/>
              <w:rPr>
                <w:sz w:val="20"/>
                <w:szCs w:val="20"/>
                <w:color w:val="auto"/>
              </w:rPr>
            </w:pPr>
            <w:r>
              <w:rPr>
                <w:rFonts w:ascii="Times New Roman" w:cs="Times New Roman" w:eastAsia="Times New Roman" w:hAnsi="Times New Roman"/>
                <w:sz w:val="14"/>
                <w:szCs w:val="14"/>
                <w:color w:val="auto"/>
              </w:rPr>
              <w:t>blue notes will mature on            , 20   .</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bl>
    <w:p>
      <w:pPr>
        <w:spacing w:after="0" w:line="176" w:lineRule="exact"/>
        <w:rPr>
          <w:sz w:val="24"/>
          <w:szCs w:val="24"/>
          <w:color w:val="auto"/>
        </w:rPr>
      </w:pPr>
    </w:p>
    <w:p>
      <w:pPr>
        <w:ind w:right="880" w:firstLine="371"/>
        <w:spacing w:after="0" w:line="236" w:lineRule="auto"/>
        <w:rPr>
          <w:sz w:val="20"/>
          <w:szCs w:val="20"/>
          <w:color w:val="auto"/>
        </w:rPr>
      </w:pPr>
      <w:r>
        <w:rPr>
          <w:rFonts w:ascii="Times New Roman" w:cs="Times New Roman" w:eastAsia="Times New Roman" w:hAnsi="Times New Roman"/>
          <w:sz w:val="14"/>
          <w:szCs w:val="14"/>
          <w:color w:val="auto"/>
        </w:rPr>
        <w:t>We may redeem some or all of the notes of either series at any time and from time to time at the applicable redemption price described under “Description of Notes—Optional Redemption.” If we experience a change of control triggering event, as defined under the indenture governing the notes, each holder of notes may require us to repurchase some or all of its notes at a purchase price equal to 101% of the aggregate principal amount of the notes repurchased, plus any accrued and unpaid interest up to, but not including, the repurchase date. See “Description of Notes—Repurchase Upon Change of Control Triggering Event.”</w:t>
      </w:r>
    </w:p>
    <w:p>
      <w:pPr>
        <w:spacing w:after="0" w:line="177" w:lineRule="exact"/>
        <w:rPr>
          <w:sz w:val="24"/>
          <w:szCs w:val="24"/>
          <w:color w:val="auto"/>
        </w:rPr>
      </w:pPr>
    </w:p>
    <w:p>
      <w:pPr>
        <w:ind w:right="1020" w:firstLine="371"/>
        <w:spacing w:after="0" w:line="261" w:lineRule="auto"/>
        <w:rPr>
          <w:sz w:val="20"/>
          <w:szCs w:val="20"/>
          <w:color w:val="auto"/>
        </w:rPr>
      </w:pPr>
      <w:r>
        <w:rPr>
          <w:rFonts w:ascii="Times New Roman" w:cs="Times New Roman" w:eastAsia="Times New Roman" w:hAnsi="Times New Roman"/>
          <w:sz w:val="14"/>
          <w:szCs w:val="14"/>
          <w:color w:val="auto"/>
        </w:rPr>
        <w:t>The notes will be our senior unsecured obligations and rank equally with our other unsecured and unsubordinated indebtedness. The notes will be issued only in minimum denominations of $2,000 and integral multiples of $1,000 in excess thereof.</w:t>
      </w:r>
    </w:p>
    <w:p>
      <w:pPr>
        <w:spacing w:after="0" w:line="163" w:lineRule="exact"/>
        <w:rPr>
          <w:sz w:val="24"/>
          <w:szCs w:val="24"/>
          <w:color w:val="auto"/>
        </w:rPr>
      </w:pPr>
    </w:p>
    <w:p>
      <w:pPr>
        <w:ind w:right="1180" w:firstLine="371"/>
        <w:spacing w:after="0" w:line="261" w:lineRule="auto"/>
        <w:rPr>
          <w:sz w:val="20"/>
          <w:szCs w:val="20"/>
          <w:color w:val="auto"/>
        </w:rPr>
      </w:pPr>
      <w:r>
        <w:rPr>
          <w:rFonts w:ascii="Times New Roman" w:cs="Times New Roman" w:eastAsia="Times New Roman" w:hAnsi="Times New Roman"/>
          <w:sz w:val="14"/>
          <w:szCs w:val="14"/>
          <w:color w:val="auto"/>
        </w:rPr>
        <w:t>The notes are new issues of securities with no established trading markets. We do not intend to apply to list either series of the notes on any securities exchange or to have the notes of either series quoted on any automated quotation system.</w:t>
      </w:r>
    </w:p>
    <w:p>
      <w:pPr>
        <w:spacing w:after="0" w:line="163" w:lineRule="exact"/>
        <w:rPr>
          <w:sz w:val="24"/>
          <w:szCs w:val="24"/>
          <w:color w:val="auto"/>
        </w:rPr>
      </w:pPr>
    </w:p>
    <w:p>
      <w:pPr>
        <w:ind w:right="1060" w:firstLine="371"/>
        <w:spacing w:after="0" w:line="241" w:lineRule="auto"/>
        <w:rPr>
          <w:sz w:val="20"/>
          <w:szCs w:val="20"/>
          <w:color w:val="auto"/>
        </w:rPr>
      </w:pPr>
      <w:r>
        <w:rPr>
          <w:rFonts w:ascii="Times New Roman" w:cs="Times New Roman" w:eastAsia="Times New Roman" w:hAnsi="Times New Roman"/>
          <w:sz w:val="14"/>
          <w:szCs w:val="14"/>
          <w:color w:val="auto"/>
        </w:rPr>
        <w:t>As described in “Use of Proceeds,” we will allocate an amount equal to the net proceeds from the sale of the 20        blue notes to a portfolio of Eligible Blue Projects (as defined in “Use of Proceeds”). Pending allocation for such purposes, we intend to hold and/or invest the balance of net proceeds not yet allocated to the portfolio of Eligible Blue Projects in our treasury liquidity portfolio, or in cash or other short-term and liquid instruments.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2331720</wp:posOffset>
            </wp:positionH>
            <wp:positionV relativeFrom="paragraph">
              <wp:posOffset>212090</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ind w:right="1180" w:firstLine="37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Investing in the notes involves risks. You should carefully read and consider the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xml:space="preserve"> included in this prospectus supplement beginning on page S-9 and included in our periodic reports and other information that we file with the Securities and Exchange Commission before you invest in the notes.</w:t>
      </w:r>
    </w:p>
    <w:p>
      <w:pPr>
        <w:spacing w:after="0" w:line="168" w:lineRule="exact"/>
        <w:rPr>
          <w:sz w:val="24"/>
          <w:szCs w:val="24"/>
          <w:color w:val="auto"/>
        </w:rPr>
      </w:pPr>
    </w:p>
    <w:p>
      <w:pPr>
        <w:ind w:right="1080" w:firstLine="371"/>
        <w:spacing w:after="0" w:line="264"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 notes or determined that this prospectus supplement or the accompanying prospectus is accurate or complete. Any representation to the contrary is a criminal offense.</w:t>
      </w:r>
    </w:p>
    <w:p>
      <w:pPr>
        <w:spacing w:after="0" w:line="176" w:lineRule="exact"/>
        <w:rPr>
          <w:sz w:val="24"/>
          <w:szCs w:val="24"/>
          <w:color w:val="auto"/>
        </w:rPr>
      </w:pPr>
    </w:p>
    <w:tbl>
      <w:tblPr>
        <w:tblLayout w:type="fixed"/>
        <w:tblInd w:w="7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w w:val="94"/>
              </w:rPr>
              <w:t>Proceeds,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Before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52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Price to</w:t>
            </w:r>
          </w:p>
        </w:tc>
        <w:tc>
          <w:tcPr>
            <w:tcW w:w="300" w:type="dxa"/>
            <w:vAlign w:val="bottom"/>
          </w:tcPr>
          <w:p>
            <w:pPr>
              <w:spacing w:after="0"/>
              <w:rPr>
                <w:sz w:val="11"/>
                <w:szCs w:val="11"/>
                <w:color w:val="auto"/>
              </w:rPr>
            </w:pPr>
          </w:p>
        </w:tc>
        <w:tc>
          <w:tcPr>
            <w:tcW w:w="940" w:type="dxa"/>
            <w:vAlign w:val="bottom"/>
            <w:gridSpan w:val="4"/>
          </w:tcPr>
          <w:p>
            <w:pPr>
              <w:ind w:left="2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Underwriting</w:t>
            </w:r>
          </w:p>
        </w:tc>
        <w:tc>
          <w:tcPr>
            <w:tcW w:w="300" w:type="dxa"/>
            <w:vAlign w:val="bottom"/>
          </w:tcPr>
          <w:p>
            <w:pPr>
              <w:spacing w:after="0"/>
              <w:rPr>
                <w:sz w:val="11"/>
                <w:szCs w:val="11"/>
                <w:color w:val="auto"/>
              </w:rPr>
            </w:pPr>
          </w:p>
        </w:tc>
        <w:tc>
          <w:tcPr>
            <w:tcW w:w="740" w:type="dxa"/>
            <w:vAlign w:val="bottom"/>
            <w:gridSpan w:val="4"/>
          </w:tcPr>
          <w:p>
            <w:pPr>
              <w:ind w:left="2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Expenses,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160" w:type="dxa"/>
            <w:vAlign w:val="bottom"/>
            <w:gridSpan w:val="4"/>
          </w:tcPr>
          <w:p>
            <w:pPr>
              <w:ind w:left="1640"/>
              <w:spacing w:after="0"/>
              <w:rPr>
                <w:sz w:val="20"/>
                <w:szCs w:val="20"/>
                <w:color w:val="auto"/>
              </w:rPr>
            </w:pPr>
            <w:r>
              <w:rPr>
                <w:rFonts w:ascii="Times New Roman" w:cs="Times New Roman" w:eastAsia="Times New Roman" w:hAnsi="Times New Roman"/>
                <w:sz w:val="13"/>
                <w:szCs w:val="13"/>
                <w:b w:val="1"/>
                <w:bCs w:val="1"/>
                <w:color w:val="auto"/>
                <w:w w:val="92"/>
              </w:rPr>
              <w:t>Public (1)</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Discount</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to us (1)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75"/>
              </w:rPr>
              <w:t>Per 20 </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5"/>
                <w:szCs w:val="5"/>
                <w:color w:val="auto"/>
                <w:w w:val="79"/>
              </w:rPr>
              <w:t> </w:t>
            </w:r>
          </w:p>
        </w:tc>
        <w:tc>
          <w:tcPr>
            <w:tcW w:w="18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40" w:type="dxa"/>
            <w:vAlign w:val="bottom"/>
            <w:tcBorders>
              <w:top w:val="single" w:sz="8" w:color="CCEEFF"/>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rPr>
              <w:t>Note</w:t>
            </w:r>
          </w:p>
        </w:tc>
        <w:tc>
          <w:tcPr>
            <w:tcW w:w="16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200" w:type="dxa"/>
            <w:vAlign w:val="bottom"/>
            <w:tcBorders>
              <w:top w:val="single" w:sz="8" w:color="auto"/>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w w:val="85"/>
              </w:rPr>
              <w:t> </w:t>
            </w:r>
          </w:p>
        </w:tc>
        <w:tc>
          <w:tcPr>
            <w:tcW w:w="300" w:type="dxa"/>
            <w:vAlign w:val="bottom"/>
            <w:tcBorders>
              <w:top w:val="single" w:sz="8" w:color="CCEEF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Borders>
              <w:top w:val="single" w:sz="8" w:color="auto"/>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w w:val="85"/>
              </w:rPr>
              <w:t> </w:t>
            </w:r>
          </w:p>
        </w:tc>
        <w:tc>
          <w:tcPr>
            <w:tcW w:w="300" w:type="dxa"/>
            <w:vAlign w:val="bottom"/>
            <w:tcBorders>
              <w:top w:val="single" w:sz="8" w:color="CCEEFF"/>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200" w:type="dxa"/>
            <w:vAlign w:val="bottom"/>
            <w:tcBorders>
              <w:top w:val="single" w:sz="8" w:color="auto"/>
            </w:tcBorders>
            <w:shd w:val="clear" w:color="auto" w:fill="CCEEFF"/>
          </w:tcPr>
          <w:p>
            <w:pPr>
              <w:ind w:left="60"/>
              <w:spacing w:after="0" w:line="142" w:lineRule="exact"/>
              <w:rPr>
                <w:sz w:val="20"/>
                <w:szCs w:val="20"/>
                <w:color w:val="auto"/>
              </w:rPr>
            </w:pPr>
            <w:r>
              <w:rPr>
                <w:rFonts w:ascii="Times New Roman" w:cs="Times New Roman" w:eastAsia="Times New Roman" w:hAnsi="Times New Roman"/>
                <w:sz w:val="14"/>
                <w:szCs w:val="14"/>
                <w:color w:val="auto"/>
                <w:w w:val="85"/>
              </w:rPr>
              <w:t> </w:t>
            </w:r>
          </w:p>
        </w:tc>
        <w:tc>
          <w:tcPr>
            <w:tcW w:w="16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71"/>
              </w:rPr>
              <w:t>20 </w:t>
            </w:r>
          </w:p>
        </w:tc>
        <w:tc>
          <w:tcPr>
            <w:tcW w:w="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w w:val="71"/>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5"/>
                <w:szCs w:val="5"/>
                <w:color w:val="auto"/>
                <w:w w:val="79"/>
              </w:rPr>
              <w:t> </w:t>
            </w:r>
          </w:p>
        </w:tc>
        <w:tc>
          <w:tcPr>
            <w:tcW w:w="80" w:type="dxa"/>
            <w:vAlign w:val="bottom"/>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Notes Total</w:t>
            </w:r>
          </w:p>
        </w:tc>
        <w:tc>
          <w:tcPr>
            <w:tcW w:w="1820" w:type="dxa"/>
            <w:vAlign w:val="bottom"/>
            <w:gridSpan w:val="2"/>
          </w:tcPr>
          <w:p>
            <w:pPr>
              <w:ind w:left="1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75"/>
              </w:rPr>
              <w:t>Per 20 </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5"/>
                <w:szCs w:val="5"/>
                <w:color w:val="auto"/>
                <w:w w:val="79"/>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44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Blue Note</w:t>
            </w:r>
          </w:p>
        </w:tc>
        <w:tc>
          <w:tcPr>
            <w:tcW w:w="1640" w:type="dxa"/>
            <w:vAlign w:val="bottom"/>
            <w:shd w:val="clear" w:color="auto" w:fill="CCEEFF"/>
          </w:tcPr>
          <w:p>
            <w:pPr>
              <w:spacing w:after="0"/>
              <w:rPr>
                <w:sz w:val="12"/>
                <w:szCs w:val="12"/>
                <w:color w:val="auto"/>
              </w:rPr>
            </w:pP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20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0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300" w:type="dxa"/>
            <w:vAlign w:val="bottom"/>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5"/>
                <w:szCs w:val="5"/>
                <w:color w:val="auto"/>
                <w:w w:val="79"/>
              </w:rPr>
              <w:t> </w:t>
            </w:r>
          </w:p>
        </w:tc>
        <w:tc>
          <w:tcPr>
            <w:tcW w:w="20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w w:val="85"/>
              </w:rPr>
              <w:t> </w:t>
            </w: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71"/>
              </w:rPr>
              <w:t>20 </w:t>
            </w:r>
          </w:p>
        </w:tc>
        <w:tc>
          <w:tcPr>
            <w:tcW w:w="1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w w:val="71"/>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5"/>
                <w:szCs w:val="5"/>
                <w:color w:val="auto"/>
                <w:w w:val="79"/>
              </w:rPr>
              <w:t> </w:t>
            </w:r>
          </w:p>
        </w:tc>
        <w:tc>
          <w:tcPr>
            <w:tcW w:w="80" w:type="dxa"/>
            <w:vAlign w:val="bottom"/>
          </w:tcPr>
          <w:p>
            <w:pPr>
              <w:spacing w:after="0"/>
              <w:rPr>
                <w:sz w:val="12"/>
                <w:szCs w:val="12"/>
                <w:color w:val="auto"/>
              </w:rPr>
            </w:pPr>
          </w:p>
        </w:tc>
        <w:tc>
          <w:tcPr>
            <w:tcW w:w="2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Blue Notes Total</w:t>
            </w:r>
          </w:p>
        </w:tc>
        <w:tc>
          <w:tcPr>
            <w:tcW w:w="1820" w:type="dxa"/>
            <w:vAlign w:val="bottom"/>
            <w:gridSpan w:val="2"/>
          </w:tcPr>
          <w:p>
            <w:pPr>
              <w:ind w:left="1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ind w:left="1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6515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160" w:lineRule="exact"/>
        <w:rPr>
          <w:sz w:val="24"/>
          <w:szCs w:val="24"/>
          <w:color w:val="auto"/>
        </w:rPr>
      </w:pPr>
    </w:p>
    <w:p>
      <w:pPr>
        <w:ind w:left="360" w:hanging="360"/>
        <w:spacing w:after="0"/>
        <w:tabs>
          <w:tab w:leader="none" w:pos="3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Plus accrued interest, if any, from            , 2026, if settlement occurs after that date.</w:t>
      </w:r>
    </w:p>
    <w:p>
      <w:pPr>
        <w:spacing w:after="0" w:line="204" w:lineRule="exact"/>
        <w:rPr>
          <w:sz w:val="24"/>
          <w:szCs w:val="24"/>
          <w:color w:val="auto"/>
        </w:rPr>
      </w:pPr>
    </w:p>
    <w:p>
      <w:pPr>
        <w:ind w:right="1420" w:firstLine="371"/>
        <w:spacing w:after="0" w:line="261" w:lineRule="auto"/>
        <w:rPr>
          <w:sz w:val="20"/>
          <w:szCs w:val="20"/>
          <w:color w:val="auto"/>
        </w:rPr>
      </w:pPr>
      <w:r>
        <w:rPr>
          <w:rFonts w:ascii="Times New Roman" w:cs="Times New Roman" w:eastAsia="Times New Roman" w:hAnsi="Times New Roman"/>
          <w:sz w:val="14"/>
          <w:szCs w:val="14"/>
          <w:color w:val="auto"/>
        </w:rPr>
        <w:t xml:space="preserve">The underwriters expect to deliver the notes in book-entry form only through the facilities of The Depository Trust Company and its participants, including Clearstream Banking, </w:t>
      </w:r>
      <w:r>
        <w:rPr>
          <w:rFonts w:ascii="Times New Roman" w:cs="Times New Roman" w:eastAsia="Times New Roman" w:hAnsi="Times New Roman"/>
          <w:sz w:val="14"/>
          <w:szCs w:val="14"/>
          <w:i w:val="1"/>
          <w:iCs w:val="1"/>
          <w:color w:val="auto"/>
        </w:rPr>
        <w:t>société anonyme</w:t>
      </w:r>
      <w:r>
        <w:rPr>
          <w:rFonts w:ascii="Times New Roman" w:cs="Times New Roman" w:eastAsia="Times New Roman" w:hAnsi="Times New Roman"/>
          <w:sz w:val="14"/>
          <w:szCs w:val="14"/>
          <w:color w:val="auto"/>
        </w:rPr>
        <w:t xml:space="preserve"> and Euroclear Bank S.A./N.V., on or about         ,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2331720</wp:posOffset>
            </wp:positionH>
            <wp:positionV relativeFrom="paragraph">
              <wp:posOffset>212090</wp:posOffset>
            </wp:positionV>
            <wp:extent cx="12344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80" w:space="400"/>
            <w:col w:w="10160"/>
          </w:cols>
          <w:pgMar w:left="320" w:top="225" w:right="439" w:bottom="918" w:gutter="0" w:footer="0" w:header="0"/>
          <w:type w:val="continuous"/>
        </w:sectPr>
      </w:pPr>
    </w:p>
    <w:p>
      <w:pPr>
        <w:spacing w:after="0" w:line="34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Joint Book-Running Managers</w:t>
      </w:r>
    </w:p>
    <w:p>
      <w:pPr>
        <w:spacing w:after="0" w:line="252" w:lineRule="exact"/>
        <w:rPr>
          <w:sz w:val="24"/>
          <w:szCs w:val="24"/>
          <w:color w:val="auto"/>
        </w:rPr>
      </w:pPr>
    </w:p>
    <w:p>
      <w:pPr>
        <w:ind w:left="980"/>
        <w:spacing w:after="0"/>
        <w:tabs>
          <w:tab w:leader="none" w:pos="3060" w:val="left"/>
          <w:tab w:leader="none" w:pos="4700" w:val="left"/>
          <w:tab w:leader="none" w:pos="6540" w:val="left"/>
          <w:tab w:leader="none" w:pos="8520" w:val="left"/>
        </w:tabs>
        <w:rPr>
          <w:sz w:val="20"/>
          <w:szCs w:val="20"/>
          <w:color w:val="auto"/>
        </w:rPr>
      </w:pPr>
      <w:r>
        <w:rPr>
          <w:rFonts w:ascii="Times New Roman" w:cs="Times New Roman" w:eastAsia="Times New Roman" w:hAnsi="Times New Roman"/>
          <w:sz w:val="18"/>
          <w:szCs w:val="18"/>
          <w:b w:val="1"/>
          <w:bCs w:val="1"/>
          <w:color w:val="auto"/>
        </w:rPr>
        <w:t>BNP PARIBAS</w:t>
      </w:r>
      <w:r>
        <w:rPr>
          <w:sz w:val="20"/>
          <w:szCs w:val="20"/>
          <w:color w:val="auto"/>
        </w:rPr>
        <w:tab/>
      </w:r>
      <w:r>
        <w:rPr>
          <w:rFonts w:ascii="Times New Roman" w:cs="Times New Roman" w:eastAsia="Times New Roman" w:hAnsi="Times New Roman"/>
          <w:sz w:val="18"/>
          <w:szCs w:val="18"/>
          <w:b w:val="1"/>
          <w:bCs w:val="1"/>
          <w:color w:val="auto"/>
        </w:rPr>
        <w:t>Citigroup</w:t>
      </w:r>
      <w:r>
        <w:rPr>
          <w:sz w:val="20"/>
          <w:szCs w:val="20"/>
          <w:color w:val="auto"/>
        </w:rPr>
        <w:tab/>
      </w:r>
      <w:r>
        <w:rPr>
          <w:rFonts w:ascii="Times New Roman" w:cs="Times New Roman" w:eastAsia="Times New Roman" w:hAnsi="Times New Roman"/>
          <w:sz w:val="18"/>
          <w:szCs w:val="18"/>
          <w:b w:val="1"/>
          <w:bCs w:val="1"/>
          <w:color w:val="auto"/>
        </w:rPr>
        <w:t xml:space="preserve">      ING    </w:t>
      </w:r>
      <w:r>
        <w:rPr>
          <w:sz w:val="20"/>
          <w:szCs w:val="20"/>
          <w:color w:val="auto"/>
        </w:rPr>
        <w:tab/>
      </w:r>
      <w:r>
        <w:rPr>
          <w:rFonts w:ascii="Times New Roman" w:cs="Times New Roman" w:eastAsia="Times New Roman" w:hAnsi="Times New Roman"/>
          <w:sz w:val="18"/>
          <w:szCs w:val="18"/>
          <w:b w:val="1"/>
          <w:bCs w:val="1"/>
          <w:color w:val="auto"/>
        </w:rPr>
        <w:t>J.P. Morgan</w:t>
      </w:r>
      <w:r>
        <w:rPr>
          <w:sz w:val="20"/>
          <w:szCs w:val="20"/>
          <w:color w:val="auto"/>
        </w:rPr>
        <w:tab/>
      </w:r>
      <w:r>
        <w:rPr>
          <w:rFonts w:ascii="Times New Roman" w:cs="Times New Roman" w:eastAsia="Times New Roman" w:hAnsi="Times New Roman"/>
          <w:sz w:val="17"/>
          <w:szCs w:val="17"/>
          <w:b w:val="1"/>
          <w:bCs w:val="1"/>
          <w:color w:val="auto"/>
        </w:rPr>
        <w:t>Wells Fargo Securities</w:t>
      </w:r>
    </w:p>
    <w:p>
      <w:pPr>
        <w:sectPr>
          <w:pgSz w:w="11900" w:h="16838" w:orient="portrait"/>
          <w:cols w:equalWidth="0" w:num="1">
            <w:col w:w="11140"/>
          </w:cols>
          <w:pgMar w:left="320" w:top="225" w:right="439" w:bottom="918" w:gutter="0" w:footer="0" w:header="0"/>
          <w:type w:val="continuous"/>
        </w:sectPr>
      </w:pPr>
    </w:p>
    <w:p>
      <w:pPr>
        <w:spacing w:after="0" w:line="2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The date of this prospectus supplement is             , 2026.</w:t>
      </w:r>
    </w:p>
    <w:p>
      <w:pPr>
        <w:sectPr>
          <w:pgSz w:w="11900" w:h="16838" w:orient="portrait"/>
          <w:cols w:equalWidth="0" w:num="1">
            <w:col w:w="11140"/>
          </w:cols>
          <w:pgMar w:left="320" w:top="225" w:right="439" w:bottom="918"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580" w:type="dxa"/>
            <w:vAlign w:val="bottom"/>
            <w:gridSpan w:val="2"/>
          </w:tcPr>
          <w:p>
            <w:pPr>
              <w:jc w:val="right"/>
              <w:ind w:right="4411"/>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392"/>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4"/>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80" w:type="dxa"/>
            <w:vAlign w:val="bottom"/>
            <w:gridSpan w:val="2"/>
          </w:tcPr>
          <w:p>
            <w:pPr>
              <w:jc w:val="right"/>
              <w:ind w:right="4491"/>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r>
      <w:tr>
        <w:trPr>
          <w:trHeight w:val="392"/>
        </w:trPr>
        <w:tc>
          <w:tcPr>
            <w:tcW w:w="25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8"/>
              </w:rPr>
              <w:t>About This Prospectus Supplement</w:t>
            </w:r>
          </w:p>
        </w:tc>
        <w:tc>
          <w:tcPr>
            <w:tcW w:w="1840" w:type="dxa"/>
            <w:vAlign w:val="bottom"/>
            <w:gridSpan w:val="4"/>
          </w:tcPr>
          <w:p>
            <w:pPr>
              <w:spacing w:after="0"/>
              <w:rPr>
                <w:sz w:val="24"/>
                <w:szCs w:val="24"/>
                <w:color w:val="auto"/>
              </w:rPr>
            </w:pPr>
          </w:p>
        </w:tc>
        <w:tc>
          <w:tcPr>
            <w:tcW w:w="61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r>
      <w:tr>
        <w:trPr>
          <w:trHeight w:val="196"/>
        </w:trPr>
        <w:tc>
          <w:tcPr>
            <w:tcW w:w="43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1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198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by Reference</w:t>
            </w:r>
          </w:p>
        </w:tc>
        <w:tc>
          <w:tcPr>
            <w:tcW w:w="880" w:type="dxa"/>
            <w:vAlign w:val="bottom"/>
            <w:tcBorders>
              <w:top w:val="single" w:sz="8" w:color="0000EE"/>
            </w:tcBorders>
            <w:gridSpan w:val="6"/>
          </w:tcPr>
          <w:p>
            <w:pPr>
              <w:spacing w:after="0"/>
              <w:rPr>
                <w:sz w:val="17"/>
                <w:szCs w:val="17"/>
                <w:color w:val="auto"/>
              </w:rPr>
            </w:pPr>
          </w:p>
        </w:tc>
        <w:tc>
          <w:tcPr>
            <w:tcW w:w="1520" w:type="dxa"/>
            <w:vAlign w:val="bottom"/>
            <w:gridSpan w:val="3"/>
          </w:tcPr>
          <w:p>
            <w:pPr>
              <w:spacing w:after="0"/>
              <w:rPr>
                <w:sz w:val="17"/>
                <w:szCs w:val="17"/>
                <w:color w:val="auto"/>
              </w:rPr>
            </w:pPr>
          </w:p>
        </w:tc>
        <w:tc>
          <w:tcPr>
            <w:tcW w:w="61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43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61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w:t>
            </w:r>
          </w:p>
        </w:tc>
      </w:tr>
      <w:tr>
        <w:trPr>
          <w:trHeight w:val="196"/>
        </w:trPr>
        <w:tc>
          <w:tcPr>
            <w:tcW w:w="7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Summary</w:t>
            </w:r>
          </w:p>
        </w:tc>
        <w:tc>
          <w:tcPr>
            <w:tcW w:w="1400" w:type="dxa"/>
            <w:vAlign w:val="bottom"/>
            <w:tcBorders>
              <w:top w:val="single" w:sz="8" w:color="0000EE"/>
            </w:tcBorders>
            <w:gridSpan w:val="11"/>
          </w:tcPr>
          <w:p>
            <w:pPr>
              <w:spacing w:after="0"/>
              <w:rPr>
                <w:sz w:val="17"/>
                <w:szCs w:val="17"/>
                <w:color w:val="auto"/>
              </w:rPr>
            </w:pPr>
          </w:p>
        </w:tc>
        <w:tc>
          <w:tcPr>
            <w:tcW w:w="2280" w:type="dxa"/>
            <w:vAlign w:val="bottom"/>
            <w:gridSpan w:val="8"/>
          </w:tcPr>
          <w:p>
            <w:pPr>
              <w:spacing w:after="0"/>
              <w:rPr>
                <w:sz w:val="17"/>
                <w:szCs w:val="17"/>
                <w:color w:val="auto"/>
              </w:rPr>
            </w:pPr>
          </w:p>
        </w:tc>
        <w:tc>
          <w:tcPr>
            <w:tcW w:w="61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S-5</w:t>
            </w:r>
          </w:p>
        </w:tc>
      </w:tr>
      <w:tr>
        <w:trPr>
          <w:trHeight w:val="196"/>
        </w:trPr>
        <w:tc>
          <w:tcPr>
            <w:tcW w:w="43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1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S-9</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3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61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S-13</w:t>
            </w:r>
          </w:p>
        </w:tc>
      </w:tr>
      <w:tr>
        <w:trPr>
          <w:trHeight w:val="196"/>
        </w:trPr>
        <w:tc>
          <w:tcPr>
            <w:tcW w:w="102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Capitalization</w:t>
            </w:r>
          </w:p>
        </w:tc>
        <w:tc>
          <w:tcPr>
            <w:tcW w:w="140" w:type="dxa"/>
            <w:vAlign w:val="bottom"/>
            <w:tcBorders>
              <w:top w:val="single" w:sz="8" w:color="0000EE"/>
            </w:tcBorders>
          </w:tcPr>
          <w:p>
            <w:pPr>
              <w:spacing w:after="0"/>
              <w:rPr>
                <w:sz w:val="17"/>
                <w:szCs w:val="17"/>
                <w:color w:val="auto"/>
              </w:rPr>
            </w:pPr>
          </w:p>
        </w:tc>
        <w:tc>
          <w:tcPr>
            <w:tcW w:w="3220" w:type="dxa"/>
            <w:vAlign w:val="bottom"/>
            <w:gridSpan w:val="14"/>
          </w:tcPr>
          <w:p>
            <w:pPr>
              <w:spacing w:after="0"/>
              <w:rPr>
                <w:sz w:val="17"/>
                <w:szCs w:val="17"/>
                <w:color w:val="auto"/>
              </w:rPr>
            </w:pPr>
          </w:p>
        </w:tc>
        <w:tc>
          <w:tcPr>
            <w:tcW w:w="61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S-15</w:t>
            </w:r>
          </w:p>
        </w:tc>
      </w:tr>
      <w:tr>
        <w:trPr>
          <w:trHeight w:val="196"/>
        </w:trPr>
        <w:tc>
          <w:tcPr>
            <w:tcW w:w="15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Notes</w:t>
            </w:r>
          </w:p>
        </w:tc>
        <w:tc>
          <w:tcPr>
            <w:tcW w:w="2880" w:type="dxa"/>
            <w:vAlign w:val="bottom"/>
            <w:gridSpan w:val="12"/>
          </w:tcPr>
          <w:p>
            <w:pPr>
              <w:spacing w:after="0"/>
              <w:rPr>
                <w:sz w:val="17"/>
                <w:szCs w:val="17"/>
                <w:color w:val="auto"/>
              </w:rPr>
            </w:pPr>
          </w:p>
        </w:tc>
        <w:tc>
          <w:tcPr>
            <w:tcW w:w="61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S-16</w:t>
            </w:r>
          </w:p>
        </w:tc>
      </w:tr>
      <w:tr>
        <w:trPr>
          <w:trHeight w:val="196"/>
        </w:trPr>
        <w:tc>
          <w:tcPr>
            <w:tcW w:w="43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Material United States Federal Income Tax Considerations</w:t>
            </w:r>
          </w:p>
        </w:tc>
        <w:tc>
          <w:tcPr>
            <w:tcW w:w="61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S-25</w:t>
            </w:r>
          </w:p>
        </w:tc>
      </w:tr>
      <w:tr>
        <w:trPr>
          <w:trHeight w:val="196"/>
        </w:trPr>
        <w:tc>
          <w:tcPr>
            <w:tcW w:w="422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16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S-30</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43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61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S-37</w:t>
            </w:r>
          </w:p>
        </w:tc>
      </w:tr>
      <w:tr>
        <w:trPr>
          <w:trHeight w:val="196"/>
        </w:trPr>
        <w:tc>
          <w:tcPr>
            <w:tcW w:w="10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380" w:type="dxa"/>
            <w:vAlign w:val="bottom"/>
            <w:gridSpan w:val="16"/>
          </w:tcPr>
          <w:p>
            <w:pPr>
              <w:spacing w:after="0"/>
              <w:rPr>
                <w:sz w:val="17"/>
                <w:szCs w:val="17"/>
                <w:color w:val="auto"/>
              </w:rPr>
            </w:pPr>
          </w:p>
        </w:tc>
        <w:tc>
          <w:tcPr>
            <w:tcW w:w="618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S-37</w:t>
            </w:r>
          </w:p>
        </w:tc>
      </w:tr>
      <w:tr>
        <w:trPr>
          <w:trHeight w:val="668"/>
        </w:trPr>
        <w:tc>
          <w:tcPr>
            <w:tcW w:w="5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80" w:type="dxa"/>
            <w:vAlign w:val="bottom"/>
            <w:gridSpan w:val="2"/>
          </w:tcPr>
          <w:p>
            <w:pPr>
              <w:jc w:val="right"/>
              <w:ind w:right="4971"/>
              <w:spacing w:after="0"/>
              <w:rPr>
                <w:sz w:val="20"/>
                <w:szCs w:val="20"/>
                <w:color w:val="auto"/>
              </w:rPr>
            </w:pPr>
            <w:r>
              <w:rPr>
                <w:rFonts w:ascii="Times New Roman" w:cs="Times New Roman" w:eastAsia="Times New Roman" w:hAnsi="Times New Roman"/>
                <w:sz w:val="18"/>
                <w:szCs w:val="18"/>
                <w:b w:val="1"/>
                <w:bCs w:val="1"/>
                <w:color w:val="auto"/>
              </w:rPr>
              <w:t>Prospectus</w:t>
            </w:r>
          </w:p>
        </w:tc>
      </w:tr>
      <w:tr>
        <w:trPr>
          <w:trHeight w:val="392"/>
        </w:trPr>
        <w:tc>
          <w:tcPr>
            <w:tcW w:w="16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2740" w:type="dxa"/>
            <w:vAlign w:val="bottom"/>
            <w:gridSpan w:val="10"/>
          </w:tcPr>
          <w:p>
            <w:pPr>
              <w:spacing w:after="0"/>
              <w:rPr>
                <w:sz w:val="24"/>
                <w:szCs w:val="24"/>
                <w:color w:val="auto"/>
              </w:rPr>
            </w:pPr>
          </w:p>
        </w:tc>
        <w:tc>
          <w:tcPr>
            <w:tcW w:w="6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43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98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Incorporation by Reference</w:t>
            </w:r>
          </w:p>
        </w:tc>
        <w:tc>
          <w:tcPr>
            <w:tcW w:w="880" w:type="dxa"/>
            <w:vAlign w:val="bottom"/>
            <w:tcBorders>
              <w:top w:val="single" w:sz="8" w:color="0000EE"/>
            </w:tcBorders>
            <w:gridSpan w:val="6"/>
          </w:tcPr>
          <w:p>
            <w:pPr>
              <w:spacing w:after="0"/>
              <w:rPr>
                <w:sz w:val="17"/>
                <w:szCs w:val="17"/>
                <w:color w:val="auto"/>
              </w:rPr>
            </w:pPr>
          </w:p>
        </w:tc>
        <w:tc>
          <w:tcPr>
            <w:tcW w:w="1520" w:type="dxa"/>
            <w:vAlign w:val="bottom"/>
            <w:gridSpan w:val="3"/>
          </w:tcPr>
          <w:p>
            <w:pPr>
              <w:spacing w:after="0"/>
              <w:rPr>
                <w:sz w:val="17"/>
                <w:szCs w:val="17"/>
                <w:color w:val="auto"/>
              </w:rPr>
            </w:pPr>
          </w:p>
        </w:tc>
        <w:tc>
          <w:tcPr>
            <w:tcW w:w="6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38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Special Note Regarding Forward-Looking Statements</w:t>
            </w:r>
          </w:p>
        </w:tc>
        <w:tc>
          <w:tcPr>
            <w:tcW w:w="500" w:type="dxa"/>
            <w:vAlign w:val="bottom"/>
            <w:gridSpan w:val="2"/>
          </w:tcPr>
          <w:p>
            <w:pPr>
              <w:spacing w:after="0"/>
              <w:rPr>
                <w:sz w:val="17"/>
                <w:szCs w:val="17"/>
                <w:color w:val="auto"/>
              </w:rPr>
            </w:pPr>
          </w:p>
        </w:tc>
        <w:tc>
          <w:tcPr>
            <w:tcW w:w="6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43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About the Registrant.</w:t>
            </w:r>
          </w:p>
        </w:tc>
        <w:tc>
          <w:tcPr>
            <w:tcW w:w="6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54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840" w:type="dxa"/>
            <w:vAlign w:val="bottom"/>
            <w:gridSpan w:val="11"/>
          </w:tcPr>
          <w:p>
            <w:pPr>
              <w:spacing w:after="0"/>
              <w:rPr>
                <w:sz w:val="17"/>
                <w:szCs w:val="17"/>
                <w:color w:val="auto"/>
              </w:rPr>
            </w:pPr>
          </w:p>
        </w:tc>
        <w:tc>
          <w:tcPr>
            <w:tcW w:w="6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r>
      <w:tr>
        <w:trPr>
          <w:trHeight w:val="196"/>
        </w:trPr>
        <w:tc>
          <w:tcPr>
            <w:tcW w:w="43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6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r>
      <w:tr>
        <w:trPr>
          <w:trHeight w:val="196"/>
        </w:trPr>
        <w:tc>
          <w:tcPr>
            <w:tcW w:w="21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2200" w:type="dxa"/>
            <w:vAlign w:val="bottom"/>
            <w:gridSpan w:val="7"/>
          </w:tcPr>
          <w:p>
            <w:pPr>
              <w:spacing w:after="0"/>
              <w:rPr>
                <w:sz w:val="17"/>
                <w:szCs w:val="17"/>
                <w:color w:val="auto"/>
              </w:rPr>
            </w:pPr>
          </w:p>
        </w:tc>
        <w:tc>
          <w:tcPr>
            <w:tcW w:w="6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22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Common Stock</w:t>
            </w:r>
          </w:p>
        </w:tc>
        <w:tc>
          <w:tcPr>
            <w:tcW w:w="2180" w:type="dxa"/>
            <w:vAlign w:val="bottom"/>
            <w:gridSpan w:val="6"/>
          </w:tcPr>
          <w:p>
            <w:pPr>
              <w:spacing w:after="0"/>
              <w:rPr>
                <w:sz w:val="17"/>
                <w:szCs w:val="17"/>
                <w:color w:val="auto"/>
              </w:rPr>
            </w:pPr>
          </w:p>
        </w:tc>
        <w:tc>
          <w:tcPr>
            <w:tcW w:w="6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22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Other Securities</w:t>
            </w:r>
          </w:p>
        </w:tc>
        <w:tc>
          <w:tcPr>
            <w:tcW w:w="2140" w:type="dxa"/>
            <w:vAlign w:val="bottom"/>
            <w:gridSpan w:val="5"/>
          </w:tcPr>
          <w:p>
            <w:pPr>
              <w:spacing w:after="0"/>
              <w:rPr>
                <w:sz w:val="17"/>
                <w:szCs w:val="17"/>
                <w:color w:val="auto"/>
              </w:rPr>
            </w:pPr>
          </w:p>
        </w:tc>
        <w:tc>
          <w:tcPr>
            <w:tcW w:w="6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43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14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2960" w:type="dxa"/>
            <w:vAlign w:val="bottom"/>
            <w:gridSpan w:val="13"/>
          </w:tcPr>
          <w:p>
            <w:pPr>
              <w:spacing w:after="0"/>
              <w:rPr>
                <w:sz w:val="17"/>
                <w:szCs w:val="17"/>
                <w:color w:val="auto"/>
              </w:rPr>
            </w:pPr>
          </w:p>
        </w:tc>
        <w:tc>
          <w:tcPr>
            <w:tcW w:w="6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10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380" w:type="dxa"/>
            <w:vAlign w:val="bottom"/>
            <w:gridSpan w:val="16"/>
          </w:tcPr>
          <w:p>
            <w:pPr>
              <w:spacing w:after="0"/>
              <w:rPr>
                <w:sz w:val="17"/>
                <w:szCs w:val="17"/>
                <w:color w:val="auto"/>
              </w:rPr>
            </w:pPr>
          </w:p>
        </w:tc>
        <w:tc>
          <w:tcPr>
            <w:tcW w:w="6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terms of the offering of the notes. The second part is the accompanying prospectus dated August 3, 2023, which we refer to as the “accompanying prospectus.” The accompanying prospectus contains a general description of our debt securities and other general information, some of which may not apply to the notes.</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are responsible for the information contained in or incorporated by reference in this prospectus supplement, the accompanying prospectus and in any related free writing prospectus we prepare or authorize. We have not, and the underwriters have not, authorized anyone to give you any other information, and neither we nor the underwriters take responsibility for any other information that others may give you. The notes are offered globally for sale only in those jurisdictions where it is lawful to make such offers. We are not, and the underwriters are not, making an offer of these securities in any jurisdiction where the offer or sale is not permitted. Persons outside the United States who receive this prospectus supplement and the accompanying prospectus should inform themselves about and observe any such restrictions. This prospectus supplement and the accompanying prospectus do not constitute, and may not be used in connection with, an offer to sell or the solicitation of an offer to buy (i) by any person in any jurisdiction in which such offer or solicitation is not authorized or in which the person making such offer or solicitation is not authorized or qualified to make such offer or solicitation or (ii) to any person to whom it is unlawful to make such offer or solicitation. See “Underwriting” in this prospectus supplement. You should not assume that the information provided by this prospectus supplement, the accompanying prospectus or the documents incorporated by reference in this prospectus supplement and in the accompanying prospectus is accurate as of any date other than their respective dates. Our business, financial condition, results of operations and prospects may have changed since those dates.</w:t>
      </w:r>
    </w:p>
    <w:p>
      <w:pPr>
        <w:spacing w:after="0" w:line="19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Before you invest in the notes, you should carefully read the registration statement (including the exhibits thereto) of which this prospectus supplement and the accompanying prospectus form a part, this prospectus supplement, the accompanying prospectus and the documents incorporated by reference into this prospectus supplement and the accompanying prospectus. The incorporated documents are described in this prospectus supplement under “Where You Can Find More Information.”</w:t>
      </w:r>
    </w:p>
    <w:p>
      <w:pPr>
        <w:spacing w:after="0" w:line="180"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prospectus to “Xylem,” the “Company,” “we,” “us,” and “our” refer to Xylem Inc. and its consolidated subsidiaries.</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file annual reports on Form 10-K, quarterly reports on Form 10-Q, current reports on Form 8-K, proxy and information statements and other information with the Securities and Exchange Commission (the “SEC”). The SEC maintains a website at www.sec.gov that contains reports, proxy and information statements and other information regarding Xylem Inc. and other companies that file materials with the SEC electronically. Copies of our periodic and current reports and proxy statements may be obtained, free of charge, on the “Investors” section of our website at http://www.xylem.com. This reference to our website is for informational purposes only and shall not, under any circumstances, be deemed to incorporate the information available at or through such website into this prospectus supplement or the accompanying prospectus.</w:t>
      </w:r>
    </w:p>
    <w:p>
      <w:pPr>
        <w:spacing w:after="0" w:line="3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The SEC allows us to “incorporate by reference” documents we file with the SEC into this prospectus supplement, which means that we can disclose important information to you by referring to those documents. The information incorporated by reference is considered part of this prospectus supplement. Any statement in this prospectus supplement or incorporated by reference into this prospectus supplement shall be automatically</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60"/>
        <w:spacing w:after="0" w:line="289" w:lineRule="auto"/>
        <w:rPr>
          <w:sz w:val="20"/>
          <w:szCs w:val="20"/>
          <w:color w:val="auto"/>
        </w:rPr>
      </w:pPr>
      <w:r>
        <w:rPr>
          <w:rFonts w:ascii="Times New Roman" w:cs="Times New Roman" w:eastAsia="Times New Roman" w:hAnsi="Times New Roman"/>
          <w:sz w:val="17"/>
          <w:szCs w:val="17"/>
          <w:color w:val="auto"/>
        </w:rPr>
        <w:t>modified or superseded for purposes of this prospectus supplement to the extent that a statement contained herein or in a subsequently filed document that is incorporated by reference in this prospectus supplement modifies or supersedes such prior statement. We incorporate by reference the following documents filed with the SEC (other than, in each case, any information deemed to have been furnished and not filed in accordance with SEC rules):</w:t>
      </w:r>
    </w:p>
    <w:p>
      <w:pPr>
        <w:spacing w:after="0" w:line="63"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February 25, 2026;</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our Definitive Proxy Statement on </w:t>
      </w:r>
      <w:hyperlink r:id="rId16">
        <w:r>
          <w:rPr>
            <w:rFonts w:ascii="Times New Roman" w:cs="Times New Roman" w:eastAsia="Times New Roman" w:hAnsi="Times New Roman"/>
            <w:sz w:val="18"/>
            <w:szCs w:val="18"/>
            <w:u w:val="single" w:color="auto"/>
            <w:color w:val="0000EE"/>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March 30, 2026, to the extent specifically incorporated by reference into our Annual Report on Form 10-K for the year ended December 31, 2025;</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17">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quarterly period ended March 31, 2026, filed on April 28, 2026;</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w:t>
      </w:r>
      <w:hyperlink r:id="rId18">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February 25, 2026; and</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1"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filings we make with the SEC under Sections 13(a), 13(c), 14 or 15(d) of the Securities Exchange Act of 1934, as amended (the “Exchange Act”) before the termination of the offering of the securities made under this prospectus supplement. Unless we specifically state to the contrary, none of the information we disclose under Items 2.02 or 7.01 of any Current Report on Form 8-K that we may from time to time furnish to the SEC will be incorporated by reference into, or otherwise included in, this prospectus supplement.</w:t>
      </w:r>
    </w:p>
    <w:p>
      <w:pPr>
        <w:spacing w:after="0" w:line="180" w:lineRule="exact"/>
        <w:rPr>
          <w:rFonts w:ascii="Times New Roman" w:cs="Times New Roman" w:eastAsia="Times New Roman" w:hAnsi="Times New Roman"/>
          <w:sz w:val="18"/>
          <w:szCs w:val="18"/>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Each person to whom a copy of this prospectus has been delivered, including any beneficial owner, may request a copy of any or all of the documents referred to above which may have been or may be incorporated by reference into this prospectus supplement and accompanying prospectus (excluding certain exhibits to the documents) at no cost by making a written or oral request to us at the following address:</w:t>
      </w:r>
    </w:p>
    <w:p>
      <w:pPr>
        <w:spacing w:after="0" w:line="176"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Xylem Inc., Attention: Corporate Secretary, 301 Water Street SE, Washington, D.C. 20003, (202) 869-9150</w:t>
      </w:r>
    </w:p>
    <w:p>
      <w:pPr>
        <w:spacing w:after="0" w:line="225" w:lineRule="exact"/>
        <w:rPr>
          <w:rFonts w:ascii="Times New Roman" w:cs="Times New Roman" w:eastAsia="Times New Roman" w:hAnsi="Times New Roman"/>
          <w:sz w:val="18"/>
          <w:szCs w:val="18"/>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NOT, AND THE UNDERWRITERS HAVE NOT, AUTHORIZED ANYONE TO PROVIDE YOU WITH ANY ADDITIONAL INFORMATION OR ANY INFORMATION THAT IS DIFFERENT FROM THAT CONTAINED IN OR INCORPORATED BY REFERENCE INTO THIS PROSPECTUS SUPPLEMENT OR THE ACCOMPANYING PROSPECTUS OR ANY FREE WRITING PROSPECTUS PROVIDED IN CONNECTION WITH THE OFFERING OF THE NOTES. WE AND THE UNDERWRITERS TAKE NO RESPONSIBILITY FOR, AND CAN PROVIDE NO ASSURANCE AS TO THE RELIABILITY OF, ANY OTHER INFORMATION THAT OTHERS MAY GIVE YOU. YOU SHOULD NOT ASSUME THAT THE INFORMATION CONTAINED IN THIS PROSPECTUS SUPPLEMENT OR THE ACCOMPANYING PROSPECTUS IS ACCURATE AS OF ANY DATE OTHER THAN THAT DATE, UNLESS WE OTHERWISE NOTE IN THIS PROSPECTUS SUPPLEMENT OR THE ACCOMPANYING PROSPECTUS.</w:t>
      </w:r>
    </w:p>
    <w:p>
      <w:pPr>
        <w:spacing w:after="0" w:line="124"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including documents incorporated herein by reference, contains “forward-looking statements” within the meaning of Section 27A of the Securities Act of 1933, as amended (the “Securities Act”) and Section 21E of the Exchange Act. Generally, the words “anticipate,” “estimate,” “expect,” “project,” “intend,” “plan,” “contemplate,” “predict,” “outlook,” “forecast,” “likely,” “believe,” “target,” “goal,” “objective,” “will,” “could,” “would,” “should,” “potential,” “may” and similar expressions or their negative, may, but are not necessary to, identify forward-looking statements. By their nature, forward-looking statements address uncertain matters and include any statements that: are not historical, such as statements about our strategy, financial plans, outlook, objectives, plans, intentions or goals (including those related to our social, environmental and other sustainability goals); or address possible or future results of operations or financial performance, including statements relating to orders, revenues, operating margins and earnings per share growth.</w:t>
      </w:r>
    </w:p>
    <w:p>
      <w:pPr>
        <w:spacing w:after="0" w:line="192"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Although we believe that the expectations reflected in any of our forward-looking statements are reasonable, actual results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Important factors that could cause our actual results, performance and achievements, or industry results to differ materially from estimates or projections contained in or implied by our forward-looking statements include, among others, the following: the impact of overall industry and general economic conditions, including industrial, governmental, and public and private sector spending, interest rates, availability of funding to our customers, inflation and governments’ related monetary policy in response, and the strength of the real estate markets, on economic activity and our operations; geopolitical matters, including nationalism, protectionism and anti-global sentiment, volatility involving the U.S. and other governments, ongoing, escalation or outbreak of international conflicts, and regulatory, trade protection, economic and other risks associated with our global sales and operations; manufacturing and operating cost increases due to macroeconomic conditions, including inflation, energy supply, supply chain shortages, logistics challenges, labor shortages, trade agreements, tariffs, and other trade protection measures, and other factors; demand for our products, disruption, competition or pricing pressures in the markets we serve; cybersecurity incidents, data breaches, or other disruptions of information technology systems on which we or our customers rely, or involving our connected products and services; lack of availability or delays in receiving parts and raw materials from our supply chain, including semiconductors or other key components; operational disruptions at our facilities or that of third parties upon which we rely; safe and compliant treatment and handling of water, wastewater and hazardous materials; failure to successfully execute large projects, including as respects performance guarantees and customers’ budgets, timelines and safety requirements; our ability to retain, compete for and attract leadership, other key talent and labor; defects, security, warranty and liability claims, and recalls related to our products; uncertainty around productivity, simplification, restructuring and realignment actions and related costs and savings; our ability to execute strategic investments for growth, including acquisitions and divestitures; availability, regulation or interference with radio spectrum used by certain of our products; volatility in served markets or impacts on our business and operations due to weather conditions, volatile weather events, or changing climate patterns; risks related to our sustainability efforts and related disclosures; fluctuations in foreign currency exchange rates; difficulty predicting our financial results; risk of future impairments to goodwill and other intangible assets; changes in our effective tax rates or tax expenses; failure to comply with, or changes in, laws or regulations pertaining to our business conduct, operations, products and services, including anti-corruption, artificial intelligence, data privacy and security, trade, competition, the environment, and health and safety; legal, governmental or regulatory claims, investigations or proceedings and associated contingent liabilities; matters related to intellectual property infringement or expiration of rights; and other factors set forth below under “Risk Factors” and those described from time to time in reports filed with the SEC.</w:t>
      </w:r>
    </w:p>
    <w:p>
      <w:pPr>
        <w:spacing w:after="0" w:line="204"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Forward-looking and other statements in this prospectus supplement or the documents incorporated by reference herein regarding our environmental and other sustainability, plans and goals are not an indication that these statements are necessarily material to investors, to our business, operating results, financial condition,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outlook, or strategy, to our impacts on sustainability matters or other parties, or are required to be disclosed in our filings with the SEC or other regulatory authorities, and are not intended to create legal rights or obligations. In addition, historical, current, and forward-looking social, environmental and sustainability-related statements may be based on: standards for measuring progress that are still developing, internal controls and processes that continue to evolve, and assumptions that are subject to change in the future. All forward-looking statements made herein are based on information currently available to us as of the date of this prospectus supplement. We undertake no obligation to publicly update or revise any forward-looking statements, whether as a result of new information, future events or otherwise, except as required by law.</w:t>
      </w:r>
    </w:p>
    <w:p>
      <w:pPr>
        <w:spacing w:after="0" w:line="1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000"/>
          </w:cols>
          <w:pgMar w:left="320" w:top="455" w:right="5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677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6998970" cy="61677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jc w:val="both"/>
        <w:ind w:left="300" w:right="18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is a brief summary of some of the terms of this offering. It does not contain all of the information that you need to consider in making your investment decision. To understand all of the terms of the offering of the notes, you should carefully read this prospectus supplement and the accompanying prospectus.</w:t>
      </w:r>
    </w:p>
    <w:p>
      <w:pPr>
        <w:spacing w:after="0" w:line="38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About Xylem</w:t>
      </w:r>
    </w:p>
    <w:p>
      <w:pPr>
        <w:spacing w:after="0" w:line="229"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Xylem is a leading global water technology company. We design, manufacture and service highly engineered products and solutions ranging across a wide variety of critical applications in utility, industrial, residential and commercial building services settings. Our broad portfolio of solutions addresses customer needs across the water cycle, from the delivery, measurement and use of drinking water, to the collection, test, treatment and analysis of wastewater, to the return of water to the environment. Our product and service offerings are organized into four reportable segments that are aligned around the critical market applications they provide: Water Infrastructure, Applied Water, Measurement and Control Solutions and Water Solutions and Services.</w:t>
      </w:r>
    </w:p>
    <w:p>
      <w:pPr>
        <w:spacing w:after="0" w:line="91" w:lineRule="exact"/>
        <w:rPr>
          <w:sz w:val="20"/>
          <w:szCs w:val="20"/>
          <w:color w:val="auto"/>
        </w:rPr>
      </w:pPr>
    </w:p>
    <w:p>
      <w:pPr>
        <w:ind w:left="1240" w:right="60" w:hanging="415"/>
        <w:spacing w:after="0" w:line="254"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Water Infrastructure serves the water infrastructure sector with pump systems that transport water from aquifers, lakes, rivers and seas; with filtration, ultraviolet and ozone systems that provide treatment, making the water fit to use; and pumping solutions that move the wastewater and storm water to treatment facilities where our mixers, biological treatment, monitoring and control systems provide the primary functions in the treatment process. Additionally, our offerings use monitoring and control, smart and connected technologies to allow for remote monitoring of performance and enable products to self-optimize pump operations maximizing energy efficiency and minimizing unplanned downtime and maintenance for our customers. The Water Infrastructure segment also provides a range of highly differentiated and scalable products and technologies with product offerings in the filtration and separation, disinfection, and wastewater solutions, for municipal and industrial applications. In the Water Infrastructure segment we reach customers indirectly, through channel partners and distributors, directly and through our service capabilities.</w:t>
      </w:r>
    </w:p>
    <w:p>
      <w:pPr>
        <w:spacing w:after="0" w:line="93" w:lineRule="exact"/>
        <w:rPr>
          <w:rFonts w:ascii="Times New Roman" w:cs="Times New Roman" w:eastAsia="Times New Roman" w:hAnsi="Times New Roman"/>
          <w:sz w:val="18"/>
          <w:szCs w:val="18"/>
          <w:color w:val="auto"/>
        </w:rPr>
      </w:pPr>
    </w:p>
    <w:p>
      <w:pPr>
        <w:ind w:left="1240" w:right="320" w:hanging="415"/>
        <w:spacing w:after="0" w:line="257"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Applied Water </w:t>
      </w:r>
      <w:r>
        <w:rPr>
          <w:rFonts w:ascii="Times New Roman" w:cs="Times New Roman" w:eastAsia="Times New Roman" w:hAnsi="Times New Roman"/>
          <w:sz w:val="18"/>
          <w:szCs w:val="18"/>
          <w:color w:val="auto"/>
        </w:rPr>
        <w:t>serves the water usage applications sector with water pressure boosting systems for heating, ventilation and 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conditioning, and for fire protection systems to the residential and commercial building solutions markets. In addition, our pumps, heat exchangers and controls provide cooling to power plants and manufacturing facilities, circulation for food and beverage processing, and boosting systems for agricultural irrigation. In the Applied Water segment, we provide the majority of our sales through long-standing relationships with many of the leading independent distributors in the markets we serve, with the remainder going directly to customers.</w:t>
      </w:r>
    </w:p>
    <w:p>
      <w:pPr>
        <w:spacing w:after="0" w:line="87" w:lineRule="exact"/>
        <w:rPr>
          <w:rFonts w:ascii="Times New Roman" w:cs="Times New Roman" w:eastAsia="Times New Roman" w:hAnsi="Times New Roman"/>
          <w:sz w:val="18"/>
          <w:szCs w:val="18"/>
          <w:color w:val="auto"/>
        </w:rPr>
      </w:pPr>
    </w:p>
    <w:p>
      <w:pPr>
        <w:ind w:left="1240" w:right="40" w:hanging="415"/>
        <w:spacing w:after="0" w:line="271" w:lineRule="auto"/>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Measurement and Control Solutions </w:t>
      </w:r>
      <w:r>
        <w:rPr>
          <w:rFonts w:ascii="Times New Roman" w:cs="Times New Roman" w:eastAsia="Times New Roman" w:hAnsi="Times New Roman"/>
          <w:sz w:val="17"/>
          <w:szCs w:val="17"/>
          <w:color w:val="auto"/>
        </w:rPr>
        <w:t>primarily serves the utility infrastructure solutions and services sector by delivering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communications, smart metering, measurement and control capabilities and critical infrastructure technologies that allow customers to more effectively use their distribution networks for the delivery, monitoring and control of critical resources such as water, electricity and natural gas. We also provide analytical instrumentation used to measure and analyze water quality, flow and level in clean water, wastewater and outdoor water environments. Additionally, we offer software and services which have been further enhanced by our Xylem Vue platform to enable a holistic view of the water cycle for our customers through cloud-based analytics, remote monitoring and data management with the purpose of optimizing their operating efficiency. In the Measurement and Control Solutions segment, we generate our sales through a combination of long-standing relationships with leading distributors and dedicated channel partners, as well as direct sales depending on the regional availability of distribution channels and the type of product.</w:t>
      </w:r>
    </w:p>
    <w:p>
      <w:pPr>
        <w:spacing w:after="0" w:line="78" w:lineRule="exact"/>
        <w:rPr>
          <w:rFonts w:ascii="Times New Roman" w:cs="Times New Roman" w:eastAsia="Times New Roman" w:hAnsi="Times New Roman"/>
          <w:sz w:val="17"/>
          <w:szCs w:val="17"/>
          <w:color w:val="auto"/>
        </w:rPr>
      </w:pPr>
    </w:p>
    <w:p>
      <w:pPr>
        <w:ind w:left="1240" w:right="260" w:hanging="415"/>
        <w:spacing w:after="0" w:line="284"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Water Solutions and Services </w:t>
      </w:r>
      <w:r>
        <w:rPr>
          <w:rFonts w:ascii="Times New Roman" w:cs="Times New Roman" w:eastAsia="Times New Roman" w:hAnsi="Times New Roman"/>
          <w:sz w:val="18"/>
          <w:szCs w:val="18"/>
          <w:color w:val="auto"/>
        </w:rPr>
        <w:t>provides tailored services and solutions, in collaboration with customers, including on-demand water,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outsourced water, recycle/reuse, pipeline assessment services, specialty</w:t>
      </w:r>
    </w:p>
    <w:p>
      <w:pPr>
        <w:spacing w:after="0" w:line="28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6071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6998970" cy="16071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20"/>
        <w:spacing w:after="0" w:line="255" w:lineRule="auto"/>
        <w:rPr>
          <w:sz w:val="20"/>
          <w:szCs w:val="20"/>
          <w:color w:val="auto"/>
        </w:rPr>
      </w:pPr>
      <w:r>
        <w:rPr>
          <w:rFonts w:ascii="Times New Roman" w:cs="Times New Roman" w:eastAsia="Times New Roman" w:hAnsi="Times New Roman"/>
          <w:sz w:val="18"/>
          <w:szCs w:val="18"/>
          <w:color w:val="auto"/>
        </w:rPr>
        <w:t>dewatering and emergency response service alternatives to improve operational reliability, performance and environmental compliance. Key offerings within this segment also include equipment systems for industrial needs (influent water, boiler feed water, ultrahigh purity, process water, wastewater treatment, and recycle/reuse), full-scale outsourcing of operations and maintenance, and municipal services, including odor and corrosion control services, as well as leak detection, condition assessment and asset management and pressure monitoring solutions. In the Water Solutions and Services segment, we leverage our internal and external partners, and extensive service branch networks across the globe, including a rental fleet of transfer and treatment assets to serve our customers.</w:t>
      </w:r>
    </w:p>
    <w:p>
      <w:pPr>
        <w:spacing w:after="0" w:line="189"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Xylem Inc. was incorporated under the laws of the State of Indiana on May 4, 2011. Our principal executive offices are located at 301 Water Street SE, Washington, D.C. 20003 USA, and our telephone number is (202) 869-9150.</w:t>
      </w:r>
    </w:p>
    <w:p>
      <w:pPr>
        <w:spacing w:after="0" w:line="28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840"/>
          </w:cols>
          <w:pgMar w:left="320" w:top="455" w:right="7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95"/>
        </w:trPr>
        <w:tc>
          <w:tcPr>
            <w:tcW w:w="4100" w:type="dxa"/>
            <w:vAlign w:val="bottom"/>
            <w:tcBorders>
              <w:top w:val="single" w:sz="8" w:color="auto"/>
              <w:left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The Offering</w:t>
            </w:r>
          </w:p>
        </w:tc>
        <w:tc>
          <w:tcPr>
            <w:tcW w:w="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40" w:type="dxa"/>
            <w:vAlign w:val="bottom"/>
            <w:tcBorders>
              <w:top w:val="single" w:sz="8" w:color="auto"/>
              <w:right w:val="single" w:sz="8" w:color="auto"/>
            </w:tcBorders>
          </w:tcPr>
          <w:p>
            <w:pPr>
              <w:spacing w:after="0"/>
              <w:rPr>
                <w:sz w:val="24"/>
                <w:szCs w:val="24"/>
                <w:color w:val="auto"/>
              </w:rPr>
            </w:pPr>
          </w:p>
        </w:tc>
      </w:tr>
      <w:tr>
        <w:trPr>
          <w:trHeight w:val="459"/>
        </w:trPr>
        <w:tc>
          <w:tcPr>
            <w:tcW w:w="4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The Issuer</w:t>
            </w:r>
          </w:p>
        </w:tc>
        <w:tc>
          <w:tcPr>
            <w:tcW w:w="30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Xylem Inc., an Indiana corporation.</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r>
      <w:tr>
        <w:trPr>
          <w:trHeight w:val="333"/>
        </w:trPr>
        <w:tc>
          <w:tcPr>
            <w:tcW w:w="4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Securities Offered</w:t>
            </w:r>
          </w:p>
        </w:tc>
        <w:tc>
          <w:tcPr>
            <w:tcW w:w="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tcPr>
          <w:p>
            <w:pPr>
              <w:spacing w:after="0"/>
              <w:rPr>
                <w:sz w:val="24"/>
                <w:szCs w:val="24"/>
                <w:color w:val="auto"/>
              </w:rPr>
            </w:pPr>
          </w:p>
        </w:tc>
        <w:tc>
          <w:tcPr>
            <w:tcW w:w="412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auto"/>
              </w:rPr>
              <w:t xml:space="preserve">aggregate principal amount of our notes, consisting of $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tcPr>
          <w:p>
            <w:pPr>
              <w:ind w:left="120"/>
              <w:spacing w:after="0"/>
              <w:rPr>
                <w:sz w:val="20"/>
                <w:szCs w:val="20"/>
                <w:color w:val="auto"/>
              </w:rPr>
            </w:pPr>
            <w:r>
              <w:rPr>
                <w:rFonts w:ascii="Times New Roman" w:cs="Times New Roman" w:eastAsia="Times New Roman" w:hAnsi="Times New Roman"/>
                <w:sz w:val="2"/>
                <w:szCs w:val="2"/>
                <w:color w:val="auto"/>
                <w:w w:val="97"/>
              </w:rPr>
              <w:t> </w:t>
            </w:r>
          </w:p>
        </w:tc>
        <w:tc>
          <w:tcPr>
            <w:tcW w:w="13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aggregate</w:t>
            </w:r>
          </w:p>
        </w:tc>
      </w:tr>
      <w:tr>
        <w:trPr>
          <w:trHeight w:val="216"/>
        </w:trPr>
        <w:tc>
          <w:tcPr>
            <w:tcW w:w="4100" w:type="dxa"/>
            <w:vAlign w:val="bottom"/>
            <w:tcBorders>
              <w:left w:val="single" w:sz="8" w:color="auto"/>
            </w:tcBorders>
          </w:tcPr>
          <w:p>
            <w:pPr>
              <w:spacing w:after="0"/>
              <w:rPr>
                <w:sz w:val="18"/>
                <w:szCs w:val="18"/>
                <w:color w:val="auto"/>
              </w:rPr>
            </w:pPr>
          </w:p>
        </w:tc>
        <w:tc>
          <w:tcPr>
            <w:tcW w:w="17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w w:val="94"/>
              </w:rPr>
              <w:t>principal amount of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77"/>
              </w:rPr>
              <w:t> </w:t>
            </w:r>
          </w:p>
        </w:tc>
        <w:tc>
          <w:tcPr>
            <w:tcW w:w="20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xml:space="preserve">% Senior Notes due 20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5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xml:space="preserve">and $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w w:val="98"/>
              </w:rPr>
              <w:t> </w:t>
            </w:r>
          </w:p>
        </w:tc>
        <w:tc>
          <w:tcPr>
            <w:tcW w:w="1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aggregate</w:t>
            </w:r>
          </w:p>
        </w:tc>
      </w:tr>
      <w:tr>
        <w:trPr>
          <w:trHeight w:val="234"/>
        </w:trPr>
        <w:tc>
          <w:tcPr>
            <w:tcW w:w="4100" w:type="dxa"/>
            <w:vAlign w:val="bottom"/>
            <w:tcBorders>
              <w:left w:val="single" w:sz="8" w:color="auto"/>
            </w:tcBorders>
          </w:tcPr>
          <w:p>
            <w:pPr>
              <w:spacing w:after="0"/>
              <w:rPr>
                <w:sz w:val="20"/>
                <w:szCs w:val="20"/>
                <w:color w:val="auto"/>
              </w:rPr>
            </w:pPr>
          </w:p>
        </w:tc>
        <w:tc>
          <w:tcPr>
            <w:tcW w:w="170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w w:val="94"/>
              </w:rPr>
              <w:t>principal amount of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77"/>
              </w:rPr>
              <w:t> </w:t>
            </w:r>
          </w:p>
        </w:tc>
        <w:tc>
          <w:tcPr>
            <w:tcW w:w="22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w w:val="95"/>
              </w:rPr>
              <w:t>% Senior Blue Notes due 20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jc w:val="right"/>
              <w:ind w:right="9"/>
              <w:spacing w:after="0"/>
              <w:rPr>
                <w:sz w:val="20"/>
                <w:szCs w:val="20"/>
                <w:color w:val="auto"/>
              </w:rPr>
            </w:pPr>
            <w:r>
              <w:rPr>
                <w:rFonts w:ascii="Times New Roman" w:cs="Times New Roman" w:eastAsia="Times New Roman" w:hAnsi="Times New Roman"/>
                <w:sz w:val="13"/>
                <w:szCs w:val="13"/>
                <w:color w:val="auto"/>
                <w:w w:val="76"/>
              </w:rPr>
              <w:t> </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5"/>
              </w:rPr>
              <w:t>   .</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r>
      <w:tr>
        <w:trPr>
          <w:trHeight w:val="338"/>
        </w:trPr>
        <w:tc>
          <w:tcPr>
            <w:tcW w:w="4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Original Issue Date</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2026.</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Borders>
              <w:right w:val="single" w:sz="8" w:color="auto"/>
            </w:tcBorders>
          </w:tcPr>
          <w:p>
            <w:pPr>
              <w:spacing w:after="0"/>
              <w:rPr>
                <w:sz w:val="24"/>
                <w:szCs w:val="24"/>
                <w:color w:val="auto"/>
              </w:rPr>
            </w:pPr>
          </w:p>
        </w:tc>
      </w:tr>
      <w:tr>
        <w:trPr>
          <w:trHeight w:val="333"/>
        </w:trPr>
        <w:tc>
          <w:tcPr>
            <w:tcW w:w="4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Maturity Date</w:t>
            </w:r>
          </w:p>
        </w:tc>
        <w:tc>
          <w:tcPr>
            <w:tcW w:w="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3"/>
              </w:rPr>
              <w:t>The 20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206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4"/>
              </w:rPr>
              <w:t>      notes will mature on  </w:t>
            </w:r>
          </w:p>
        </w:tc>
        <w:tc>
          <w:tcPr>
            <w:tcW w:w="240" w:type="dxa"/>
            <w:vAlign w:val="bottom"/>
          </w:tcPr>
          <w:p>
            <w:pPr>
              <w:ind w:left="1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6"/>
              </w:rPr>
              <w:t> </w:t>
            </w:r>
          </w:p>
        </w:tc>
        <w:tc>
          <w:tcPr>
            <w:tcW w:w="1280" w:type="dxa"/>
            <w:vAlign w:val="bottom"/>
            <w:gridSpan w:val="4"/>
          </w:tcPr>
          <w:p>
            <w:pPr>
              <w:jc w:val="right"/>
              <w:ind w:right="29"/>
              <w:spacing w:after="0"/>
              <w:rPr>
                <w:sz w:val="20"/>
                <w:szCs w:val="20"/>
                <w:color w:val="auto"/>
              </w:rPr>
            </w:pPr>
            <w:r>
              <w:rPr>
                <w:rFonts w:ascii="Times New Roman" w:cs="Times New Roman" w:eastAsia="Times New Roman" w:hAnsi="Times New Roman"/>
                <w:sz w:val="18"/>
                <w:szCs w:val="18"/>
                <w:color w:val="auto"/>
                <w:w w:val="93"/>
              </w:rPr>
              <w:t>,   and the 20 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5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blue notes will</w:t>
            </w:r>
          </w:p>
        </w:tc>
      </w:tr>
      <w:tr>
        <w:trPr>
          <w:trHeight w:val="234"/>
        </w:trPr>
        <w:tc>
          <w:tcPr>
            <w:tcW w:w="4100" w:type="dxa"/>
            <w:vAlign w:val="bottom"/>
            <w:tcBorders>
              <w:left w:val="single" w:sz="8" w:color="auto"/>
            </w:tcBorders>
          </w:tcPr>
          <w:p>
            <w:pPr>
              <w:spacing w:after="0"/>
              <w:rPr>
                <w:sz w:val="20"/>
                <w:szCs w:val="20"/>
                <w:color w:val="auto"/>
              </w:rPr>
            </w:pPr>
          </w:p>
        </w:tc>
        <w:tc>
          <w:tcPr>
            <w:tcW w:w="94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w w:val="84"/>
              </w:rPr>
              <w:t>mature on  </w:t>
            </w: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8"/>
              </w:rPr>
              <w:t>         ,    .</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r>
      <w:tr>
        <w:trPr>
          <w:trHeight w:val="319"/>
        </w:trPr>
        <w:tc>
          <w:tcPr>
            <w:tcW w:w="4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Interest Payment Dates</w:t>
            </w:r>
          </w:p>
        </w:tc>
        <w:tc>
          <w:tcPr>
            <w:tcW w:w="4880" w:type="dxa"/>
            <w:vAlign w:val="bottom"/>
            <w:gridSpan w:val="16"/>
          </w:tcPr>
          <w:p>
            <w:pPr>
              <w:ind w:left="120"/>
              <w:spacing w:after="0"/>
              <w:rPr>
                <w:sz w:val="20"/>
                <w:szCs w:val="20"/>
                <w:color w:val="auto"/>
              </w:rPr>
            </w:pPr>
            <w:r>
              <w:rPr>
                <w:rFonts w:ascii="Times New Roman" w:cs="Times New Roman" w:eastAsia="Times New Roman" w:hAnsi="Times New Roman"/>
                <w:sz w:val="18"/>
                <w:szCs w:val="18"/>
                <w:color w:val="auto"/>
                <w:w w:val="96"/>
              </w:rPr>
              <w:t>Interest on the notes of each series will be paid semi-annually on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tcPr>
          <w:p>
            <w:pPr>
              <w:spacing w:after="0"/>
              <w:rPr>
                <w:sz w:val="24"/>
                <w:szCs w:val="24"/>
                <w:color w:val="auto"/>
              </w:rPr>
            </w:pPr>
          </w:p>
        </w:tc>
        <w:tc>
          <w:tcPr>
            <w:tcW w:w="1340" w:type="dxa"/>
            <w:vAlign w:val="bottom"/>
            <w:tcBorders>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rPr>
              <w:t xml:space="preserve">and           </w:t>
            </w:r>
          </w:p>
        </w:tc>
      </w:tr>
      <w:tr>
        <w:trPr>
          <w:trHeight w:val="234"/>
        </w:trPr>
        <w:tc>
          <w:tcPr>
            <w:tcW w:w="4100" w:type="dxa"/>
            <w:vAlign w:val="bottom"/>
            <w:tcBorders>
              <w:left w:val="single" w:sz="8" w:color="auto"/>
            </w:tcBorders>
          </w:tcPr>
          <w:p>
            <w:pPr>
              <w:spacing w:after="0"/>
              <w:rPr>
                <w:sz w:val="20"/>
                <w:szCs w:val="20"/>
                <w:color w:val="auto"/>
              </w:rPr>
            </w:pPr>
          </w:p>
        </w:tc>
        <w:tc>
          <w:tcPr>
            <w:tcW w:w="30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 xml:space="preserve">of each year, commencing on           </w:t>
            </w:r>
          </w:p>
        </w:tc>
        <w:tc>
          <w:tcPr>
            <w:tcW w:w="600" w:type="dxa"/>
            <w:vAlign w:val="bottom"/>
            <w:gridSpan w:val="3"/>
          </w:tcPr>
          <w:p>
            <w:pPr>
              <w:jc w:val="right"/>
              <w:ind w:right="38"/>
              <w:spacing w:after="0"/>
              <w:rPr>
                <w:sz w:val="20"/>
                <w:szCs w:val="20"/>
                <w:color w:val="auto"/>
              </w:rPr>
            </w:pPr>
            <w:r>
              <w:rPr>
                <w:rFonts w:ascii="Times New Roman" w:cs="Times New Roman" w:eastAsia="Times New Roman" w:hAnsi="Times New Roman"/>
                <w:sz w:val="18"/>
                <w:szCs w:val="18"/>
                <w:color w:val="auto"/>
                <w:w w:val="96"/>
              </w:rPr>
              <w:t>, 2026.</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r>
      <w:tr>
        <w:trPr>
          <w:trHeight w:val="319"/>
        </w:trPr>
        <w:tc>
          <w:tcPr>
            <w:tcW w:w="4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Interest Rate</w:t>
            </w:r>
          </w:p>
        </w:tc>
        <w:tc>
          <w:tcPr>
            <w:tcW w:w="30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w w:val="95"/>
              </w:rPr>
              <w:t>The notes will bear interest at a rate of  </w:t>
            </w:r>
          </w:p>
        </w:tc>
        <w:tc>
          <w:tcPr>
            <w:tcW w:w="24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jc w:val="right"/>
              <w:ind w:right="18"/>
              <w:spacing w:after="0"/>
              <w:rPr>
                <w:sz w:val="20"/>
                <w:szCs w:val="20"/>
                <w:color w:val="auto"/>
              </w:rPr>
            </w:pPr>
            <w:r>
              <w:rPr>
                <w:rFonts w:ascii="Times New Roman" w:cs="Times New Roman" w:eastAsia="Times New Roman" w:hAnsi="Times New Roman"/>
                <w:sz w:val="11"/>
                <w:szCs w:val="11"/>
                <w:color w:val="auto"/>
                <w:w w:val="72"/>
              </w:rPr>
              <w:t> </w:t>
            </w:r>
          </w:p>
        </w:tc>
        <w:tc>
          <w:tcPr>
            <w:tcW w:w="3320" w:type="dxa"/>
            <w:vAlign w:val="bottom"/>
            <w:tcBorders>
              <w:right w:val="single" w:sz="8" w:color="auto"/>
            </w:tcBorders>
            <w:gridSpan w:val="9"/>
          </w:tcPr>
          <w:p>
            <w:pPr>
              <w:ind w:left="40"/>
              <w:spacing w:after="0"/>
              <w:rPr>
                <w:sz w:val="20"/>
                <w:szCs w:val="20"/>
                <w:color w:val="auto"/>
              </w:rPr>
            </w:pPr>
            <w:r>
              <w:rPr>
                <w:rFonts w:ascii="Times New Roman" w:cs="Times New Roman" w:eastAsia="Times New Roman" w:hAnsi="Times New Roman"/>
                <w:sz w:val="18"/>
                <w:szCs w:val="18"/>
                <w:color w:val="auto"/>
              </w:rPr>
              <w:t>% per annum with respect to the 20</w:t>
            </w:r>
          </w:p>
        </w:tc>
      </w:tr>
      <w:tr>
        <w:trPr>
          <w:trHeight w:val="234"/>
        </w:trPr>
        <w:tc>
          <w:tcPr>
            <w:tcW w:w="4100" w:type="dxa"/>
            <w:vAlign w:val="bottom"/>
            <w:tcBorders>
              <w:left w:val="single" w:sz="8" w:color="auto"/>
            </w:tcBorders>
          </w:tcPr>
          <w:p>
            <w:pPr>
              <w:spacing w:after="0"/>
              <w:rPr>
                <w:sz w:val="20"/>
                <w:szCs w:val="20"/>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7"/>
              </w:rPr>
              <w:t>notes and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2780" w:type="dxa"/>
            <w:vAlign w:val="bottom"/>
            <w:gridSpan w:val="9"/>
          </w:tcPr>
          <w:p>
            <w:pPr>
              <w:ind w:left="40"/>
              <w:spacing w:after="0"/>
              <w:rPr>
                <w:sz w:val="20"/>
                <w:szCs w:val="20"/>
                <w:color w:val="auto"/>
              </w:rPr>
            </w:pPr>
            <w:r>
              <w:rPr>
                <w:rFonts w:ascii="Times New Roman" w:cs="Times New Roman" w:eastAsia="Times New Roman" w:hAnsi="Times New Roman"/>
                <w:sz w:val="18"/>
                <w:szCs w:val="18"/>
                <w:color w:val="auto"/>
                <w:w w:val="99"/>
              </w:rPr>
              <w:t>% per annum with respect to the 20 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77"/>
              </w:rPr>
              <w:t> </w:t>
            </w:r>
          </w:p>
        </w:tc>
        <w:tc>
          <w:tcPr>
            <w:tcW w:w="1340" w:type="dxa"/>
            <w:vAlign w:val="bottom"/>
            <w:tcBorders>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99"/>
              </w:rPr>
              <w:t>blue notes.</w:t>
            </w:r>
          </w:p>
        </w:tc>
      </w:tr>
      <w:tr>
        <w:trPr>
          <w:trHeight w:val="319"/>
        </w:trPr>
        <w:tc>
          <w:tcPr>
            <w:tcW w:w="4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Repurchase at the Option of the Holders of the Notes</w:t>
            </w:r>
          </w:p>
        </w:tc>
        <w:tc>
          <w:tcPr>
            <w:tcW w:w="6920" w:type="dxa"/>
            <w:vAlign w:val="bottom"/>
            <w:tcBorders>
              <w:right w:val="single" w:sz="8" w:color="auto"/>
            </w:tcBorders>
            <w:gridSpan w:val="21"/>
          </w:tcPr>
          <w:p>
            <w:pPr>
              <w:ind w:left="120"/>
              <w:spacing w:after="0"/>
              <w:rPr>
                <w:sz w:val="20"/>
                <w:szCs w:val="20"/>
                <w:color w:val="auto"/>
              </w:rPr>
            </w:pPr>
            <w:r>
              <w:rPr>
                <w:rFonts w:ascii="Times New Roman" w:cs="Times New Roman" w:eastAsia="Times New Roman" w:hAnsi="Times New Roman"/>
                <w:sz w:val="18"/>
                <w:szCs w:val="18"/>
                <w:color w:val="auto"/>
              </w:rPr>
              <w:t>If we experience a change of control triggering event, each holder of notes may require us</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gridSpan w:val="21"/>
          </w:tcPr>
          <w:p>
            <w:pPr>
              <w:ind w:left="120"/>
              <w:spacing w:after="0"/>
              <w:rPr>
                <w:sz w:val="20"/>
                <w:szCs w:val="20"/>
                <w:color w:val="auto"/>
              </w:rPr>
            </w:pPr>
            <w:r>
              <w:rPr>
                <w:rFonts w:ascii="Times New Roman" w:cs="Times New Roman" w:eastAsia="Times New Roman" w:hAnsi="Times New Roman"/>
                <w:sz w:val="18"/>
                <w:szCs w:val="18"/>
                <w:color w:val="auto"/>
              </w:rPr>
              <w:t>to repurchase some or all of the notes at a purchase price equal to 101% of the aggregate</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gridSpan w:val="21"/>
          </w:tcPr>
          <w:p>
            <w:pPr>
              <w:ind w:left="120"/>
              <w:spacing w:after="0"/>
              <w:rPr>
                <w:sz w:val="20"/>
                <w:szCs w:val="20"/>
                <w:color w:val="auto"/>
              </w:rPr>
            </w:pPr>
            <w:r>
              <w:rPr>
                <w:rFonts w:ascii="Times New Roman" w:cs="Times New Roman" w:eastAsia="Times New Roman" w:hAnsi="Times New Roman"/>
                <w:sz w:val="18"/>
                <w:szCs w:val="18"/>
                <w:color w:val="auto"/>
              </w:rPr>
              <w:t>principal amount of the notes repurchased, plus any accrued and unpaid interest up to, but</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gridSpan w:val="21"/>
          </w:tcPr>
          <w:p>
            <w:pPr>
              <w:ind w:left="120"/>
              <w:spacing w:after="0"/>
              <w:rPr>
                <w:sz w:val="20"/>
                <w:szCs w:val="20"/>
                <w:color w:val="auto"/>
              </w:rPr>
            </w:pPr>
            <w:r>
              <w:rPr>
                <w:rFonts w:ascii="Times New Roman" w:cs="Times New Roman" w:eastAsia="Times New Roman" w:hAnsi="Times New Roman"/>
                <w:sz w:val="18"/>
                <w:szCs w:val="18"/>
                <w:color w:val="auto"/>
              </w:rPr>
              <w:t>not including, the repurchase date. See “Description of Notes—Repurchase Upon Change</w:t>
            </w:r>
          </w:p>
        </w:tc>
      </w:tr>
      <w:tr>
        <w:trPr>
          <w:trHeight w:val="234"/>
        </w:trPr>
        <w:tc>
          <w:tcPr>
            <w:tcW w:w="4100" w:type="dxa"/>
            <w:vAlign w:val="bottom"/>
            <w:tcBorders>
              <w:left w:val="single" w:sz="8" w:color="auto"/>
            </w:tcBorders>
          </w:tcPr>
          <w:p>
            <w:pPr>
              <w:spacing w:after="0"/>
              <w:rPr>
                <w:sz w:val="20"/>
                <w:szCs w:val="20"/>
                <w:color w:val="auto"/>
              </w:rPr>
            </w:pPr>
          </w:p>
        </w:tc>
        <w:tc>
          <w:tcPr>
            <w:tcW w:w="2280" w:type="dxa"/>
            <w:vAlign w:val="bottom"/>
            <w:gridSpan w:val="8"/>
          </w:tcPr>
          <w:p>
            <w:pPr>
              <w:ind w:left="120"/>
              <w:spacing w:after="0"/>
              <w:rPr>
                <w:sz w:val="20"/>
                <w:szCs w:val="20"/>
                <w:color w:val="auto"/>
              </w:rPr>
            </w:pPr>
            <w:r>
              <w:rPr>
                <w:rFonts w:ascii="Times New Roman" w:cs="Times New Roman" w:eastAsia="Times New Roman" w:hAnsi="Times New Roman"/>
                <w:sz w:val="18"/>
                <w:szCs w:val="18"/>
                <w:color w:val="auto"/>
                <w:w w:val="99"/>
              </w:rPr>
              <w:t>of Control Triggering Event.”</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r>
      <w:tr>
        <w:trPr>
          <w:trHeight w:val="319"/>
        </w:trPr>
        <w:tc>
          <w:tcPr>
            <w:tcW w:w="4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6920" w:type="dxa"/>
            <w:vAlign w:val="bottom"/>
            <w:tcBorders>
              <w:right w:val="single" w:sz="8" w:color="auto"/>
            </w:tcBorders>
            <w:gridSpan w:val="21"/>
          </w:tcPr>
          <w:p>
            <w:pPr>
              <w:ind w:left="120"/>
              <w:spacing w:after="0"/>
              <w:rPr>
                <w:sz w:val="20"/>
                <w:szCs w:val="20"/>
                <w:color w:val="auto"/>
              </w:rPr>
            </w:pPr>
            <w:r>
              <w:rPr>
                <w:rFonts w:ascii="Times New Roman" w:cs="Times New Roman" w:eastAsia="Times New Roman" w:hAnsi="Times New Roman"/>
                <w:sz w:val="18"/>
                <w:szCs w:val="18"/>
                <w:color w:val="auto"/>
              </w:rPr>
              <w:t>We may, at our option, redeem some or all of each series of notes, at any time and from</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gridSpan w:val="21"/>
          </w:tcPr>
          <w:p>
            <w:pPr>
              <w:ind w:left="120"/>
              <w:spacing w:after="0"/>
              <w:rPr>
                <w:sz w:val="20"/>
                <w:szCs w:val="20"/>
                <w:color w:val="auto"/>
              </w:rPr>
            </w:pPr>
            <w:r>
              <w:rPr>
                <w:rFonts w:ascii="Times New Roman" w:cs="Times New Roman" w:eastAsia="Times New Roman" w:hAnsi="Times New Roman"/>
                <w:sz w:val="18"/>
                <w:szCs w:val="18"/>
                <w:color w:val="auto"/>
              </w:rPr>
              <w:t>time to time, in whole or in part, at the redemption prices described under ‘‘Description of</w:t>
            </w:r>
          </w:p>
        </w:tc>
      </w:tr>
      <w:tr>
        <w:trPr>
          <w:trHeight w:val="234"/>
        </w:trPr>
        <w:tc>
          <w:tcPr>
            <w:tcW w:w="4100" w:type="dxa"/>
            <w:vAlign w:val="bottom"/>
            <w:tcBorders>
              <w:left w:val="single" w:sz="8" w:color="auto"/>
            </w:tcBorders>
          </w:tcPr>
          <w:p>
            <w:pPr>
              <w:spacing w:after="0"/>
              <w:rPr>
                <w:sz w:val="20"/>
                <w:szCs w:val="20"/>
                <w:color w:val="auto"/>
              </w:rPr>
            </w:pPr>
          </w:p>
        </w:tc>
        <w:tc>
          <w:tcPr>
            <w:tcW w:w="4300" w:type="dxa"/>
            <w:vAlign w:val="bottom"/>
            <w:gridSpan w:val="13"/>
          </w:tcPr>
          <w:p>
            <w:pPr>
              <w:ind w:left="120"/>
              <w:spacing w:after="0"/>
              <w:rPr>
                <w:sz w:val="20"/>
                <w:szCs w:val="20"/>
                <w:color w:val="auto"/>
              </w:rPr>
            </w:pPr>
            <w:r>
              <w:rPr>
                <w:rFonts w:ascii="Times New Roman" w:cs="Times New Roman" w:eastAsia="Times New Roman" w:hAnsi="Times New Roman"/>
                <w:sz w:val="18"/>
                <w:szCs w:val="18"/>
                <w:color w:val="auto"/>
              </w:rPr>
              <w:t>the Notes—Redemption—Optional Redemption.’’</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r>
      <w:tr>
        <w:trPr>
          <w:trHeight w:val="319"/>
        </w:trPr>
        <w:tc>
          <w:tcPr>
            <w:tcW w:w="4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4300" w:type="dxa"/>
            <w:vAlign w:val="bottom"/>
            <w:gridSpan w:val="13"/>
          </w:tcPr>
          <w:p>
            <w:pPr>
              <w:ind w:left="120"/>
              <w:spacing w:after="0"/>
              <w:rPr>
                <w:sz w:val="20"/>
                <w:szCs w:val="20"/>
                <w:color w:val="auto"/>
              </w:rPr>
            </w:pPr>
            <w:r>
              <w:rPr>
                <w:rFonts w:ascii="Times New Roman" w:cs="Times New Roman" w:eastAsia="Times New Roman" w:hAnsi="Times New Roman"/>
                <w:sz w:val="18"/>
                <w:szCs w:val="18"/>
                <w:color w:val="auto"/>
                <w:w w:val="97"/>
              </w:rPr>
              <w:t>We intend to use the net proceeds from the sale of the 20 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1"/>
                <w:szCs w:val="11"/>
                <w:color w:val="auto"/>
                <w:w w:val="72"/>
              </w:rPr>
              <w:t> </w:t>
            </w:r>
          </w:p>
        </w:tc>
        <w:tc>
          <w:tcPr>
            <w:tcW w:w="2040" w:type="dxa"/>
            <w:vAlign w:val="bottom"/>
            <w:tcBorders>
              <w:right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color w:val="auto"/>
              </w:rPr>
              <w:t>notes to repay or redeem</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gridSpan w:val="21"/>
          </w:tcPr>
          <w:p>
            <w:pPr>
              <w:ind w:left="120"/>
              <w:spacing w:after="0"/>
              <w:rPr>
                <w:sz w:val="20"/>
                <w:szCs w:val="20"/>
                <w:color w:val="auto"/>
              </w:rPr>
            </w:pPr>
            <w:r>
              <w:rPr>
                <w:rFonts w:ascii="Times New Roman" w:cs="Times New Roman" w:eastAsia="Times New Roman" w:hAnsi="Times New Roman"/>
                <w:sz w:val="18"/>
                <w:szCs w:val="18"/>
                <w:color w:val="auto"/>
              </w:rPr>
              <w:t>our $500 million aggregate principal amount of 3.250% Senior Notes maturing on</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gridSpan w:val="21"/>
          </w:tcPr>
          <w:p>
            <w:pPr>
              <w:ind w:left="120"/>
              <w:spacing w:after="0"/>
              <w:rPr>
                <w:sz w:val="20"/>
                <w:szCs w:val="20"/>
                <w:color w:val="auto"/>
              </w:rPr>
            </w:pPr>
            <w:r>
              <w:rPr>
                <w:rFonts w:ascii="Times New Roman" w:cs="Times New Roman" w:eastAsia="Times New Roman" w:hAnsi="Times New Roman"/>
                <w:sz w:val="18"/>
                <w:szCs w:val="18"/>
                <w:color w:val="auto"/>
              </w:rPr>
              <w:t>November 1, 2026 at or prior to maturity and for general corporate purposes. We intend to</w:t>
            </w:r>
          </w:p>
        </w:tc>
      </w:tr>
      <w:tr>
        <w:trPr>
          <w:trHeight w:val="216"/>
        </w:trPr>
        <w:tc>
          <w:tcPr>
            <w:tcW w:w="4100" w:type="dxa"/>
            <w:vAlign w:val="bottom"/>
            <w:tcBorders>
              <w:left w:val="single" w:sz="8" w:color="auto"/>
            </w:tcBorders>
          </w:tcPr>
          <w:p>
            <w:pPr>
              <w:spacing w:after="0"/>
              <w:rPr>
                <w:sz w:val="18"/>
                <w:szCs w:val="18"/>
                <w:color w:val="auto"/>
              </w:rPr>
            </w:pPr>
          </w:p>
        </w:tc>
        <w:tc>
          <w:tcPr>
            <w:tcW w:w="5060" w:type="dxa"/>
            <w:vAlign w:val="bottom"/>
            <w:gridSpan w:val="17"/>
          </w:tcPr>
          <w:p>
            <w:pPr>
              <w:ind w:left="120"/>
              <w:spacing w:after="0"/>
              <w:rPr>
                <w:sz w:val="20"/>
                <w:szCs w:val="20"/>
                <w:color w:val="auto"/>
              </w:rPr>
            </w:pPr>
            <w:r>
              <w:rPr>
                <w:rFonts w:ascii="Times New Roman" w:cs="Times New Roman" w:eastAsia="Times New Roman" w:hAnsi="Times New Roman"/>
                <w:sz w:val="18"/>
                <w:szCs w:val="18"/>
                <w:color w:val="auto"/>
                <w:w w:val="97"/>
              </w:rPr>
              <w:t>allocate an amount equal to the net proceeds from the sale of the 20 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w w:val="98"/>
              </w:rPr>
              <w:t> </w:t>
            </w:r>
          </w:p>
        </w:tc>
        <w:tc>
          <w:tcPr>
            <w:tcW w:w="13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blue notes to</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gridSpan w:val="21"/>
          </w:tcPr>
          <w:p>
            <w:pPr>
              <w:ind w:left="120"/>
              <w:spacing w:after="0"/>
              <w:rPr>
                <w:sz w:val="20"/>
                <w:szCs w:val="20"/>
                <w:color w:val="auto"/>
              </w:rPr>
            </w:pPr>
            <w:r>
              <w:rPr>
                <w:rFonts w:ascii="Times New Roman" w:cs="Times New Roman" w:eastAsia="Times New Roman" w:hAnsi="Times New Roman"/>
                <w:sz w:val="18"/>
                <w:szCs w:val="18"/>
                <w:color w:val="auto"/>
              </w:rPr>
              <w:t>finance and/or refinance, in whole or in part, a portfolio of Eligible Blue Projects (as</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gridSpan w:val="21"/>
          </w:tcPr>
          <w:p>
            <w:pPr>
              <w:ind w:left="120"/>
              <w:spacing w:after="0"/>
              <w:rPr>
                <w:sz w:val="20"/>
                <w:szCs w:val="20"/>
                <w:color w:val="auto"/>
              </w:rPr>
            </w:pPr>
            <w:r>
              <w:rPr>
                <w:rFonts w:ascii="Times New Roman" w:cs="Times New Roman" w:eastAsia="Times New Roman" w:hAnsi="Times New Roman"/>
                <w:sz w:val="18"/>
                <w:szCs w:val="18"/>
                <w:color w:val="auto"/>
              </w:rPr>
              <w:t>defined in “Use of Proceeds”). Pending allocation for such purposes, we intend to hold</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gridSpan w:val="21"/>
          </w:tcPr>
          <w:p>
            <w:pPr>
              <w:ind w:left="120"/>
              <w:spacing w:after="0"/>
              <w:rPr>
                <w:sz w:val="20"/>
                <w:szCs w:val="20"/>
                <w:color w:val="auto"/>
              </w:rPr>
            </w:pPr>
            <w:r>
              <w:rPr>
                <w:rFonts w:ascii="Times New Roman" w:cs="Times New Roman" w:eastAsia="Times New Roman" w:hAnsi="Times New Roman"/>
                <w:sz w:val="18"/>
                <w:szCs w:val="18"/>
                <w:color w:val="auto"/>
              </w:rPr>
              <w:t>and/or invest the balance of net proceeds not yet allocated to the portfolio of Eligible Blue</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gridSpan w:val="21"/>
          </w:tcPr>
          <w:p>
            <w:pPr>
              <w:ind w:left="120"/>
              <w:spacing w:after="0"/>
              <w:rPr>
                <w:sz w:val="20"/>
                <w:szCs w:val="20"/>
                <w:color w:val="auto"/>
              </w:rPr>
            </w:pPr>
            <w:r>
              <w:rPr>
                <w:rFonts w:ascii="Times New Roman" w:cs="Times New Roman" w:eastAsia="Times New Roman" w:hAnsi="Times New Roman"/>
                <w:sz w:val="18"/>
                <w:szCs w:val="18"/>
                <w:color w:val="auto"/>
              </w:rPr>
              <w:t>Projects in our treasury liquidity portfolio, or in cash or other short-term and liquid</w:t>
            </w:r>
          </w:p>
        </w:tc>
      </w:tr>
      <w:tr>
        <w:trPr>
          <w:trHeight w:val="234"/>
        </w:trPr>
        <w:tc>
          <w:tcPr>
            <w:tcW w:w="4100" w:type="dxa"/>
            <w:vAlign w:val="bottom"/>
            <w:tcBorders>
              <w:left w:val="single" w:sz="8" w:color="auto"/>
            </w:tcBorders>
          </w:tcPr>
          <w:p>
            <w:pPr>
              <w:spacing w:after="0"/>
              <w:rPr>
                <w:sz w:val="20"/>
                <w:szCs w:val="20"/>
                <w:color w:val="auto"/>
              </w:rPr>
            </w:pPr>
          </w:p>
        </w:tc>
        <w:tc>
          <w:tcPr>
            <w:tcW w:w="3000" w:type="dxa"/>
            <w:vAlign w:val="bottom"/>
            <w:gridSpan w:val="9"/>
          </w:tcPr>
          <w:p>
            <w:pPr>
              <w:ind w:left="120"/>
              <w:spacing w:after="0"/>
              <w:rPr>
                <w:sz w:val="20"/>
                <w:szCs w:val="20"/>
                <w:color w:val="auto"/>
              </w:rPr>
            </w:pPr>
            <w:r>
              <w:rPr>
                <w:rFonts w:ascii="Times New Roman" w:cs="Times New Roman" w:eastAsia="Times New Roman" w:hAnsi="Times New Roman"/>
                <w:sz w:val="18"/>
                <w:szCs w:val="18"/>
                <w:color w:val="auto"/>
              </w:rPr>
              <w:t>instruments. See “Use of Proceeds.”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r>
      <w:tr>
        <w:trPr>
          <w:trHeight w:val="319"/>
        </w:trPr>
        <w:tc>
          <w:tcPr>
            <w:tcW w:w="4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Ranking</w:t>
            </w:r>
          </w:p>
        </w:tc>
        <w:tc>
          <w:tcPr>
            <w:tcW w:w="6920" w:type="dxa"/>
            <w:vAlign w:val="bottom"/>
            <w:tcBorders>
              <w:right w:val="single" w:sz="8" w:color="auto"/>
            </w:tcBorders>
            <w:gridSpan w:val="21"/>
          </w:tcPr>
          <w:p>
            <w:pPr>
              <w:ind w:left="120"/>
              <w:spacing w:after="0"/>
              <w:rPr>
                <w:sz w:val="20"/>
                <w:szCs w:val="20"/>
                <w:color w:val="auto"/>
              </w:rPr>
            </w:pPr>
            <w:r>
              <w:rPr>
                <w:rFonts w:ascii="Times New Roman" w:cs="Times New Roman" w:eastAsia="Times New Roman" w:hAnsi="Times New Roman"/>
                <w:sz w:val="18"/>
                <w:szCs w:val="18"/>
                <w:color w:val="auto"/>
              </w:rPr>
              <w:t>The notes will be unsecured obligations of ours and will rank equally with our other</w:t>
            </w:r>
          </w:p>
        </w:tc>
      </w:tr>
      <w:tr>
        <w:trPr>
          <w:trHeight w:val="234"/>
        </w:trPr>
        <w:tc>
          <w:tcPr>
            <w:tcW w:w="4100" w:type="dxa"/>
            <w:vAlign w:val="bottom"/>
            <w:tcBorders>
              <w:left w:val="single" w:sz="8" w:color="auto"/>
            </w:tcBorders>
          </w:tcPr>
          <w:p>
            <w:pPr>
              <w:spacing w:after="0"/>
              <w:rPr>
                <w:sz w:val="20"/>
                <w:szCs w:val="20"/>
                <w:color w:val="auto"/>
              </w:rPr>
            </w:pPr>
          </w:p>
        </w:tc>
        <w:tc>
          <w:tcPr>
            <w:tcW w:w="3420" w:type="dxa"/>
            <w:vAlign w:val="bottom"/>
            <w:gridSpan w:val="11"/>
          </w:tcPr>
          <w:p>
            <w:pPr>
              <w:ind w:left="120"/>
              <w:spacing w:after="0"/>
              <w:rPr>
                <w:sz w:val="20"/>
                <w:szCs w:val="20"/>
                <w:color w:val="auto"/>
              </w:rPr>
            </w:pPr>
            <w:r>
              <w:rPr>
                <w:rFonts w:ascii="Times New Roman" w:cs="Times New Roman" w:eastAsia="Times New Roman" w:hAnsi="Times New Roman"/>
                <w:sz w:val="18"/>
                <w:szCs w:val="18"/>
                <w:color w:val="auto"/>
              </w:rPr>
              <w:t>unsecured and unsubordinated indebtedness.</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r>
      <w:tr>
        <w:trPr>
          <w:trHeight w:val="319"/>
        </w:trPr>
        <w:tc>
          <w:tcPr>
            <w:tcW w:w="4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Denominations</w:t>
            </w:r>
          </w:p>
        </w:tc>
        <w:tc>
          <w:tcPr>
            <w:tcW w:w="6920" w:type="dxa"/>
            <w:vAlign w:val="bottom"/>
            <w:tcBorders>
              <w:right w:val="single" w:sz="8" w:color="auto"/>
            </w:tcBorders>
            <w:gridSpan w:val="21"/>
          </w:tcPr>
          <w:p>
            <w:pPr>
              <w:ind w:left="120"/>
              <w:spacing w:after="0"/>
              <w:rPr>
                <w:sz w:val="20"/>
                <w:szCs w:val="20"/>
                <w:color w:val="auto"/>
              </w:rPr>
            </w:pPr>
            <w:r>
              <w:rPr>
                <w:rFonts w:ascii="Times New Roman" w:cs="Times New Roman" w:eastAsia="Times New Roman" w:hAnsi="Times New Roman"/>
                <w:sz w:val="18"/>
                <w:szCs w:val="18"/>
                <w:color w:val="auto"/>
              </w:rPr>
              <w:t>The notes will be issued only in minimum denominations of $2,000 and integral multiples</w:t>
            </w:r>
          </w:p>
        </w:tc>
      </w:tr>
      <w:tr>
        <w:trPr>
          <w:trHeight w:val="234"/>
        </w:trPr>
        <w:tc>
          <w:tcPr>
            <w:tcW w:w="4100" w:type="dxa"/>
            <w:vAlign w:val="bottom"/>
            <w:tcBorders>
              <w:left w:val="single" w:sz="8" w:color="auto"/>
            </w:tcBorders>
          </w:tcPr>
          <w:p>
            <w:pPr>
              <w:spacing w:after="0"/>
              <w:rPr>
                <w:sz w:val="20"/>
                <w:szCs w:val="20"/>
                <w:color w:val="auto"/>
              </w:rPr>
            </w:pPr>
          </w:p>
        </w:tc>
        <w:tc>
          <w:tcPr>
            <w:tcW w:w="212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w w:val="99"/>
              </w:rPr>
              <w:t>of $1,000 in excess thereof.</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r>
      <w:tr>
        <w:trPr>
          <w:trHeight w:val="319"/>
        </w:trPr>
        <w:tc>
          <w:tcPr>
            <w:tcW w:w="41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Form</w:t>
            </w:r>
          </w:p>
        </w:tc>
        <w:tc>
          <w:tcPr>
            <w:tcW w:w="6920" w:type="dxa"/>
            <w:vAlign w:val="bottom"/>
            <w:tcBorders>
              <w:right w:val="single" w:sz="8" w:color="auto"/>
            </w:tcBorders>
            <w:gridSpan w:val="21"/>
          </w:tcPr>
          <w:p>
            <w:pPr>
              <w:ind w:left="120"/>
              <w:spacing w:after="0"/>
              <w:rPr>
                <w:sz w:val="20"/>
                <w:szCs w:val="20"/>
                <w:color w:val="auto"/>
              </w:rPr>
            </w:pPr>
            <w:r>
              <w:rPr>
                <w:rFonts w:ascii="Times New Roman" w:cs="Times New Roman" w:eastAsia="Times New Roman" w:hAnsi="Times New Roman"/>
                <w:sz w:val="18"/>
                <w:szCs w:val="18"/>
                <w:color w:val="auto"/>
              </w:rPr>
              <w:t>The notes of each series will be represented by global certificates deposited with, or on</w:t>
            </w:r>
          </w:p>
        </w:tc>
      </w:tr>
      <w:tr>
        <w:trPr>
          <w:trHeight w:val="234"/>
        </w:trPr>
        <w:tc>
          <w:tcPr>
            <w:tcW w:w="4100" w:type="dxa"/>
            <w:vAlign w:val="bottom"/>
            <w:tcBorders>
              <w:left w:val="single" w:sz="8" w:color="auto"/>
            </w:tcBorders>
          </w:tcPr>
          <w:p>
            <w:pPr>
              <w:spacing w:after="0"/>
              <w:rPr>
                <w:sz w:val="20"/>
                <w:szCs w:val="20"/>
                <w:color w:val="auto"/>
              </w:rPr>
            </w:pPr>
          </w:p>
        </w:tc>
        <w:tc>
          <w:tcPr>
            <w:tcW w:w="5060" w:type="dxa"/>
            <w:vAlign w:val="bottom"/>
            <w:gridSpan w:val="17"/>
          </w:tcPr>
          <w:p>
            <w:pPr>
              <w:ind w:left="120"/>
              <w:spacing w:after="0"/>
              <w:rPr>
                <w:sz w:val="20"/>
                <w:szCs w:val="20"/>
                <w:color w:val="auto"/>
              </w:rPr>
            </w:pPr>
            <w:r>
              <w:rPr>
                <w:rFonts w:ascii="Times New Roman" w:cs="Times New Roman" w:eastAsia="Times New Roman" w:hAnsi="Times New Roman"/>
                <w:sz w:val="18"/>
                <w:szCs w:val="18"/>
                <w:color w:val="auto"/>
              </w:rPr>
              <w:t>behalf of, The Depository Trust Company (“DTC”), or its nominee.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Borders>
              <w:right w:val="single" w:sz="8" w:color="auto"/>
            </w:tcBorders>
          </w:tcPr>
          <w:p>
            <w:pPr>
              <w:spacing w:after="0"/>
              <w:rPr>
                <w:sz w:val="20"/>
                <w:szCs w:val="20"/>
                <w:color w:val="auto"/>
              </w:rPr>
            </w:pPr>
          </w:p>
        </w:tc>
      </w:tr>
      <w:tr>
        <w:trPr>
          <w:trHeight w:val="172"/>
        </w:trPr>
        <w:tc>
          <w:tcPr>
            <w:tcW w:w="4100" w:type="dxa"/>
            <w:vAlign w:val="bottom"/>
            <w:tcBorders>
              <w:left w:val="single" w:sz="8" w:color="auto"/>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r>
      <w:tr>
        <w:trPr>
          <w:trHeight w:val="361"/>
        </w:trPr>
        <w:tc>
          <w:tcPr>
            <w:tcW w:w="4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S-7</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50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Absence of Public Market</w:t>
            </w:r>
          </w:p>
        </w:tc>
        <w:tc>
          <w:tcPr>
            <w:tcW w:w="7520" w:type="dxa"/>
            <w:vAlign w:val="bottom"/>
            <w:tcBorders>
              <w:top w:val="single" w:sz="8" w:color="auto"/>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The notes are new securities for which there is currently no public trading market.</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Accordingly, we cannot assure you as to the development or liquidity of any market for the</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notes. We have been advised by the underwriters that they presently intend to make a</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market in the notes after completion of this offering. However, they are under no obligation</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to do so and may discontinue any market-making activities at any time without any notice.</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We do not intend to apply to list either series of the notes on any securities exchange or to</w:t>
            </w:r>
          </w:p>
        </w:tc>
      </w:tr>
      <w:tr>
        <w:trPr>
          <w:trHeight w:val="234"/>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have the notes of either series quoted on any automated quotation system.</w:t>
            </w:r>
          </w:p>
        </w:tc>
      </w:tr>
      <w:tr>
        <w:trPr>
          <w:trHeight w:val="319"/>
        </w:trPr>
        <w:tc>
          <w:tcPr>
            <w:tcW w:w="35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Further Issues</w:t>
            </w: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We may from time to time, without notice to or the consent of the holders of notes, create</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and issue further notes ranking equally and ratably with such series of notes in all respects,</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or in all respects except for the payment of interest accruing prior to the issue date or</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except for the first payment of interest following the issue date of those further notes. Any</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further notes will have the same terms as to status, redemption or otherwise as the notes. If</w:t>
            </w:r>
          </w:p>
        </w:tc>
      </w:tr>
      <w:tr>
        <w:trPr>
          <w:trHeight w:val="216"/>
        </w:trPr>
        <w:tc>
          <w:tcPr>
            <w:tcW w:w="3500" w:type="dxa"/>
            <w:vAlign w:val="bottom"/>
            <w:tcBorders>
              <w:left w:val="single" w:sz="8" w:color="auto"/>
            </w:tcBorders>
          </w:tcPr>
          <w:p>
            <w:pPr>
              <w:spacing w:after="0"/>
              <w:rPr>
                <w:sz w:val="18"/>
                <w:szCs w:val="18"/>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such further notes are not fungible with the notes in this offering for United States federal</w:t>
            </w:r>
          </w:p>
        </w:tc>
      </w:tr>
      <w:tr>
        <w:trPr>
          <w:trHeight w:val="234"/>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income tax purposes, the further notes will have different ISIN and CUSIP numbers.</w:t>
            </w:r>
          </w:p>
        </w:tc>
      </w:tr>
      <w:tr>
        <w:trPr>
          <w:trHeight w:val="319"/>
        </w:trPr>
        <w:tc>
          <w:tcPr>
            <w:tcW w:w="35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The notes and the indenture under which they will be issued will be governed by the laws</w:t>
            </w:r>
          </w:p>
        </w:tc>
      </w:tr>
      <w:tr>
        <w:trPr>
          <w:trHeight w:val="234"/>
        </w:trPr>
        <w:tc>
          <w:tcPr>
            <w:tcW w:w="3500" w:type="dxa"/>
            <w:vAlign w:val="bottom"/>
            <w:tcBorders>
              <w:left w:val="single" w:sz="8" w:color="auto"/>
            </w:tcBorders>
          </w:tcPr>
          <w:p>
            <w:pPr>
              <w:spacing w:after="0"/>
              <w:rPr>
                <w:sz w:val="20"/>
                <w:szCs w:val="20"/>
                <w:color w:val="auto"/>
              </w:rPr>
            </w:pP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of the State of New York.</w:t>
            </w:r>
          </w:p>
        </w:tc>
      </w:tr>
      <w:tr>
        <w:trPr>
          <w:trHeight w:val="338"/>
        </w:trPr>
        <w:tc>
          <w:tcPr>
            <w:tcW w:w="35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Trustee, Registrar and Paying Agent</w:t>
            </w: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Deutsche Bank Trust Company Americas</w:t>
            </w:r>
          </w:p>
        </w:tc>
      </w:tr>
      <w:tr>
        <w:trPr>
          <w:trHeight w:val="351"/>
        </w:trPr>
        <w:tc>
          <w:tcPr>
            <w:tcW w:w="35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75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Investing in the notes involves risks. See “Risk Factors” for more information.</w:t>
            </w:r>
          </w:p>
        </w:tc>
      </w:tr>
      <w:tr>
        <w:trPr>
          <w:trHeight w:val="186"/>
        </w:trPr>
        <w:tc>
          <w:tcPr>
            <w:tcW w:w="3500" w:type="dxa"/>
            <w:vAlign w:val="bottom"/>
            <w:tcBorders>
              <w:left w:val="single" w:sz="8" w:color="auto"/>
              <w:bottom w:val="single" w:sz="8" w:color="auto"/>
            </w:tcBorders>
          </w:tcPr>
          <w:p>
            <w:pPr>
              <w:spacing w:after="0"/>
              <w:rPr>
                <w:sz w:val="16"/>
                <w:szCs w:val="16"/>
                <w:color w:val="auto"/>
              </w:rPr>
            </w:pPr>
          </w:p>
        </w:tc>
        <w:tc>
          <w:tcPr>
            <w:tcW w:w="7520" w:type="dxa"/>
            <w:vAlign w:val="bottom"/>
            <w:tcBorders>
              <w:bottom w:val="single" w:sz="8" w:color="auto"/>
              <w:right w:val="single" w:sz="8" w:color="auto"/>
            </w:tcBorders>
          </w:tcPr>
          <w:p>
            <w:pPr>
              <w:spacing w:after="0"/>
              <w:rPr>
                <w:sz w:val="16"/>
                <w:szCs w:val="16"/>
                <w:color w:val="auto"/>
              </w:rPr>
            </w:pPr>
          </w:p>
        </w:tc>
      </w:tr>
      <w:tr>
        <w:trPr>
          <w:trHeight w:val="361"/>
        </w:trPr>
        <w:tc>
          <w:tcPr>
            <w:tcW w:w="3500" w:type="dxa"/>
            <w:vAlign w:val="bottom"/>
          </w:tcPr>
          <w:p>
            <w:pPr>
              <w:spacing w:after="0"/>
              <w:rPr>
                <w:sz w:val="24"/>
                <w:szCs w:val="24"/>
                <w:color w:val="auto"/>
              </w:rPr>
            </w:pPr>
          </w:p>
        </w:tc>
        <w:tc>
          <w:tcPr>
            <w:tcW w:w="75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S-8</w:t>
            </w:r>
          </w:p>
        </w:tc>
      </w:tr>
    </w:tbl>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Investing in the notes involves risk. Before you decide whether to purchase any notes, you should carefully consider the risks described under “Risk Factors” in Item 1A of our Annual Report on Form 10-K for the year ended December 31, 2025 and our Quarterly Report on Form 10-Q for the quarterly period ended March 31, 2026 (which Risk Factors are incorporated by reference herein), as such descriptions may be updated or amended in any future reports we file with the SEC, as well as the risks described below and the other information contained or incorporated by reference in this prospectus supplement and the accompanying prospectus. See “Where You Can Find More Information” above.</w:t>
      </w:r>
    </w:p>
    <w:p>
      <w:pPr>
        <w:spacing w:after="0" w:line="39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Risks Related to the Notes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repurchase the notes upon a change of control.</w:t>
      </w:r>
    </w:p>
    <w:p>
      <w:pPr>
        <w:spacing w:after="0" w:line="22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Upon a change of control triggering event, as defined under the indenture governing the notes, we are required to offer to repurchase all of the notes then outstanding at a price equal to 101% of the aggregate principal amount of the notes repurchased, plus accrued interest. In order to obtain sufficient funds to pay the purchase price of the outstanding notes, we expect that we would have to refinance the notes. We cannot assure you that we would be able to refinance the notes on favorable terms or at all. Our failure to offer to purchase all outstanding notes or to purchase all validly tendered notes would be an event of default under the indenture governing the notes. Such an event of default may cause the acceleration of our other indebtedness. Our future indebtedness may also contain restrictions on repayment requirements with respect to specified events or transactions that constitute a change of control triggering event under the indenture. Please see the section entitled “Description of Notes—Repurchase Upon Change of Control Triggering Event.”</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There is no current public market for the notes and a market may not develop.</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notes are new issues of securities with no established trading markets. As a result, no assurance is given by us or any joint book-running manager or co-manager that markets will develop for the notes or that you will be able to sell the notes. If any of the notes are traded after their initial issuance, they may trade at a discount from their initial offering prices. Future trading prices of the notes will depend on many factors, including prevailing interest rates, the market for similar securities, general economic conditions, our financial condition and performance, as well as other factors. Accordingly, you may be required to bear the financial risk of an investment in the notes for an indefinite period of time. We do not intend to apply for listing or quotation of the notes of either series on any securities exchange or automated quotation system, respectively.</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We may choose to redeem the notes when prevailing interest rates are relatively low.</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notes are redeemable at our option, and we may choose to redeem some or all of the notes from time to time, especially when prevailing interest rates are lower than the rate borne by the notes. If prevailing rates are lower at the time of redemption, you would not be able to reinvest the redemption proceeds in a comparable security at an effective interest rate as high as the interest rate on the notes being redeemed. See “Description of Notes—Optional Redemption.”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The notes are structurally subordinated to the liabilities of our subsidiaries.</w:t>
      </w:r>
    </w:p>
    <w:p>
      <w:pPr>
        <w:spacing w:after="0" w:line="229" w:lineRule="exact"/>
        <w:rPr>
          <w:sz w:val="20"/>
          <w:szCs w:val="20"/>
          <w:color w:val="auto"/>
        </w:rPr>
      </w:pPr>
    </w:p>
    <w:p>
      <w:pPr>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The notes are our obligations exclusively and not obligations of any of our subsidiaries. A significant portion of our operations is conducted through our subsidiaries. Our subsidiaries are separate legal entities that have no obligation to pay any amounts due under the notes or to make any funds available therefor, whether by dividends, loans or other payments. Except to the extent we are a creditor with recognized claims against our subsidiaries, all claims of creditors (including trade creditors) and holders of preferred stock, if any, of our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subsidiaries will have priority with respect to the assets of such subsidiaries over our claims (and therefore the claims of our creditors, including holders of the notes). Consequently, the notes will be effectively subordinated to all existing and future liabilities of any of our subsidiaries and any subsidiaries that we may in the future acquire or establish.</w:t>
      </w:r>
    </w:p>
    <w:p>
      <w:pPr>
        <w:spacing w:after="0" w:line="172" w:lineRule="exact"/>
        <w:rPr>
          <w:sz w:val="20"/>
          <w:szCs w:val="20"/>
          <w:color w:val="auto"/>
        </w:rPr>
      </w:pPr>
    </w:p>
    <w:p>
      <w:pPr>
        <w:ind w:left="120" w:right="7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notes are subject to prior claims of any secured creditors, and if a default occurs, we may not have sufficient funds to fulfill our obligations under the notes.</w:t>
      </w:r>
    </w:p>
    <w:p>
      <w:pPr>
        <w:spacing w:after="0" w:line="15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notes are our unsecured general obligations, ranking equally with other unsecured and unsubordinated indebtedness. As of March 31, 2026, we had $1.90 billion of unsecured senior notes but no amounts under our revolving credit facility outstanding. The indenture governing the notes permits us to incur additional debt, including secured debt. If we incur any secured debt, our assets will be subject to prior claims by our secured creditors. In the event of our bankruptcy, liquidation, reorganization or other winding up, assets that secure debt will be available to pay obligations on the notes only after all debt secured by those assets has been repaid in full. Holders of the notes will participate in our remaining assets ratably with all of our unsecured and unsubordinated creditors, including our trade creditors. If we incur any additional obligations that rank equally with the notes, including trade payables, the holders of those obligations will be entitled to share ratably with the holders of the notes and the previously issued notes in any proceeds distributed upon our insolvency, liquidation, reorganization, dissolution or other winding up. This may have the effect of reducing the amount of proceeds paid to you. If there are not sufficient assets remaining to pay all these creditors, all or a portion of the notes then outstanding would remain unpaid.</w:t>
      </w:r>
    </w:p>
    <w:p>
      <w:pPr>
        <w:spacing w:after="0" w:line="190" w:lineRule="exact"/>
        <w:rPr>
          <w:sz w:val="20"/>
          <w:szCs w:val="20"/>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indenture governing the notes does not contain financial covenants and only provides limited protection against significant corporate events and other actions we may take that could adversely impact your investment in the notes.</w:t>
      </w:r>
    </w:p>
    <w:p>
      <w:pPr>
        <w:spacing w:after="0" w:line="15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While the indenture governing the notes contains terms intended to provide protection to the holders of the notes upon the occurrence of certain events involving significant corporate transactions, such terms are limited and may not be sufficient to protect your investment in the notes.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for the notes does not:</w:t>
      </w:r>
    </w:p>
    <w:p>
      <w:pPr>
        <w:spacing w:after="0" w:line="131" w:lineRule="exact"/>
        <w:rPr>
          <w:sz w:val="20"/>
          <w:szCs w:val="20"/>
          <w:color w:val="auto"/>
        </w:rPr>
      </w:pPr>
    </w:p>
    <w:p>
      <w:pPr>
        <w:ind w:left="1080" w:right="20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maintain any financial ratios or specific levels of net worth, revenues, income, cash flow or liquidity and, accordingly, does not protect holders of the notes in the event we experience significant adverse changes in our financial condition;</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subsidiaries’ ability to issue securities or otherwise incur indebtedness that would be senior to our equity interests in our subsidiaries and therefore rank effectively senior to the notes;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repurchase or prepay any other of our securities or other indebtedness;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make investments or to repurchase or pay dividends or make other payments in respect of our common stock or other securities ranking junior to the notes;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our ability to enter into highly leveraged transactions.</w:t>
      </w:r>
    </w:p>
    <w:p>
      <w:pPr>
        <w:spacing w:after="0" w:line="225"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As a result of the foregoing, when evaluating the terms of the notes, you should be aware that the terms of the indenture and the notes do not restrict our ability to engage in, or to otherwise be a party to, a variety of corporate transactions, circumstances and events that could have an adverse impact on your investment in the notes.</w:t>
      </w:r>
    </w:p>
    <w:p>
      <w:pPr>
        <w:spacing w:after="0" w:line="172"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not contractually committed to allocate the net proceeds from the 20        blue notes to Eligible Blue Projects, and our failure to do so could adversely impact the value of the 20        blue notes.</w:t>
      </w:r>
    </w:p>
    <w:p>
      <w:pPr>
        <w:spacing w:after="0" w:line="15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market price of the 20        blue notes may be impacted by any failure by us to allocate the net proceeds from the 20        blue notes to Eligible Blue Projects (as defined in “Use of Proceeds”), or to meet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or continue to meet the investment requirements of certain environmentally focused investors with respect to the 20        blue notes. Although we intend to allocate an amount equal to the net proceeds from the 20        blue notes to Eligible Blue Projects as described in “Use of Proceeds,” we cannot provide any assurance that such use of proceeds will be capable of being implemented in such manner or in accordance with any timing schedule, and it will not be an event of default under the indenture or the supplemental indenture governing the 20        blue notes if we fail to do so. Furthermore, we cannot provide any assurance that such Eligible Blue Projects will be completed within any specified time period or at all, or that such Eligible Blue Projects will achieve the results or outcome (whether or not related to the environment) originally expected or anticipated by us.</w:t>
      </w:r>
    </w:p>
    <w:p>
      <w:pPr>
        <w:spacing w:after="0" w:line="18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connection with this offering, a second party opinion from an outside consultant regarding our Blue and Green Finance Framework (the “Blue and Green Finance Framework”) has been made publicly available. Any such second party opinion is not and should not be deemed a part of this prospectus supplement, the accompanying prospectus or any other report or filing filed with the SEC. No assurance or representation is given by us or any joint book-running manager or co-manager as to the suitability or reliability for any purpose of any such second party opinion. Furthermore, such second party opinion is not, and should not be deemed to be, a recommendation by us or any other person to buy, sell or hold the 20        blue notes. Any second party opinion is only current as of the date that such opinion was initially issued, and such second party opinion is not, nor shall it be deemed to be, incorporated in or form a part of this prospectus. Prospective investors must determine for themselves the relevance of any second party opinion or certification and/or the information contained therein and/or the provider of such opinion or certification for the purpose of any investment in the 20        blue notes. Currently, to our knowledge, the providers of such opinions and certifications are not subject to any specific regulatory or other regime or oversight. Any withdrawal of any such opinion or any additional opinion or certification attesting that we are not complying in whole or in part with any matters for which such opinion or certification is opining or certifying may have a material adverse effect on the value of the</w:t>
      </w:r>
    </w:p>
    <w:p>
      <w:pPr>
        <w:spacing w:after="0" w:line="4" w:lineRule="exact"/>
        <w:rPr>
          <w:sz w:val="20"/>
          <w:szCs w:val="20"/>
          <w:color w:val="auto"/>
        </w:rPr>
      </w:pPr>
    </w:p>
    <w:p>
      <w:pPr>
        <w:ind w:left="120" w:right="300"/>
        <w:spacing w:after="0" w:line="255" w:lineRule="auto"/>
        <w:rPr>
          <w:sz w:val="20"/>
          <w:szCs w:val="20"/>
          <w:color w:val="auto"/>
        </w:rPr>
      </w:pPr>
      <w:r>
        <w:rPr>
          <w:rFonts w:ascii="Times New Roman" w:cs="Times New Roman" w:eastAsia="Times New Roman" w:hAnsi="Times New Roman"/>
          <w:sz w:val="18"/>
          <w:szCs w:val="18"/>
          <w:color w:val="auto"/>
        </w:rPr>
        <w:t>20        blue notes and/or result in adverse consequences for certain investors with mandates to invest in securities to be used for a particular purpose. None of the underwriters in this offering is responsible for the ongoing monitoring of the use of proceeds in respect of the 20        blue notes.</w:t>
      </w:r>
    </w:p>
    <w:p>
      <w:pPr>
        <w:spacing w:after="0" w:line="182"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invest or spend the net proceeds from the 20        blue notes in ways with which you may not agree and in ways that may not earn a profit.</w:t>
      </w:r>
    </w:p>
    <w:p>
      <w:pPr>
        <w:spacing w:after="0" w:line="15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intend to allocate an amount equal to the net proceeds from the sale of the 20        blue notes to a portfolio of Eligible Blue Projects. We intend to use the net proceeds from the 20        blue notes as described in “Use of Proceeds,” but because the net proceeds are not required to be allocated to any specific investment or transaction, we cannot determine at this time the value or propriety of our application of the net proceeds, and you may not agree with our decisions. In addition, our use of the net proceeds from this offering may not yield a significant return or any return at all.</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There can be no assurance that the Eligible Blue Projects funded with the net proceeds from this offering will meet investor criteria and expectations regarding environmental impact and sustainability performance. Any information that we provide concerning the environmental and/or social impacts of the 20        blue notes will be estimates determined by our management to the best of their ability based on the information available to them at such time. The determinations giving rise to such impact information are inherently imprecise and should not be taken as statements of fact. Furthermore, the underwriters are not responsible for assessing or verifying whether the Eligible Blue Projects meet the prescribed eligibility criteria. In particular, no assurance is given by us or any joint book-running manager or co-manager that the use of such proceeds for any Eligible Blue Projects will satisfy, whether in whole or in part, any present or future investor expectations or requirements as regards any investment criteria or guidelines with which such investor or its investments are required to comply, whether by any present or future applicable law or regulations or by its own bylaws or other governing rules or investment portfolio mandates (in particular with regard to any direct or indirect environmental, sustainability or social impact of any Eligible Blue Projects or uses, the subject of or related to, the relevant Eligible Blue</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Projects). Perception by investors of the suitability of the 20        blue notes as “blue” bonds could also be negatively affected by dissatisfaction with our implementation of the Blue and Green Finance Framework for determining Eligible Blue Project described under “Use of Proceeds,” controversies involving the environmental or sustainability impact of our business or industry, evolving standards or market consensus as to what constitutes a “blue” bond or the desirability of investing in “blue bonds or any opinion or certification as to the suitability of the 20        blue notes as “blue” bonds no longer being in effect.</w:t>
      </w:r>
    </w:p>
    <w:p>
      <w:pPr>
        <w:spacing w:after="0" w:line="183"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The trading price of the 20        blue notes may be negatively affected to the extent investors are required or choose to sell their holdings due to deterioration in the perception by the investor or the market in general as to the suitability of this offering as “blue” bonds and to the extent demand for sustainability-themed investment products diminishes due to evolving investor preferences, increased regulatory or market scrutiny on funds and strategies dedicated to sustainability or environmental, social or governance themed investing or for other reasons. Adverse environmental, sustainability or social impacts may also occur during the design, development and operation of the Eligible Blue Projects or the Eligible Blue Projects may become controversial or criticized by activist groups or other stakeholders. In addition, although we intend to limit the use of the net proceeds from the</w:t>
      </w:r>
    </w:p>
    <w:p>
      <w:pPr>
        <w:spacing w:after="0" w:line="5" w:lineRule="exact"/>
        <w:rPr>
          <w:sz w:val="20"/>
          <w:szCs w:val="20"/>
          <w:color w:val="auto"/>
        </w:rPr>
      </w:pPr>
    </w:p>
    <w:p>
      <w:pPr>
        <w:ind w:left="120" w:right="280"/>
        <w:spacing w:after="0" w:line="260" w:lineRule="auto"/>
        <w:rPr>
          <w:sz w:val="20"/>
          <w:szCs w:val="20"/>
          <w:color w:val="auto"/>
        </w:rPr>
      </w:pPr>
      <w:r>
        <w:rPr>
          <w:rFonts w:ascii="Times New Roman" w:cs="Times New Roman" w:eastAsia="Times New Roman" w:hAnsi="Times New Roman"/>
          <w:sz w:val="18"/>
          <w:szCs w:val="18"/>
          <w:color w:val="auto"/>
        </w:rPr>
        <w:t>20        blue notes to Eligible Blue Projects, there can be no assurance that one or more development, redevelopment and/or tenant improvement Eligible Blue Projects will meet the goals described in “Use of Proceeds”.</w:t>
      </w:r>
    </w:p>
    <w:p>
      <w:pPr>
        <w:spacing w:after="0" w:line="285" w:lineRule="exact"/>
        <w:rPr>
          <w:sz w:val="20"/>
          <w:szCs w:val="20"/>
          <w:color w:val="auto"/>
        </w:rPr>
      </w:pPr>
    </w:p>
    <w:p>
      <w:pPr>
        <w:jc w:val="both"/>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no legal, regulatory, or market definition of or standardized criteria for what constitutes a “green,” “blue,” “social,” “sustainable,” or other equivalently labeled project, and any such designations made by third parties with respect to the 20        blue notes may not be suitable for the investment criteria of an investor.</w:t>
      </w:r>
    </w:p>
    <w:p>
      <w:pPr>
        <w:spacing w:after="0" w:line="175"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There is currently no clearly defined definition (legal, regulatory or otherwise) of, nor market consensus as to what constitutes, a “green,” “blue,” “social,” “sustainable” or an equivalently labeled project, or as to what precise attributes are required for a particular project to be defined as “green,” “blue,” “sustainable” or such other equivalent label, nor can we provide any assurance that such a clear definition or consensus will develop over time. Accordingly, although we anticipate that our Eligible Projects will be aligned with the Green Bond Principles of June 2025 administered by the International Capital Market Association (the “Principles”), which are voluntary guidelines for the issuance of green bonds, which blue bonds are a subset of, we cannot provide any assurance to investors that any Eligible Blue Projects selected to receive an allocation of funds from the net proceeds of the 20        blue notes will meet any or all investor expectations regarding such “green,” “blue,” “social,” “sustainable” or other equivalently-labeled performance objectives, or that any adverse environmental, social and/or other impacts will not occur during the implementation of any Eligible Blue Projects funded in whole or in part by the net proceeds from the sale of the 20        blue notes.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547"/>
        </w:trPr>
        <w:tc>
          <w:tcPr>
            <w:tcW w:w="1360" w:type="dxa"/>
            <w:vAlign w:val="bottom"/>
            <w:tcBorders>
              <w:top w:val="single" w:sz="8" w:color="0000EE"/>
            </w:tcBorders>
          </w:tcPr>
          <w:p>
            <w:pPr>
              <w:spacing w:after="0"/>
              <w:rPr>
                <w:sz w:val="24"/>
                <w:szCs w:val="24"/>
                <w:color w:val="auto"/>
              </w:rPr>
            </w:pPr>
          </w:p>
        </w:tc>
        <w:tc>
          <w:tcPr>
            <w:tcW w:w="5540" w:type="dxa"/>
            <w:vAlign w:val="bottom"/>
          </w:tcPr>
          <w:p>
            <w:pPr>
              <w:ind w:left="342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414"/>
        </w:trPr>
        <w:tc>
          <w:tcPr>
            <w:tcW w:w="6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xml:space="preserve">We estimate that the net proceeds from the sale of the notes will be approximately $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after deducting the underwriting discounts and our</w:t>
            </w:r>
          </w:p>
        </w:tc>
      </w:tr>
      <w:tr>
        <w:trPr>
          <w:trHeight w:val="234"/>
        </w:trPr>
        <w:tc>
          <w:tcPr>
            <w:tcW w:w="6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estimated expenses of this offering. We intend to use the net proceeds from the sale of the 20 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notes to repay or redeem our $500 million</w:t>
            </w:r>
          </w:p>
        </w:tc>
      </w:tr>
    </w:tbl>
    <w:p>
      <w:pPr>
        <w:jc w:val="both"/>
        <w:ind w:left="120" w:right="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aggregate principal amount of 3.250% Senior Notes maturing on November 1, 2026 at or prior to maturity and for general corporate purposes. We intend to allocate an amount equal to the net proceeds from the sale of the 20        blue notes to finance and/or refinance, in whole or in part, a portfolio of Eligible Blue Projects.</w:t>
      </w:r>
    </w:p>
    <w:p>
      <w:pPr>
        <w:spacing w:after="0" w:line="186" w:lineRule="exact"/>
        <w:rPr>
          <w:sz w:val="20"/>
          <w:szCs w:val="20"/>
          <w:color w:val="auto"/>
        </w:rPr>
      </w:pPr>
    </w:p>
    <w:p>
      <w:pPr>
        <w:jc w:val="both"/>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“Eligible Blue Projects”, as defined in the Blue and Green Finance Framework, are investments and expenditures made by Xylem or any of its subsidiaries up to three years prior to the issuance of the notes, and up to two years following the issuance of the notes. The Blue and Green Finance Framework has been prepared in alignment with the Principles, voluntary guidelines for the issuance of green bonds, of which the 20        blue notes are a subset.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Eligible Blue Projects categories include:</w:t>
      </w:r>
    </w:p>
    <w:p>
      <w:pPr>
        <w:spacing w:after="0" w:line="131"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and Wastewater Treatment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Efficiency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Supply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Pollution Prevention and Control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Disaster Preparation and Response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 and Shipping;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Monitoring.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Eligibility criteria for each category are detailed in the Blue and Green Finance Framework.</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Eligible expenditures and investments may include capital expenditures, operating expenditures, acquisitions to the extent such acquisitions are equity investments for the acquisition of a controlling stake in “pure-players” whose shares are either not publicly traded, or that are newly issued in the primary markets, as well as R&amp;D. No expenditures or investments directly related to fossil fuels production, refining and power generation will knowingly be included under the Blue and Green Finance Framework. In cases where the end-users and beneficiaries of our Eligible Blue Projects are not traceable, we may allocate proceeds using a pro-rata approach based on the revenue generated from each industry vertical.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Process for Project Evaluation and Selection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Sustainability Reporting and Sustainable Finance Committee (the “Committee”), as disclosed in the Blue and Green Finance Framework, oversees the evaluation, selection, and monitoring of Xylem’s portfolio of Eligible Blue Projects. The Committee will seek to identify Eligible Blue Projects in line with the criteria of the Blue and Green Finance Framework, review and monitor the continuous compliance of Eligible Blue Projects, and exclude Eligible Blue Projects that no longer comply with the eligibility criteria or have been postponed, cancelled, divested, and replace them as soon as reasonably practicable, on a best-efforts basis.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of Proceeds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Pending allocation for such purposes, we intend to hold and/or invest the balance of net proceeds not yet allocated to the portfolio of Eligible Blue Projects in our treasury liquidity portfolio, or in cash or other short-term and liquid instruments.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46"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Reporting</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Within one year of completion of this offering and until full allocation of an amount equal to the net proceeds from the sale of the 20        notes, we intend to prepare a Blue and Green Financing Report (the “Blue and Green Financing Report”) that will show the allocation of the proceeds of this offering and the impact of the portfolio of Eligible Blue Projects. To the extent practicable, the report will include: (i) the total amount of investments and expenditures in the portfolio of Eligible Blue Projects, (ii) the aggregated amount allocated to the Eligible Blue Projects at category level, (iii) the regional distribution of Eligible Blue Projects (if applicable), (iii) the balance of unallocated proceeds, and (iv) the portion of financing and refinancing, including the split between new and existing projects. The report may also include metrics regarding the environmental impact of Eligible Blue Projects.</w:t>
      </w:r>
    </w:p>
    <w:p>
      <w:pPr>
        <w:spacing w:after="0" w:line="18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intend to make the Blue and Green Financing Report available on our website. Information contained on our website is not and should not be deemed a part of this prospectus supplement, the accompanying prospectus or any other report or filing filed with the SEC.</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table below sets forth our consolidated capitalization as of March 31, 2026, on an actual basis and as adjusted to give effect to the issuance and sale of the notes offered hereby and the application of the net proceeds from the sale of the notes as described under “Use of Proceeds” (assuming the net proceeds of this offering are initially held as cash or cash equivalents); however, neither the “Actual” nor the “As Adjusted” column reflects issuances under our existing commercial paper program subsequent to March 31, 2026.</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You should read the table together with our consolidated financial statements and the notes thereto incorporated by reference into this prospectus supplement and the accompanying prospectus.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w w:val="95"/>
              </w:rPr>
              <w:t>Actual</w:t>
            </w: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4"/>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(amounts in millions)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808</w:t>
            </w:r>
          </w:p>
        </w:tc>
        <w:tc>
          <w:tcPr>
            <w:tcW w:w="108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Debt included in current liabilities: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Short-term borrowings and current maturities of long-term debt</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531</w:t>
            </w:r>
          </w:p>
        </w:tc>
        <w:tc>
          <w:tcPr>
            <w:tcW w:w="1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Debt included in long-term liabilities: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 notes offered hereby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 blue notes offered hereby</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61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Long-term debt, excluding current maturities (net of debt issuance costs and</w:t>
            </w:r>
          </w:p>
        </w:tc>
        <w:tc>
          <w:tcPr>
            <w:tcW w:w="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1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unamortized discount of approximately $12)</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1,407</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10,972</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Total debt and stockholders’ equity</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12,910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vMerge w:val="restart"/>
          </w:tcPr>
          <w:p>
            <w:pPr>
              <w:ind w:left="4020"/>
              <w:spacing w:after="0"/>
              <w:rPr>
                <w:sz w:val="20"/>
                <w:szCs w:val="20"/>
                <w:color w:val="auto"/>
              </w:rPr>
            </w:pPr>
            <w:r>
              <w:rPr>
                <w:rFonts w:ascii="Times New Roman" w:cs="Times New Roman" w:eastAsia="Times New Roman" w:hAnsi="Times New Roman"/>
                <w:sz w:val="18"/>
                <w:szCs w:val="18"/>
                <w:color w:val="auto"/>
              </w:rPr>
              <w:t>S-15</w:t>
            </w: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1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20" w:top="455" w:right="599" w:bottom="144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420" w:type="dxa"/>
            <w:vAlign w:val="bottom"/>
            <w:gridSpan w:val="4"/>
          </w:tcPr>
          <w:p>
            <w:pPr>
              <w:jc w:val="center"/>
              <w:ind w:right="2060"/>
              <w:spacing w:after="0"/>
              <w:rPr>
                <w:sz w:val="20"/>
                <w:szCs w:val="20"/>
                <w:color w:val="auto"/>
              </w:rPr>
            </w:pPr>
            <w:r>
              <w:rPr>
                <w:rFonts w:ascii="Times New Roman" w:cs="Times New Roman" w:eastAsia="Times New Roman" w:hAnsi="Times New Roman"/>
                <w:sz w:val="18"/>
                <w:szCs w:val="18"/>
                <w:b w:val="1"/>
                <w:bCs w:val="1"/>
                <w:color w:val="0000EE"/>
                <w:w w:val="99"/>
              </w:rPr>
              <w:t>Table of Contents</w:t>
            </w:r>
          </w:p>
        </w:tc>
        <w:tc>
          <w:tcPr>
            <w:tcW w:w="180" w:type="dxa"/>
            <w:vAlign w:val="bottom"/>
          </w:tcPr>
          <w:p>
            <w:pPr>
              <w:spacing w:after="0"/>
              <w:rPr>
                <w:sz w:val="17"/>
                <w:szCs w:val="17"/>
                <w:color w:val="auto"/>
              </w:rPr>
            </w:pPr>
          </w:p>
        </w:tc>
        <w:tc>
          <w:tcPr>
            <w:tcW w:w="7520" w:type="dxa"/>
            <w:vAlign w:val="bottom"/>
          </w:tcPr>
          <w:p>
            <w:pPr>
              <w:spacing w:after="0"/>
              <w:rPr>
                <w:sz w:val="17"/>
                <w:szCs w:val="17"/>
                <w:color w:val="auto"/>
              </w:rPr>
            </w:pPr>
          </w:p>
        </w:tc>
      </w:tr>
      <w:tr>
        <w:trPr>
          <w:trHeight w:val="547"/>
        </w:trPr>
        <w:tc>
          <w:tcPr>
            <w:tcW w:w="5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2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DESCRIPTION OF NOTES</w:t>
            </w:r>
          </w:p>
        </w:tc>
      </w:tr>
      <w:tr>
        <w:trPr>
          <w:trHeight w:val="412"/>
        </w:trPr>
        <w:tc>
          <w:tcPr>
            <w:tcW w:w="540" w:type="dxa"/>
            <w:vAlign w:val="bottom"/>
          </w:tcPr>
          <w:p>
            <w:pPr>
              <w:spacing w:after="0"/>
              <w:rPr>
                <w:sz w:val="24"/>
                <w:szCs w:val="24"/>
                <w:color w:val="auto"/>
              </w:rPr>
            </w:pPr>
          </w:p>
        </w:tc>
        <w:tc>
          <w:tcPr>
            <w:tcW w:w="10580" w:type="dxa"/>
            <w:vAlign w:val="bottom"/>
            <w:gridSpan w:val="5"/>
          </w:tcPr>
          <w:p>
            <w:pPr>
              <w:ind w:left="20"/>
              <w:spacing w:after="0"/>
              <w:rPr>
                <w:sz w:val="20"/>
                <w:szCs w:val="20"/>
                <w:color w:val="auto"/>
              </w:rPr>
            </w:pPr>
            <w:r>
              <w:rPr>
                <w:rFonts w:ascii="Times New Roman" w:cs="Times New Roman" w:eastAsia="Times New Roman" w:hAnsi="Times New Roman"/>
                <w:sz w:val="18"/>
                <w:szCs w:val="18"/>
                <w:i w:val="1"/>
                <w:iCs w:val="1"/>
                <w:color w:val="auto"/>
              </w:rPr>
              <w:t>We are offering $            aggregate principal amount of notes, consisting of $            aggregate principal amount of            % Senior Notes</w:t>
            </w:r>
          </w:p>
        </w:tc>
      </w:tr>
      <w:tr>
        <w:trPr>
          <w:trHeight w:val="21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w w:val="82"/>
              </w:rPr>
              <w:t>due  </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    </w:t>
            </w:r>
          </w:p>
        </w:tc>
        <w:tc>
          <w:tcPr>
            <w:tcW w:w="258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w w:val="94"/>
              </w:rPr>
              <w:t>   , which we refer to as the “20 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i w:val="1"/>
                <w:iCs w:val="1"/>
                <w:color w:val="auto"/>
                <w:w w:val="70"/>
              </w:rPr>
              <w:t> </w:t>
            </w:r>
          </w:p>
        </w:tc>
        <w:tc>
          <w:tcPr>
            <w:tcW w:w="752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      notes” and $            aggregate principal amount of             % Senior Blue Notes due</w:t>
            </w:r>
          </w:p>
        </w:tc>
      </w:tr>
      <w:tr>
        <w:trPr>
          <w:trHeight w:val="236"/>
        </w:trPr>
        <w:tc>
          <w:tcPr>
            <w:tcW w:w="54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 xml:space="preserve">       </w:t>
            </w:r>
          </w:p>
        </w:tc>
        <w:tc>
          <w:tcPr>
            <w:tcW w:w="300" w:type="dxa"/>
            <w:vAlign w:val="bottom"/>
          </w:tcPr>
          <w:p>
            <w:pPr>
              <w:jc w:val="center"/>
              <w:spacing w:after="0"/>
              <w:rPr>
                <w:sz w:val="20"/>
                <w:szCs w:val="20"/>
                <w:color w:val="auto"/>
              </w:rPr>
            </w:pPr>
            <w:r>
              <w:rPr>
                <w:rFonts w:ascii="Times New Roman" w:cs="Times New Roman" w:eastAsia="Times New Roman" w:hAnsi="Times New Roman"/>
                <w:sz w:val="4"/>
                <w:szCs w:val="4"/>
                <w:i w:val="1"/>
                <w:iCs w:val="1"/>
                <w:color w:val="auto"/>
                <w:w w:val="98"/>
              </w:rPr>
              <w:t> </w:t>
            </w: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 which we refer to as the “20 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i w:val="1"/>
                <w:iCs w:val="1"/>
                <w:color w:val="auto"/>
                <w:w w:val="72"/>
              </w:rPr>
              <w:t> </w:t>
            </w:r>
          </w:p>
        </w:tc>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blue notes.” We refer to both series of the notes offered hereby collectively as the “notes.” The notes</w:t>
            </w:r>
          </w:p>
        </w:tc>
      </w:tr>
    </w:tbl>
    <w:p>
      <w:pPr>
        <w:ind w:left="120" w:right="80"/>
        <w:spacing w:after="0" w:line="253" w:lineRule="auto"/>
        <w:rPr>
          <w:sz w:val="20"/>
          <w:szCs w:val="20"/>
          <w:color w:val="auto"/>
        </w:rPr>
      </w:pPr>
      <w:r>
        <w:rPr>
          <w:rFonts w:ascii="Times New Roman" w:cs="Times New Roman" w:eastAsia="Times New Roman" w:hAnsi="Times New Roman"/>
          <w:sz w:val="18"/>
          <w:szCs w:val="18"/>
          <w:i w:val="1"/>
          <w:iCs w:val="1"/>
          <w:color w:val="auto"/>
        </w:rPr>
        <w:t>will be issued under the senior indenture, dated as of March 11, 2016, which is more fully described in the accompanying prospectus, as supplemented and amended by the first supplemental indenture, dated as of March 11, 2016 as further supplemented by the fifth supplemental indenture to be dated as of        , 2026, each between us and Deutsche Bank Trust Company Americas, as trustee. We refer to the senior indenture as so supplemented and amended as the “indenture.”</w:t>
      </w:r>
    </w:p>
    <w:p>
      <w:pPr>
        <w:spacing w:after="0" w:line="29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description supplements, and to the extent it is inconsistent with, replaces the description of the general terms and provisions of the debt securities contained in “Description of Debt Securities” in the accompanying prospectus. Because this section is a summary, it does not describe every aspect of the notes and the indenture. This summary is subject to, and qualified in its entirety by reference to, all the provisions of the notes and the indenture, including definitions of certain terms used therein. You may obtain copies of the notes and the indenture by requesting them from us or the trustee.</w:t>
      </w:r>
    </w:p>
    <w:p>
      <w:pPr>
        <w:spacing w:after="0" w:line="291" w:lineRule="exact"/>
        <w:rPr>
          <w:sz w:val="20"/>
          <w:szCs w:val="20"/>
          <w:color w:val="auto"/>
        </w:rPr>
      </w:pPr>
    </w:p>
    <w:p>
      <w:pPr>
        <w:ind w:left="120" w:right="2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In this Description of Notes, the “Company,” “we,” “us,” “our” and similar words refer to Xylem Inc. and not to any of its subsidiaries. Any capitalized terms that are defined in the accompanying prospectus have the same meanings in this section unless a different definition appears in this section.</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series of notes:</w:t>
      </w:r>
    </w:p>
    <w:p>
      <w:pPr>
        <w:spacing w:after="0" w:line="131"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senior unsecured obligations of ours;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rank equally with all of our other unsecured and unsubordinated indebtedness from time to time outstanding;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structurally subordinated to all existing and future obligations of our subsidiaries, including claims with respect to trade payables;</w:t>
      </w:r>
    </w:p>
    <w:p>
      <w:pPr>
        <w:sectPr>
          <w:pgSz w:w="11900" w:h="16838" w:orient="portrait"/>
          <w:cols w:equalWidth="0" w:num="1">
            <w:col w:w="11140"/>
          </w:cols>
          <w:pgMar w:left="320" w:top="446" w:right="439" w:bottom="1440" w:gutter="0" w:footer="0" w:header="0"/>
        </w:sectPr>
      </w:pP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will initially be limited to $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aggregate principal amount in the case of the 20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notes and $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aggregate principal</w:t>
      </w:r>
    </w:p>
    <w:p>
      <w:pPr>
        <w:spacing w:after="0" w:line="38" w:lineRule="exact"/>
        <w:rPr>
          <w:sz w:val="20"/>
          <w:szCs w:val="20"/>
          <w:color w:val="auto"/>
        </w:rPr>
      </w:pPr>
    </w:p>
    <w:p>
      <w:pPr>
        <w:sectPr>
          <w:pgSz w:w="11900" w:h="16838" w:orient="portrait"/>
          <w:cols w:equalWidth="0" w:num="5">
            <w:col w:w="720" w:space="360"/>
            <w:col w:w="2560" w:space="180"/>
            <w:col w:w="4100" w:space="180"/>
            <w:col w:w="1400" w:space="180"/>
            <w:col w:w="1460"/>
          </w:cols>
          <w:pgMar w:left="320" w:top="446" w:right="43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8"/>
          <w:szCs w:val="18"/>
          <w:color w:val="auto"/>
        </w:rPr>
        <w:t xml:space="preserve">amount in the case of the 20 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blue notes; and</w:t>
      </w:r>
    </w:p>
    <w:p>
      <w:pPr>
        <w:spacing w:after="0" w:line="112" w:lineRule="exact"/>
        <w:rPr>
          <w:sz w:val="20"/>
          <w:szCs w:val="20"/>
          <w:color w:val="auto"/>
        </w:rPr>
      </w:pPr>
    </w:p>
    <w:p>
      <w:pPr>
        <w:sectPr>
          <w:pgSz w:w="11900" w:h="16838" w:orient="portrait"/>
          <w:cols w:equalWidth="0" w:num="2">
            <w:col w:w="3700" w:space="180"/>
            <w:col w:w="7260"/>
          </w:cols>
          <w:pgMar w:left="320" w:top="446" w:right="439" w:bottom="1440" w:gutter="0" w:footer="0" w:header="0"/>
          <w:type w:val="continuous"/>
        </w:sect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issued in minimum denominations of $2,000 and integral multiples of $1,000 in excess thereof.</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Maturity and Interest</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20         notes will mature on         , 20        and the 20         blue notes will mature on        , 20        (unless earlier redeemed as described under “—Optional Redemption”). On the maturity date of a series of notes, the holders of the notes of such series will be entitled to receive 100% of the principal amount of the notes of such series.</w:t>
      </w:r>
    </w:p>
    <w:p>
      <w:pPr>
        <w:spacing w:after="0" w:line="176"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color w:val="auto"/>
        </w:rPr>
        <w:t>The 20         notes will bear interest at a rate of         % per annum and the 20        blue notes will bear interest at a rate of         % per annum, each from         , 2026, or from the most recent date to which interest has been paid or provided for (each, an “Interest Payment Date”), payable semi-annually in arrears on         and         of each year commencing on         , 20  to holders of record at the close of business on the 15th calendar day (whether or not a business day) immediately preceding the Interest Payment Date; provided, however, that interest payable on the maturity date of the notes or any redemption date of the notes shall be payable to the person to whom the principal of such notes shall be payable.</w:t>
      </w:r>
    </w:p>
    <w:p>
      <w:pPr>
        <w:spacing w:after="0" w:line="3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40"/>
          </w:cols>
          <w:pgMar w:left="320" w:top="446" w:right="4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Interest payable on the notes on any Interest Payment Date, redemption date or maturity date shall be computed on the basis of a 360-day year of twelve 30-day months. Interest on the notes will accrue from         , 2026. If any Interest Payment Date falls on a day that is not a business day, the interest payment will be made on the next succeeding day that is a business day, but no additional interest will accrue as a result of the delay in payment. If the maturity date or any redemption date of the notes falls on a day that is not a business day, the related payment of principal, premium, if any, and interest will be made on the next succeeding business day as if it were made on the date such payment was due, and no interest will accrue on the amounts so payable for the period from and after such date to the next succeeding business day.</w:t>
      </w:r>
    </w:p>
    <w:p>
      <w:pPr>
        <w:spacing w:after="0" w:line="187"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the term “business day” means any day, other than a Saturday or Sunday, which is not a day on which banking institutions in The City of New York are authorized or required by law or executive order to close.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Prior to the Applicable Par Call Date, we may redeem the notes of any series at our option, in whole or in part, at any time and from time to time, at a redemption price (expressed as a percentage of principal amount and rounded to three decimal places) equal to the greater of:</w:t>
      </w:r>
    </w:p>
    <w:p>
      <w:pPr>
        <w:spacing w:after="0" w:line="54" w:lineRule="exact"/>
        <w:rPr>
          <w:sz w:val="20"/>
          <w:szCs w:val="20"/>
          <w:color w:val="auto"/>
        </w:rPr>
      </w:pPr>
    </w:p>
    <w:p>
      <w:pPr>
        <w:ind w:left="560" w:right="260" w:hanging="4"/>
        <w:spacing w:after="0" w:line="261" w:lineRule="auto"/>
        <w:tabs>
          <w:tab w:leader="none" w:pos="81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on the notes of such series discounted to the relevant redemption date (assuming such notes matured on the Applicable Par Call Date) on a semi-annual basis (assuming a 360-day year</w:t>
      </w:r>
    </w:p>
    <w:p>
      <w:pPr>
        <w:ind w:left="560" w:right="400"/>
        <w:spacing w:after="0" w:line="260" w:lineRule="auto"/>
        <w:rPr>
          <w:sz w:val="20"/>
          <w:szCs w:val="20"/>
          <w:color w:val="auto"/>
        </w:rPr>
      </w:pPr>
      <w:r>
        <w:rPr>
          <w:rFonts w:ascii="Times New Roman" w:cs="Times New Roman" w:eastAsia="Times New Roman" w:hAnsi="Times New Roman"/>
          <w:sz w:val="18"/>
          <w:szCs w:val="18"/>
          <w:color w:val="auto"/>
        </w:rPr>
        <w:t>consisting of twelve 30-day months) at the Treasury Rate plus         basis points for the 20    notes, and         basis points for the 20      blue notes less (b) interest accrued and unpaid to the relevant redemption date, and</w:t>
      </w:r>
    </w:p>
    <w:p>
      <w:pPr>
        <w:spacing w:after="0" w:line="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 100% of the principal amount of the notes to be redeemed,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On or after the Applicable Par Call Date for a series of notes, we may redeem the notes of such series, in whole or in part, at any time and from time to time, at a redemption price equal to 100% of the principal amount of such notes being redeemed plus accrued and unpaid interest thereon to the relevant redemption date.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terms are relevant to the determination of the redemption price.</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“Applicable Par Call Date” </w:t>
      </w:r>
      <w:r>
        <w:rPr>
          <w:rFonts w:ascii="Times New Roman" w:cs="Times New Roman" w:eastAsia="Times New Roman" w:hAnsi="Times New Roman"/>
          <w:sz w:val="18"/>
          <w:szCs w:val="18"/>
          <w:color w:val="auto"/>
        </w:rPr>
        <w:t>means:</w:t>
      </w:r>
    </w:p>
    <w:p>
      <w:pPr>
        <w:sectPr>
          <w:pgSz w:w="11900" w:h="16838" w:orient="portrait"/>
          <w:cols w:equalWidth="0" w:num="1">
            <w:col w:w="11120"/>
          </w:cols>
          <w:pgMar w:left="320" w:top="455" w:right="459" w:bottom="1440" w:gutter="0" w:footer="0" w:header="0"/>
        </w:sectPr>
      </w:pP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with respect to the 20 </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notes,  </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20 </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9"/>
          <w:szCs w:val="9"/>
          <w:color w:val="auto"/>
        </w:rPr>
        <w:t>( </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months prior to the maturity date of such notes), and</w:t>
      </w:r>
    </w:p>
    <w:p>
      <w:pPr>
        <w:spacing w:after="0" w:line="142" w:lineRule="exact"/>
        <w:rPr>
          <w:sz w:val="20"/>
          <w:szCs w:val="20"/>
          <w:color w:val="auto"/>
        </w:rPr>
      </w:pPr>
    </w:p>
    <w:p>
      <w:pPr>
        <w:sectPr>
          <w:pgSz w:w="11900" w:h="16838" w:orient="portrait"/>
          <w:cols w:equalWidth="0" w:num="10">
            <w:col w:w="720" w:space="360"/>
            <w:col w:w="1600" w:space="140"/>
            <w:col w:w="40" w:space="140"/>
            <w:col w:w="40" w:space="180"/>
            <w:col w:w="520" w:space="140"/>
            <w:col w:w="40" w:space="140"/>
            <w:col w:w="220" w:space="140"/>
            <w:col w:w="300" w:space="180"/>
            <w:col w:w="120" w:space="180"/>
            <w:col w:w="5920"/>
          </w:cols>
          <w:pgMar w:left="320" w:top="455" w:right="45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with respect to the 20 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blue notes,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 20 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7"/>
          <w:szCs w:val="7"/>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months prior to the maturity date of such notes).</w:t>
      </w:r>
    </w:p>
    <w:p>
      <w:pPr>
        <w:spacing w:after="0" w:line="200" w:lineRule="exact"/>
        <w:rPr>
          <w:sz w:val="20"/>
          <w:szCs w:val="20"/>
          <w:color w:val="auto"/>
        </w:rPr>
      </w:pPr>
    </w:p>
    <w:p>
      <w:pPr>
        <w:sectPr>
          <w:pgSz w:w="11900" w:h="16838" w:orient="portrait"/>
          <w:cols w:equalWidth="0" w:num="10">
            <w:col w:w="720" w:space="360"/>
            <w:col w:w="1600" w:space="140"/>
            <w:col w:w="40" w:space="140"/>
            <w:col w:w="40" w:space="180"/>
            <w:col w:w="880" w:space="120"/>
            <w:col w:w="240" w:space="120"/>
            <w:col w:w="60" w:space="120"/>
            <w:col w:w="320" w:space="180"/>
            <w:col w:w="100" w:space="180"/>
            <w:col w:w="5580"/>
          </w:cols>
          <w:pgMar w:left="320" w:top="455" w:right="459" w:bottom="1440" w:gutter="0" w:footer="0" w:header="0"/>
          <w:type w:val="continuous"/>
        </w:sectPr>
      </w:pPr>
    </w:p>
    <w:p>
      <w:pPr>
        <w:spacing w:after="0" w:line="23"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“Treasury Rate” </w:t>
      </w:r>
      <w:r>
        <w:rPr>
          <w:rFonts w:ascii="Times New Roman" w:cs="Times New Roman" w:eastAsia="Times New Roman" w:hAnsi="Times New Roman"/>
          <w:sz w:val="18"/>
          <w:szCs w:val="18"/>
          <w:color w:val="auto"/>
        </w:rPr>
        <w:t>means, with respect to any redemption date for a series of notes, the yield applicable to such series of notes determined by us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following two paragraphs.</w:t>
      </w:r>
    </w:p>
    <w:p>
      <w:pPr>
        <w:spacing w:after="0" w:line="16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Treasury Rate applicable to a series of notes shall be determined by us after 4:15 p.m., New York City time (or after such time as yields on U.S. government securities are posted daily by the Board of Governors of the Federal Reserve System), on the third business day preceding the relevant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applicable Treasury Rate, we shall select, as applicable: (1) the yield for the Treasury constant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maturity on H.15 exactly equal to the period from the relevant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relevant redemption date.</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relevant redemption date H.15 TCM is no longer published, we shall calculate the applicable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we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applicable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actions and determinations in determining the relevant redemption price shall be conclusive and binding for all purposes, absent manifest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error.</w:t>
      </w:r>
    </w:p>
    <w:p>
      <w:pPr>
        <w:spacing w:after="0" w:line="20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relevant redemption date to each holder of notes to be redeemed.</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deems appropriate and fair, subject, in the case of global notes (as defined below), to the applicable procedures of DTC (or any successor depositary).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such depositary.</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Unless we default in payment of the redemption price, on and after the redemption date interest will cease to accrue on the notes or portions thereof called for redemption. On or before the redemption date, we will deposit with the paying agent or set aside, segregate and hold in trust (if we are acting as paying agent), funds sufficient to pay the redemption price of, and accrued and unpaid interest on, such notes to be redeemed on that redemption date.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Notice of any redemption of notes may, at our discretion, be given subject to one or more conditions precedent, including, but not limited to, completion of a corporate transaction that is pending (such as an equity or equity-linked offering, an incurrence of indebtedness or an acquisition or other strategic transaction involving a change of control in us or another entity). If such redemption is subject to satisfaction of one or more conditions precedent, such notice shall describe each such condition, and such notice may be rescinded in the event that any or all such conditions shall not have been satisfied or otherwise waived on or prior to the fifth (5th) business day immediately preceding the relevant redemption date.</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shall notify holders (with a copy to the Trustee) of any such rescission as soon as practicable, and in no case less than five (5) business days immediately preceding the relevant redemption date, after we determine that such conditions precedent will not be able to be satisfied or we are not able or willing to waive such conditions precedent, in each case subject to policies and procedures of DTC (or any successor depositary). In any event, we shall provide written notice to holders and the trustee prior to the close of business on the fifth (5th) business day prior to the relevant redemption date if any such redemption has been rescinded or delayed. We may by five (5) business days (or such shorter period to which the Trustee may in its sole discretion agree) advanced written notice to the Trustee (accompanied by an officer’s certificate to the Trustee’s satisfaction, and a copy of the written notice (prepared by us at our cost and expense) that such redemption has been rescinded or delayed) request that the trustee provide such notice to each holder of the notes in the same manner in which the notice of redemption was given. Once notice of redemption is mailed or sent, subject to the satisfaction of any conditions precedent provided in the notice of redemption, the notes called for redemption will become due and payable on the redemption date and at the applicable redemption price as set forth above under “—Optional Redemption.”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Repurchase Upon Change of Control Triggering Event</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 change of control requiring us to repurchase all, or part, of the notes of a series as described below will be triggered in the event that the notes of such series cease to be rated equal to or higher than BBB- (or the equivalent) by Fitch Inc. (“Fitch”), Baa3 (or the equivalent) by Moody’s Investors Service, Inc. (“Moody’s”) or BBB- (or the equivalent) by S&amp;P Global Ratings, a division of S&amp;P Global Inc. (“S&amp;P”), and the equivalent investment grade credit rating from any replacement rating agency or rating agencies selected by us on any date during the 60-day period commencing upon the earlier of (1) the first public announcement of the change of control or our intention to effect a change of control and (2) the consummation of such change of control, which period will be extended following consummation of a change of control for so long as the rating of the notes of such series is under publicly announced consideration for possible downgrade by any of the rating agencies. Unless at least one rating agency is providing a rating for the notes of such series at the commencement of any such period, the notes of such series will be deemed to have ceased to be rated as described above during such period. Notwithstanding the foregoing, no event triggering a change of control will be deemed to have occurred in connection with any particular change of control unless and until such change of control has actually been consummated.</w:t>
      </w:r>
    </w:p>
    <w:p>
      <w:pPr>
        <w:spacing w:after="0" w:line="19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an event triggering a change of control occurs, unless we have exercised our right to redeem the notes of such series, we will be required to make an offer to repurchase all or, at the holder’s option, any part (equal to $2,000 or any multiple of $1,000 in excess thereof) of each holder’s notes of such series on the terms set forth in the notes of such series. In such offer, we will be required to offer payment in cash equal to 101% of the aggregate principal amount of the notes of such series repurchased plus accrued and unpaid interest, if any, on the notes of such series repurchased, to, but not including, the date of purchase.</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Within 30 days following any event triggering a change of control or, at our option, prior to any change of control, but after public announcement of the transaction that constitutes or may constitute the change of control, a notice will be mailed to holders of the notes of such series (with a copy mailed to the trustee) describing the transaction that constitutes or may constitute the change of control triggering event and offering to repurchase such notes on the date specified in the notice, which date will be no earlier than 30 days and no later than 60 days from the date such notice is mailed. The notice, if mailed prior to the date of consummation of the change of control, will state that the change of control offer is conditioned on the change of control triggering event occurring on or prior to such payment date.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080"/>
          </w:cols>
          <w:pgMar w:left="320" w:top="455"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such payment date, we will be required, to the extent lawful, to:</w:t>
      </w:r>
    </w:p>
    <w:p>
      <w:pPr>
        <w:spacing w:after="0" w:line="131"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pursuant to the offer described in the first paragraph above;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required payment in respect of all notes or portions of notes properly tendered; and</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or portions of notes being purchased by us.</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paying agent will be required to promptly mail to each holder who properly tendered notes the purchase price for such debt securities, and the trustee will be required to promptly authenticate and mail (or cause to be transferred by book entry) to each such holder a new debt security equal in principal amount to any unpurchased portion of the notes surrendered, if any; provided that each new debt security will be in a principal amount of $2,000 or a multiple of $1,000 in excess thereof.</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will not be required to make an offer upon an event triggering a change of control if a third party makes such an offer in the manner, at the times and otherwise in compliance with the requirements for an offer made by us and such third party purchases all notes properly tendered and not withdrawn under its offer. In the event that such third party terminates or defaults its offer, we will be required to make an offer treating the date of such termination or default as though it were the date of such change of control triggering event.</w:t>
      </w:r>
    </w:p>
    <w:p>
      <w:pPr>
        <w:spacing w:after="0" w:line="180"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In addition, we will not repurchase any notes if there has occurred and is continuing on the relevant payment date an event of default under the indenture, other than a default in the payment of the change of control payment upon a change of control triggering event.</w:t>
      </w:r>
    </w:p>
    <w:p>
      <w:pPr>
        <w:spacing w:after="0" w:line="162"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To the extent that we are required to offer to repurchase the notes upon the occurrence of a change of control triggering event, we may not have sufficient funds to repurchase the notes in cash at such time. In addition, our ability to repurchase the notes for cash may be limited by law or the terms of other agreements relating to our indebtedness outstanding at the time. The failure to make such repurchase would result in a default under the notes.</w:t>
      </w:r>
    </w:p>
    <w:p>
      <w:pPr>
        <w:spacing w:after="0" w:line="158"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will comply with the requirements of Rule 14e-1 under the Exchange Act, and any other securities laws and regulations thereunder to the extent those laws and regulations are applicable in connection with the repurchase of the notes as a result of a change of control triggering event. To the extent that the provision of any such laws or regulations conflicts with the offer provisions in respect of a change of control of the notes, we will comply with those securities laws and regulations and will not be deemed to have breached our obligations under such offer provisions by virtue of any such conflict.</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definition of change of control includes a phrase relating to the direct or indirect sale, lease, transfer, conveyance or other disposition of “all or substantially all” of our properties or assets and those of our subsidiaries taken as a whole. Although there is a limited body of case law interpreting the phrase “substantially all,” there is no precise established definition of the phrase under applicable law. Accordingly, the ability of a holder of notes to require us to repurchase its notes as a result of a sale, lease, transfer, conveyance or other disposition of less than all of our assets and those of our subsidiaries, taken as a whole, to another person or group may be uncertain. In such case, holders of the notes may not be able to resolve this uncertainty without resorting to legal action.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the foregoing, the following terms will be applicable:</w:t>
      </w:r>
    </w:p>
    <w:p>
      <w:pPr>
        <w:spacing w:after="0" w:line="115" w:lineRule="exact"/>
        <w:rPr>
          <w:sz w:val="20"/>
          <w:szCs w:val="20"/>
          <w:color w:val="auto"/>
        </w:rPr>
      </w:pPr>
    </w:p>
    <w:p>
      <w:pPr>
        <w:ind w:left="120" w:right="7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means the occurrence of any one of the following: (1) the direct or indirect sale, lease, transfer, conveyance or other disposition (other than by way of merger, amalgamation, arrangement or</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consolidation), in one or a series of related transactions, of all or substantially all of our properties or assets and those of our subsidiaries, taken as a whole, to one or more persons, other than to us or one of our subsidiaries; (2) the first day on which a majority of the members of our board of directors is not composed of directors who (a) were members of our board of directors on the issue date or (b) were nominated for election, elected or appointed to our board of directors with the approval of a majority of the directors who were members of our board of directors at the time of such nomination, election or appointment (either by a specific vote or by approval by such directors of our proxy statement in which such member was named as a nominee for election as a director); (3) the consummation of any transaction including, without limitation, any merger, amalgamation, arrangement or consolidation the result of which is that any person becomes the beneficial owner, directly or indirectly, of more than 50% of our voting stock; (4) we consolidate with, or merge with or into, any person, or any person consolidates with, or merges with or into, us, in any such event pursuant to a transaction in which any of the outstanding voting stock of us or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immediately after giving effect to such transaction; or (5) the adoption of a plan relating to our liquidation or dissolution (other than our liquidation into a newly formed holding company). Notwithstanding the foregoing, a transaction described in clause (3) above will not be deemed to involve a change of control if (1) the Company becomes a direct or indirect wholly-owned subsidiary of a holding company (which shall include a parent company) and (2)(A) the direct or indirect holders of the voting stock of such holding company immediately following that transaction are substantially the same as, and hold in substantially the same proportions as, the holders of the Company’s voting stock immediately prior to that transaction or (B) immediately following that transaction no person (other than a holding company satisfying the requirements of this sentence) is the beneficial owner, directly or indirectly, of more than 50% of the then outstanding voting stock, measured by voting power, of such holding company. Following any such transaction, references in this definition to the Company shall be deemed to refer to such holding company. For the purposes of this definition, “person” and “beneficial owner” have the meanings used in Section 13(d) of the Exchange Act.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and Covenants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In some circumstances, we may elect to discharge our obligations on the notes through defeasance or covenant defeasance. See “Description of Debt Securities—Satisfaction, Discharge and Defeasance” in the accompanying prospectus for more information about how we may do this.</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indenture generally does not limit our ability to incur additional debt and does not contain financial or similar restrictive covenants, except as described in the accompanying prospectus under the caption “Description of Debt Securities—Other Covenants.”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Further Issues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may from time to time, without notice to or the consent of the holders of either series of notes, create and issue further notes ranking equally and ratably with such series of notes in all respects, or in all respects except for the payment of interest accruing prior to the issue date or except for the first payment of interest following the issue date of those further notes. Any further notes will have the same terms as to status, redemption or otherwise as the applicable series of notes. If such further notes are not fungible with the notes in this offering for United States federal income tax purposes, the further notes will have different ISIN and CUSIP numbers.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System</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notes will be issued in the form of one or more fully registered global notes (each a “global note”) which will be deposited with, or on behalf of, The Depository Trust Company, New York, New York (“DTC”) and registered in the name of Cede &amp; Co., DTC’s nominee. We will not issue notes in certificated form except in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3" w:lineRule="auto"/>
        <w:rPr>
          <w:sz w:val="20"/>
          <w:szCs w:val="20"/>
          <w:color w:val="auto"/>
        </w:rPr>
      </w:pPr>
      <w:r>
        <w:rPr>
          <w:rFonts w:ascii="Times New Roman" w:cs="Times New Roman" w:eastAsia="Times New Roman" w:hAnsi="Times New Roman"/>
          <w:sz w:val="18"/>
          <w:szCs w:val="18"/>
          <w:color w:val="auto"/>
        </w:rPr>
        <w:t>certain circumstances. Beneficial interests in the global notes will be represented through book-entry accounts of financial institutions acting on behalf of beneficial owners as direct and indirect participants in DTC (the “Depositary Participants”). Investors may elect to hold interests in the global notes through either DTC (in the United States), or Clearstream Banking Luxembourg S.A. (“Clearstream Luxembourg”) or Euroclear Bank S.A./N.V., as operator of the Euroclear System (“Euroclear”) (in Europe) if they are participants in those systems, or indirectly through organizations that are participants in those systems. Clearstream Luxembourg and Euroclear will hold interests on behalf of their participants through customers’ securities accounts in Clearstream Luxembourg’s and Euroclear’s names on the books of their respective depositaries, which in turn will hold such interests in customers’ securities accounts in the depositaries’ names on the books of DTC. At the present time, Citibank, N.A. acts as U.S. depositary for Clearstream Luxembourg and JPMorgan Chase Bank acts as U.S. depositary for Euroclear (the “U.S. Depositaries”). Beneficial interests in the global notes will be held in minimum denominations of $2,000 and integral multiples of $1,000 in excess thereof. Except as set forth below, the global notes may be transferred, in whole but not in part, only to another nominee of DTC or to a successor of DTC or its nominee.</w:t>
      </w:r>
    </w:p>
    <w:p>
      <w:pPr>
        <w:spacing w:after="0" w:line="19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securities that its participants (“Direct Participants”) deposit with DTC. DTC also facilitates the settlement among Direct Participants of securities transactions, such as transfers and pledges, in deposited securities through electronic computerized book-entry changes in Direct Participants’ accounts, thereby eliminating the need for physical movement of securities certificates. Direct Participants include securities brokers and dealers (which may include the underwriters), banks, trust companies, clearing corporations and certain other organizations. DTC is owned by a number of its Direct Participants and by the New York Stock Exchange, Inc., the NYSE MKT LLC and the Financial Industry Regulatory Authority. Access to DTC’s book-entry system is also available to others such as securities brokers and dealers, banks and trust companies that clear through or maintain a custodial relationship with a Direct Participant, either directly or indirectly (“Indirect Participants”). The rules applicable to DTC and its Direct and Indirect Participants are on file with the SEC.</w:t>
      </w:r>
    </w:p>
    <w:p>
      <w:pPr>
        <w:spacing w:after="0" w:line="192"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Clearstream Luxembourg has advised us that it is incorporated under the laws of Luxembourg as a professional depositary. Clearstream Luxembourg holds securities for its participating organizations, known as Clearstream Luxembourg participants, and facilitates the clearance and settlement of securities transactions between Clearstream Luxembourg participants through electronic book-entry changes in accounts of Clearstream Luxembourg participants, thereby eliminating the need for physical movement of certificates. Clearstream Luxembourg provides to Clearstream Luxembourg participants, among other things, services for safekeeping, administration, clearance and settlement of internationally traded securities and securities lending and borrowing. Clearstream Luxembourg interfaces with domestic markets in several countries. As a professional depositary, Clearstream Luxembourg is subject to regulation by the Luxembourg Commission for the Supervision of the Financial Sector, also known as the Commission de Surveillance du Secteur Financier. Clearstream Luxembourg participants are recognized financial institutions around the world, including underwriters, securities brokers and dealers, banks, trust companies, clearing corporations and certain other organizations. Indirect access to Clearstream Luxembourg is also available to others, such as banks, brokers, dealers and trust companies that clear through, or maintain a custodial relationship with, a Clearstream Luxembourg participant either directly or indirectly.</w:t>
      </w:r>
    </w:p>
    <w:p>
      <w:pPr>
        <w:spacing w:after="0" w:line="192" w:lineRule="exact"/>
        <w:rPr>
          <w:sz w:val="20"/>
          <w:szCs w:val="20"/>
          <w:color w:val="auto"/>
        </w:rPr>
      </w:pPr>
    </w:p>
    <w:p>
      <w:pPr>
        <w:ind w:left="120" w:right="320" w:firstLine="440"/>
        <w:spacing w:after="0" w:line="312" w:lineRule="auto"/>
        <w:rPr>
          <w:sz w:val="20"/>
          <w:szCs w:val="20"/>
          <w:color w:val="auto"/>
        </w:rPr>
      </w:pPr>
      <w:r>
        <w:rPr>
          <w:rFonts w:ascii="Times New Roman" w:cs="Times New Roman" w:eastAsia="Times New Roman" w:hAnsi="Times New Roman"/>
          <w:sz w:val="17"/>
          <w:szCs w:val="17"/>
          <w:color w:val="auto"/>
        </w:rPr>
        <w:t>Distributions with respect to the notes held beneficially through Clearstream Luxembourg will be credited to the cash accounts of Clearstream Luxembourg participants in accordance with its rules and procedures, to the extent received by the U.S. Depositary for Clearstream Luxembourg.</w:t>
      </w:r>
    </w:p>
    <w:p>
      <w:pPr>
        <w:spacing w:after="0" w:line="14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Euroclear has advised us that it was created in 1968 to hold securities for its participants, known as Euroclear participants, and to clear and settle transactions between Euroclear participants and between Euroclear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80"/>
        <w:spacing w:after="0" w:line="272" w:lineRule="auto"/>
        <w:rPr>
          <w:sz w:val="20"/>
          <w:szCs w:val="20"/>
          <w:color w:val="auto"/>
        </w:rPr>
      </w:pPr>
      <w:r>
        <w:rPr>
          <w:rFonts w:ascii="Times New Roman" w:cs="Times New Roman" w:eastAsia="Times New Roman" w:hAnsi="Times New Roman"/>
          <w:sz w:val="17"/>
          <w:szCs w:val="17"/>
          <w:color w:val="auto"/>
        </w:rPr>
        <w:t>participants and participants of certain other securities intermediaries through simultaneous electronic book-entry delivery against payment, eliminating the need for physical movement of certificates and any risk from lack of simultaneous transfers of securities and cash. Euroclear is owned by Euroclear Clearance System Public Limited Company and operated through a license agreement by Euroclear Bank S.A./N.V., known as the Euroclear operator.</w:t>
      </w:r>
    </w:p>
    <w:p>
      <w:pPr>
        <w:spacing w:after="0" w:line="2" w:lineRule="exact"/>
        <w:rPr>
          <w:sz w:val="20"/>
          <w:szCs w:val="20"/>
          <w:color w:val="auto"/>
        </w:rPr>
      </w:pPr>
    </w:p>
    <w:p>
      <w:pPr>
        <w:jc w:val="both"/>
        <w:ind w:left="120" w:right="420"/>
        <w:spacing w:after="0" w:line="255" w:lineRule="auto"/>
        <w:rPr>
          <w:sz w:val="20"/>
          <w:szCs w:val="20"/>
          <w:color w:val="auto"/>
        </w:rPr>
      </w:pPr>
      <w:r>
        <w:rPr>
          <w:rFonts w:ascii="Times New Roman" w:cs="Times New Roman" w:eastAsia="Times New Roman" w:hAnsi="Times New Roman"/>
          <w:sz w:val="18"/>
          <w:szCs w:val="18"/>
          <w:color w:val="auto"/>
        </w:rPr>
        <w:t>The Euroclear operator provides Euroclear participants, among other things, with safekeeping, administration, clearance and settlement, securities lending and borrowing and related services. Euroclear participants include banks (including central banks), securities brokers and dealers and other professional financial intermediaries and may include the underwriters.</w:t>
      </w:r>
    </w:p>
    <w:p>
      <w:pPr>
        <w:spacing w:after="0" w:line="18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Indirect access to Euroclear is also available to others that clear through or maintain a custodial relationship with a Euroclear participant, either directly or indirectly.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Euroclear operator is regulated and examined by the Belgian Banking and Finance Commission.</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Securities clearance accounts and cash accounts with the Euroclear operator are governed by the Terms and Conditions Governing Use of Euroclear and the related Operating Procedures of the Euroclear System, and applicable Belgian law, collectively referred to as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87"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Distributions with respect to notes held beneficially through Euroclear will be credited to the cash accounts of Euroclear participants in accordance with the terms and conditions, to the extent received by the U.S. Depositary for Euroclear.</w:t>
      </w:r>
    </w:p>
    <w:p>
      <w:pPr>
        <w:spacing w:after="0" w:line="162"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If DTC is at any time unwilling or unable to continue as depositary and a successor depositary is not appointed by us within 90 days, we will issue the notes in definitive form in exchange for the entire global note representing such notes. In addition, we may at any time, and in our sole discretion, determine not to have the notes represented by the global note and, in such event, will issue notes in registered definitive form in exchange for the global note representing such notes. In any such instance, an owner of a beneficial interest in the global note will be entitled to physical delivery in definitive form of notes represented by such global note equal in principal amount to such beneficial interest and to have such notes registered in its name.</w:t>
      </w:r>
    </w:p>
    <w:p>
      <w:pPr>
        <w:spacing w:after="0" w:line="168"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Title to book-entry interests in the notes will pass by book-entry registration of the transfer within the records of Clearstream Luxembourg, Euroclear or DTC, as the case may be, in accordance with their respective procedures. Book-entry interests in the notes may be transferred within Clearstream Luxembourg and within Euroclear and between Clearstream Luxembourg and Euroclear in accordance with procedures established for these purposes by Clearstream Luxembourg and Euroclear. Book-entry interests in the notes may be transferred within DTC in accordance with procedures established for this purpose by DTC. Transfers of book-entry interests in the notes among Clearstream Luxembourg and Euroclear and DTC may be effected in accordance with procedures established for this purpose by Clearstream Luxembourg, Euroclear and DTC.</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Clearance and Settlement Procedures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Initial settlement for the notes will be made in immediately available funds. Secondary market trading between Depositary Participants will occur in the ordinary way in accordance with DTC’s rules and will be settled in immediately available funds using DTC’s Same-Day Funds Settlement System. Secondary market trading between Clearstream Luxembourg participants and Euroclear participants will occur in the ordinary way in accordance with the applicable rules and operating procedures of Clearstream Luxembourg and Euroclear and will be settled using the procedures applicable to conventional eurobonds in immediately available funds.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Cross-market transfers between persons holding directly or indirectly through DTC, on the one hand, and directly or indirectly through Clearstream Luxembourg or Euroclear participants, on the other, will be effected through DTC in accordance with DTC’s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relevant European international clearing system will, if the transaction meets its settlement requirements, deliver instructions to its U.S. Depositary to take action to effect final settlement on its behalf by delivering or receiving the notes in DTC, and making or receiving payment in accordance with normal procedures for same-day funds settlement applicable to DTC. Clearstream Luxembourg participants and Euroclear participants may not deliver instructions directly to their respective U.S. Depositaries.</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Because of time-zone differences, credits of the notes received in Clearstream Luxembourg or Euroclear as a result of a transaction with a Depositary Participant will be made during subsequent securities settlement processing and dated the business day following the DTC settlement date. Such credits, or any transactions in the notes settled during such processing, will be reported to the relevant Euroclear participants or Clearstream Luxembourg participants on that business day. Cash received in Clearstream Luxembourg or Euroclear as a result of sales of notes by or through a Clearstream Luxembourg participant or a Euroclear participant to a Depositary Participant will be received with value on the business day of settlement in DTC but will be available in the relevant Clearstream Luxembourg or Euroclear cash account only as of the business day following settlement in DTC.</w:t>
      </w:r>
    </w:p>
    <w:p>
      <w:pPr>
        <w:spacing w:after="0" w:line="18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Although DTC, Clearstream Luxembourg and Euroclear have agreed to the foregoing procedures in order to facilitate transfers of securities among participants of DTC, Clearstream Luxembourg and Euroclear, they are under no obligation to perform or continue to perform such procedures and they may discontinue the procedures at any 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Notices to holders of the notes will be sent by mail or email to the registered holders, or otherwise in accordance with the procedures of the applicable depositary.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Trustee, Paying Agent and Registrar</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Deutsche Bank Trust Company Americas will be the trustee, paying agent, registrar and DTC custodian with respect to the notes and maintains various commercial and investment banking relationships with us and with affiliates of ours.</w:t>
      </w:r>
    </w:p>
    <w:p>
      <w:pPr>
        <w:spacing w:after="0" w:line="16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Principal of, premium, if any, and interest on the notes will be payable at the office of the paying agent or, at our option, payment of interest may be made by check mailed to the holders of the notes at their respective addresses set forth in the register of holders; provided that all payments of principal, premium, if any, and interest with respect to the notes represented by one or more global notes deposited with, or on behalf of, a common depositary, and registered in the name of the nominee of the common depositary for the account of DTC will be made through the facilities of the common depositary. We may change the paying agent without prior notice to the holders, and we or any of our subsidiaries may act as paying agent.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and the notes will be governed by, and construed in accordance with, the laws of the State of New York.</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CONSIDERATIONS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following is a general summary of material U.S. federal income tax consequences of the acquisition, ownership and disposition of the notes. This discussion is based upon the U.S. Internal Revenue Code of 1986, as amended (the “Code”), the U.S. Treasury regulations promulgated thereunder, administrative pronouncements and judicial decisions, all as of the date hereof and all of which are subject to differing interpretations or change, possibly with retroactive effect. Unless otherwise indicated, this summary addresses only the U.S. federal income tax consequences relevant to investors that purchase notes for cash at the time of original issuance at their “issue price” (generally the first price at which a substantial amount of the notes are sold for money to the public, not including purchases by bond houses, brokers or similar persons or organizations acting in the capacity of underwriters, placement agents or wholesalers) and applies only to beneficial owners that hold the notes as “capital assets” within the meaning of Section 1221 of the Code.</w:t>
      </w:r>
    </w:p>
    <w:p>
      <w:pPr>
        <w:spacing w:after="0" w:line="192"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This summary does not address all of the U.S. federal income tax considerations that may be relevant to a particular investor in light of the investor’s individual circumstances or to investors subject to special rules under U.S. federal income tax laws, such as banks and other financial institutions, insurance companies, real estate investment trusts, regulated investment companies, tax-exempt organizations, entities and arrangements classified as partnerships for U.S. federal income tax purposes and other pass-through entities (and investors in such partnerships and other entities), dealers in securities, traders in securities that elect to use a mark-to-market method of tax accounting, persons liable for any minimum tax, U.S. Holders (as defined below) whose functional currency is not the U.S. dollar, certain U.S. expatriates, “controlled foreign corporations,” “passive foreign investment companies,” corporations that accumulate earnings to avoid U.S. federal income tax, persons holding notes as part of a “straddle,” “hedge,” “conversion transaction,” or other integrated investment and persons subject to special tax accounting rules under Section 451(b) of the Code. The discussion does not address any foreign, state, local or non-income tax consequences of the acquisition, ownership or disposition of the notes. We will not seek a ruling from the Internal Revenue Service (the “IRS”) with respect to any of the matters discussed herein and there can be no assurance that the IRS will not challenge one or more of the tax consequences described herein.</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this prospectus supplement, the term “U.S. Holder” means a beneficial owner of a note that is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in or under the laws of the United States or any state or political subdivision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U.S. court is able to exercise primary supervision over the trust’s administration and one or more “United States persons,” as defined in the Code (“United States Person”) have the authority to control all substantial decisions of the trust, or (ii) the trust has in effect a valid election to be treated as a United States Person.</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term “Non-U.S. Holder” means any beneficial owner of a note that is not a U.S. Holder and is not a partnership (including any entity or arrangement properly classified as a partnership for U.S. federal income tax purposes). For the purposes of this summary, U.S. Holders and Non-U.S. Holders are referred to collectively as “holders.”</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or arrangement classified as a partnership for U.S. federal income tax purposes) is a beneficial owner of a note, the U.S. federal income tax treatment of a partner in that partnership will generally depend upon the status of the partner and the activities of the partnership. A beneficial owner of a note that is a partnership and partners in such partnerships are urged to consult with their own tax advisors regarding the U.S. federal income and other tax consequences of the acquisition, ownership and disposition of the notes.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This discussion is for general purposes only. Investors are urged to consult their own tax advisors regarding the application of the U.S. federal income tax laws to their particular situations and the consequences under federal estate or gift tax laws, as well as foreign, state, and local laws and tax treaties, and the possible effects of changes in tax laws.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Payments under Certain Events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may be required, under certain circumstances, to pay additional amounts in excess of stated interest and principal in respect of certain contingencies (including as described in “Description of Notes—Optional Redemption” and “—Repurchase Upon Change of Control Triggering Event”). Although the issue is not free from doubt, we intend to take the position that the possibility of payment of such additional amounts in respect of certain contingencies does not result in the notes being treated as contingent payment debt instruments under the applicable U.S. Treasury regulations. Our position that these contingencies do not result in the notes being treated as contingent payment debt instruments under the applicable U.S. Treasury regulations is binding on a holder, unless such holder explicitly discloses to the IRS on its tax return for the year during which it acquires the notes that it is taking a different position. However, our position is not binding on the IRS. If the IRS takes a contrary position to that described above, the timing and character of a holder’s income and the timing of our deductions with respect to the notes could be affected. Investors should consult their tax advisors regarding the tax consequences of the notes being treated as contingent payment debt instruments. The remainder of this discussion assumes that the notes will not be treated as contingent payment debt instruments for U.S. federal income tax purposes.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Payments of Interest</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It is anticipated, and this discussion assumes, that the notes will be issued less than a de minimis amount (as set forth in the Code and applicable Treasury regulations) of original issue discount. In such case, interest on the notes will generally be taxable to U.S. Holders as ordinary interest income at the time it is paid or accrued in accordance with the U.S. Holder’s regular method of accounting for U.S. federal income tax purposes. If, however, the notes are issued for an amount less than the principal amount and the difference is equal to or more than a de minimis amount, U.S. Holders will be required to include the difference in gross income as original issue discount as it accrues in accordance with a constant yield method based on a compounding of interest before the receipt of cash payments to which such income is attributable.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 Exchange, Redemption or Other Taxable Disposition of the Notes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Upon the sale, exchange, redemption or other taxable disposition of the notes, a U.S. Holder will generally recognize gain or loss equal to the difference, if any, between (i) the amount realized upon the sale, exchange, redemption or other taxable disposition, other than amounts attributable to accrued and unpaid interest (which will be treated as interest and recognized as ordinary interest income to the extent such interest has not been previously included in income) and (ii) the U.S. Holder’s adjusted tax basis in the notes. The amount realized by a U.S. Holder is the sum of cash plus the fair market value of all other property received on such sale, exchange, redemption or other taxable disposition. A U.S. Holder’s adjusted tax basis in a note will generally equal the cost of the note to such holder.</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Such gain or loss will generally be long-term capital gain or loss if, at the time of the sale, exchange, redemption, or other taxable disposition, the U.S. Holder’s holding period in the notes exceeds one year. For non-corporate U.S. Holders, long-term capital gains are currently taxed at a lower rate than ordinary income. The deductibility of capital losses is subject to limitations. U.S. Holders are urged to consult their own tax advisors regarding the deductibility of capital losses in light of their particular circumstances.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Medicare Tax</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U.S. Holders who are individuals, estates or certain trusts are subject to an additional 3.8% Medicare tax on the lesser of (a) the U.S. Holder’s “net</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investment income” (or undistributed “net investment income” in the case of an estate or trust) for the relevant taxable year and (b) the excess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 Holder’s modified gross income for the taxable year over a certain threshold (which in the case of individuals will be between $125,000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$250,000 depending on the individual’s circumstances). Net investment income will generally include interest income and net gains from the disposition</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the notes, unless such interest income or net gains are derived in the ordinary course of the conduct of a trade or business (other than a trade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business that consists of certain passive or trading activities). A U.S. Holder that is an individual, estate or trust should consult its tax advisor regarding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applicability of the Medicare tax to its income and gains in respect of its investment in the notes.</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Backup Withholding and Information Reporting</w:t>
      </w:r>
    </w:p>
    <w:p>
      <w:pPr>
        <w:spacing w:after="0" w:line="119"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In general, a U.S. Holder will be subject to U.S. federal backup withholding at the applicable statutory rate with respect to payments on the notes and the proceeds of a sale, exchange, redemption or other taxable disposition of the notes, unless the U.S. Holder timely provides its taxpayer identification number to the applicable withholding agent and certifies, under penalty of perjury, that it is not subject to backup withholding on an IRS Form W-9 (Request for Taxpayer Identification Number and Certification) or an applicable successor form and otherwise complies with the applicable requirements of the backup withholding rules or the U.S. Holder otherwise establishes by providing appropriate documentation that it is exempt from backup withholding. Backup withholding is not an additional tax. The amount of any backup withholding from a payment to a U.S. Holder may be allowed as a credit against such U.S. Holder’s U.S. federal income tax liability and may entitle such U.S. Holder to a refund, provided the required information is furnished to the IRS in a timely manner. In addition, payments on the notes made to, and the proceeds of a sale or other taxable disposition by, a U.S. Holder will generally be subject to information reporting requirements, unless such U.S. Holder is an exempt recipient and appropriately establishes that exemption.</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Payments of Interest</w:t>
      </w:r>
    </w:p>
    <w:p>
      <w:pPr>
        <w:spacing w:after="0" w:line="11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Subject to the discussions below under “—Backup Withholding and Information Reporting” and “—FATCA,” a Non-U.S. Holder generally will not be subject to U.S. federal income or withholding tax on interest paid on the notes as long as that interest is not “effectively connected” with the Non-U.S. Holder’s conduct of a trade or business within the United States (and, if required by an applicable income tax treaty, is not attributable to a U.S. permanent establishment or fixed base maintained by the Non-U.S. Holder in the United States) and:</w:t>
      </w:r>
    </w:p>
    <w:p>
      <w:pPr>
        <w:spacing w:after="0" w:line="85" w:lineRule="exact"/>
        <w:rPr>
          <w:sz w:val="20"/>
          <w:szCs w:val="20"/>
          <w:color w:val="auto"/>
        </w:rPr>
      </w:pPr>
    </w:p>
    <w:p>
      <w:pPr>
        <w:ind w:left="1080" w:right="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does not, directly or indirectly, actually or constructively own 10% or more of the total combined voting power of all classes of our stock entitled to vote;</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not a “controlled foreign corporation” for U.S. federal income tax purposes that is related to us, actually or by attribution, through stock ownership;</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not a bank receiving the interest pursuant to a loan agreement entered into in the ordinary course of the Non-U.S. Holder’s trade or business;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55"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(i) the Non-U.S. Holder certifies under penalties of perjury on IRS Form W-8BEN or W-8BEN-E, as applicable, or an applicable successor form that it is not a United States Person, and provides its name, address and certain other required information or (ii) a securities clearing organization, bank or other financial institution that holds customers’ securities in the ordinary course of its trade or business and holds the notes on behalf of the Non-U.S. Holder certifies under penalties of perjury that the certification referred to in clause</w:t>
      </w:r>
    </w:p>
    <w:p>
      <w:pPr>
        <w:spacing w:after="0" w:line="2" w:lineRule="exact"/>
        <w:rPr>
          <w:rFonts w:ascii="Times New Roman" w:cs="Times New Roman" w:eastAsia="Times New Roman" w:hAnsi="Times New Roman"/>
          <w:sz w:val="18"/>
          <w:szCs w:val="18"/>
          <w:color w:val="auto"/>
        </w:rPr>
      </w:pPr>
    </w:p>
    <w:p>
      <w:pPr>
        <w:ind w:left="1080"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has been received from the Non-U.S. Holder or an intermediate financial institution and furnishes to the applicable withholding agent a copy thereof.</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 Non-U.S. Holder that does not qualify for exemption from withholding as described above will generally be subject to withholding of U.S. federal income tax at a rate of 30% on payments of interest on the notes (except as described below with respect to effectively connected income). A Non-U.S. Holder may be entitled to the benefits of an income tax treaty under which interest on the notes is subject to a reduced rate of withholding tax or is exempt from U.S. withholding tax, provided the Non-U.S. Holder furnishes the applicable withholding agent with a properly executed IRS Form W-8BEN or W-8BEN-E, as applicable, or an applicable successor form claiming the reduction or exemption and the Non-U.S. Holder complies with any other applicable procedures.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Sale, Exchange, Redemption or Other Taxable Disposition of the Notes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Generally, subject to the discussions below under “—Backup Withholding and Information Reporting” and “—FATCA,” any gain recognized by a Non-U.S. Holder on the sale, exchange, redemption or other taxable disposition of a note (other than amounts attributable to accrued and unpaid interest, which will generally be treated as described under “—Payments of Interest” above) will be exempt from U.S. federal income and withholding tax, unless</w:t>
      </w:r>
    </w:p>
    <w:p>
      <w:pPr>
        <w:spacing w:after="0" w:line="85" w:lineRule="exact"/>
        <w:rPr>
          <w:sz w:val="20"/>
          <w:szCs w:val="20"/>
          <w:color w:val="auto"/>
        </w:rPr>
      </w:pPr>
    </w:p>
    <w:p>
      <w:pPr>
        <w:ind w:left="1080" w:right="60" w:hanging="424"/>
        <w:spacing w:after="0" w:line="261"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United States (and, if required by an applicable income tax treaty, is attributable to a permanent establishment or fixed base maintained by the Non-U.S. Holder in the United States), in which case the Non-U.S. Holder generally will be subject to U.S. federal income tax in the manner described below under “— Effectively Connected Income”; or</w:t>
      </w:r>
    </w:p>
    <w:p>
      <w:pPr>
        <w:spacing w:after="0" w:line="85"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during the taxable year of the sale or other taxable disposition and certain other conditions are met, in which case the Non-U.S. Holder generally will be subject to U.S. federal income tax at a rate of 30% (unless a lower treaty rate applies) on the amount by which its U.S. source capital gains exceed its U.S. source capital losses.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Effectively Connected Income</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interest or gain recognized by a Non-U.S. Holder on a note is “effectively connected” with the Non-U.S. Holder’s conduct of a trade or business within the United States (and, if required by an applicable income tax treaty, is attributable to a permanent establishment or fixed base maintained by the Non-U.S. Holder in the United States), then, subject to the discussions below under “—Backup Withholding and Information Reporting” and “— FATCA,” the Non-U.S. Holder will be exempt from the withholding tax on such interest if the Non-U.S. Holder provides the applicable withholding agent with a properly completed and executed IRS Form W-8ECI or an applicable successor form, but the Non-U.S. Holder will generally be subject to U.S. federal income tax on such interest or gain as if such Non-U.S. Holder were a United States Person. In addition to such U.S. federal income tax, if the Non-U.S. Holder is treated as a corporation for U.S. federal income tax purposes, it may be subject to an additional branch profits tax, currently at a rate of 30% or such lower rate provided by an applicable income tax treaty.</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Backup Withholding and Information Reporting</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Generally, we (or the applicable withholding agent) must report annually to the IRS and to each Non-U.S. Holder the amount of interest paid to the Non-U.S. Holder and the amount of tax withheld, if any, from those payments. These reporting requirements apply regardless of whether U.S. withholding tax on such payments was reduced or eliminated by any applicable tax treaty or otherwise. Copies of the information returns reporting those payments and the amounts withheld may also be made available to the tax authorities in the country where a Non-U.S. Holder is a resident under the provisions of an applicable income tax treaty or agreement. Backup withholding generally will not apply to payments of interest on the notes made to a Non-U.S. Holder if the certification described above under “—Payments of Interest” is received from the Non-U.S. Holder.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Backup withholding and information reporting will generally not apply to payments of proceeds from the sale or other taxable disposition of a note made to a Non-U.S. Holder by or through the foreign office of a broker. However, information reporting requirements, and possibly backup withholding, will apply if such broker is, for U.S. federal income tax purposes, a United States Person or has certain other enumerated connections with the United States, unless such broker has documentary evidence in its records that the Non-U.S. Holder is not a United States Person and certain other conditions are met, or the Non-U.S. Holder otherwise establishes an exemption. Payments of proceeds from the sale or other taxable disposition of a note made to a Non-U.S. Holder by or through the U.S. office of a broker are subject to information reporting and backup withholding at the applicable rate unless the Non-U.S. Holder certifies, under penalties of perjury, that it is not a United States Person and it satisfies certain other conditions, or the Non-U.S. Holder otherwise establishes an exemption.</w:t>
      </w:r>
    </w:p>
    <w:p>
      <w:pPr>
        <w:spacing w:after="0" w:line="19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The amount of any backup withholding from a payment to a Non-U.S. Holder may be allowed as a credit against such Non-U.S. Holder’s U.S. federal income tax liability and may entitle such Non-U.S. Holder to a refund, provided the required information is furnished to the IRS in a timely manner.</w:t>
      </w:r>
    </w:p>
    <w:p>
      <w:pPr>
        <w:spacing w:after="0" w:line="176"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Non-U.S. Holders are urged to consult their tax advisors regarding the application of information reporting and backup withholding in their particular situations, the availability of an exemption therefrom, and the procedures for obtaining such an exemption, if available.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Sections 1471 through 1474 of the Code (such Sections commonly referred to as “FATCA”), a 30% U.S. federal withholding tax will generally apply to payments of interest on the notes made to a foreign financial institution (including amounts paid to a foreign financial institution on or behalf of a holder) and certain other nonfinancial foreign entities, unless (i) the foreign financial institution enters into an agreement with the U.S. Treasury to, among other things, collect and provide to it substantial information regarding such institution’s United States financial account holders, including certain account holders that are foreign entities with United States owners, (ii) the non-financial foreign entity provides the applicable withholding agent with a certification that it does not have any substantial United States owners or a certification identifying the direct and indirect substantial United States owners of the entity and meets certain other specified requirements or (iii) the foreign financial institution or non-financial foreign entity otherwise qualifies for an exemption from these rules. If the country in which a payee is resident has entered into an “intergovernmental agreement” with the United States regarding FATCA, that agreement may modify the above rules.</w:t>
      </w:r>
    </w:p>
    <w:p>
      <w:pPr>
        <w:spacing w:after="0" w:line="188"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While withholding under FATCA would also have applied to payments of gross proceeds from the sale or other taxable disposition of the notes, proposed U.S. Treasury regulations eliminate FATCA withholding on payments of gross proceeds entirely. Although these recent Treasury regulations are not final, the preamble to these Treasury regulations indicates that taxpayers may rely on them pending their finalization.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Prospective investors are urged to consult their own tax advisors regarding the application of FATCA to the notes.</w:t>
      </w:r>
    </w:p>
    <w:p>
      <w:pPr>
        <w:spacing w:after="0" w:line="329"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color w:val="auto"/>
        </w:rPr>
        <w:t>The U.S. federal income tax discussion set forth above is included for general information only and may not be applicable depending upon an investor’s particular situation. Investors are urged to consult their own tax advisors with respect to the tax consequences to them of the acquisition, ownership and disposition of the notes, including the tax consequences under state, local, estate, foreign and other tax laws and tax treaties and the possible effects of changes in U.S. or other tax laws.</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BNP Paribas Securities Corp., Citigroup Global Markets Inc., ING Financial Markets LLC, J.P. Morgan Securities LLC and Wells Fargo Securities, LLC are acting as representatives of the underwriters named below. Subject to the terms and conditions stated in the underwriting agreement dated the date of this prospectus supplement, each underwriter named below has severally agreed to purchase, and we have agreed to sell to each underwriter, the principal amount of notes set forth opposite such underwriter’s name.</w:t>
      </w:r>
    </w:p>
    <w:p>
      <w:pPr>
        <w:spacing w:after="0" w:line="18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8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800" w:type="dxa"/>
            <w:vAlign w:val="bottom"/>
          </w:tcPr>
          <w:p>
            <w:pPr>
              <w:spacing w:after="0"/>
              <w:rPr>
                <w:sz w:val="13"/>
                <w:szCs w:val="13"/>
                <w:color w:val="auto"/>
              </w:rPr>
            </w:pPr>
          </w:p>
        </w:tc>
        <w:tc>
          <w:tcPr>
            <w:tcW w:w="74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8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800" w:type="dxa"/>
            <w:vAlign w:val="bottom"/>
          </w:tcPr>
          <w:p>
            <w:pPr>
              <w:spacing w:after="0"/>
              <w:rPr>
                <w:sz w:val="12"/>
                <w:szCs w:val="12"/>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w w:val="75"/>
              </w:rPr>
              <w:t>20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3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 </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5180" w:type="dxa"/>
            <w:vAlign w:val="bottom"/>
            <w:vMerge w:val="restart"/>
          </w:tcPr>
          <w:p>
            <w:pPr>
              <w:spacing w:after="0"/>
              <w:rPr>
                <w:sz w:val="12"/>
                <w:szCs w:val="12"/>
                <w:color w:val="auto"/>
              </w:rPr>
            </w:pPr>
          </w:p>
        </w:tc>
        <w:tc>
          <w:tcPr>
            <w:tcW w:w="4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w w:val="76"/>
              </w:rPr>
              <w:t>20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3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 </w:t>
            </w:r>
          </w:p>
        </w:tc>
        <w:tc>
          <w:tcPr>
            <w:tcW w:w="800" w:type="dxa"/>
            <w:vAlign w:val="bottom"/>
          </w:tcPr>
          <w:p>
            <w:pPr>
              <w:spacing w:after="0"/>
              <w:rPr>
                <w:sz w:val="12"/>
                <w:szCs w:val="12"/>
                <w:color w:val="auto"/>
              </w:rPr>
            </w:pPr>
          </w:p>
        </w:tc>
        <w:tc>
          <w:tcPr>
            <w:tcW w:w="740" w:type="dxa"/>
            <w:vAlign w:val="bottom"/>
            <w:gridSpan w:val="4"/>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Blue</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5180" w:type="dxa"/>
            <w:vAlign w:val="bottom"/>
            <w:vMerge w:val="continue"/>
          </w:tcPr>
          <w:p>
            <w:pPr>
              <w:spacing w:after="0"/>
              <w:rPr>
                <w:sz w:val="15"/>
                <w:szCs w:val="15"/>
                <w:color w:val="auto"/>
              </w:rPr>
            </w:pPr>
          </w:p>
        </w:tc>
        <w:tc>
          <w:tcPr>
            <w:tcW w:w="86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800" w:type="dxa"/>
            <w:vAlign w:val="bottom"/>
          </w:tcPr>
          <w:p>
            <w:pPr>
              <w:spacing w:after="0"/>
              <w:rPr>
                <w:sz w:val="15"/>
                <w:szCs w:val="15"/>
                <w:color w:val="auto"/>
              </w:rPr>
            </w:pPr>
          </w:p>
        </w:tc>
        <w:tc>
          <w:tcPr>
            <w:tcW w:w="740" w:type="dxa"/>
            <w:vAlign w:val="bottom"/>
            <w:gridSpan w:val="4"/>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203"/>
        </w:trPr>
        <w:tc>
          <w:tcPr>
            <w:tcW w:w="59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BNP Paribas Securities Corp.</w:t>
            </w:r>
          </w:p>
        </w:tc>
        <w:tc>
          <w:tcPr>
            <w:tcW w:w="4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8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260" w:type="dxa"/>
            <w:vAlign w:val="bottom"/>
            <w:tcBorders>
              <w:top w:val="single" w:sz="8" w:color="auto"/>
            </w:tcBorders>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ING Financial Markets LLC</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62" w:lineRule="exact"/>
        <w:rPr>
          <w:sz w:val="20"/>
          <w:szCs w:val="20"/>
          <w:color w:val="auto"/>
        </w:rPr>
      </w:pPr>
    </w:p>
    <w:p>
      <w:pPr>
        <w:ind w:left="120" w:right="400" w:firstLine="440"/>
        <w:spacing w:after="0" w:line="276" w:lineRule="auto"/>
        <w:rPr>
          <w:sz w:val="20"/>
          <w:szCs w:val="20"/>
          <w:color w:val="auto"/>
        </w:rPr>
      </w:pPr>
      <w:r>
        <w:rPr>
          <w:rFonts w:ascii="Times New Roman" w:cs="Times New Roman" w:eastAsia="Times New Roman" w:hAnsi="Times New Roman"/>
          <w:sz w:val="17"/>
          <w:szCs w:val="17"/>
          <w:color w:val="auto"/>
        </w:rPr>
        <w:t>Notes sold by the underwriters to the public will initially be offered at the initial public offering price set forth on the cover of this prospectus supplement. Any notes sold by the underwriters to securities dealers may be sold at a discount from the initial public offering price not to exceed</w:t>
      </w:r>
    </w:p>
    <w:p>
      <w:pPr>
        <w:spacing w:after="0" w:line="1" w:lineRule="exact"/>
        <w:rPr>
          <w:sz w:val="20"/>
          <w:szCs w:val="20"/>
          <w:color w:val="auto"/>
        </w:rPr>
      </w:pPr>
    </w:p>
    <w:p>
      <w:pPr>
        <w:ind w:left="120" w:right="180"/>
        <w:spacing w:after="0" w:line="250" w:lineRule="auto"/>
        <w:rPr>
          <w:sz w:val="20"/>
          <w:szCs w:val="20"/>
          <w:color w:val="auto"/>
        </w:rPr>
      </w:pPr>
      <w:r>
        <w:rPr>
          <w:rFonts w:ascii="Times New Roman" w:cs="Times New Roman" w:eastAsia="Times New Roman" w:hAnsi="Times New Roman"/>
          <w:sz w:val="18"/>
          <w:szCs w:val="18"/>
          <w:color w:val="auto"/>
        </w:rPr>
        <w:t>        % per 20         note and         % per 20         blue note. Any such securities dealers may resell any notes purchased from the underwriters to certain other brokers or dealers at a discount from the initial public offering price not to exceed         % per 20         note and</w:t>
      </w:r>
    </w:p>
    <w:p>
      <w:pPr>
        <w:spacing w:after="0" w:line="1" w:lineRule="exact"/>
        <w:rPr>
          <w:sz w:val="20"/>
          <w:szCs w:val="20"/>
          <w:color w:val="auto"/>
        </w:rPr>
      </w:pPr>
    </w:p>
    <w:p>
      <w:pPr>
        <w:ind w:left="120" w:right="280" w:hanging="4"/>
        <w:spacing w:after="0" w:line="260" w:lineRule="auto"/>
        <w:tabs>
          <w:tab w:leader="none" w:pos="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per 20         blue note. If all the notes are not sold at the initial public offering price, less applicable discounts, the underwriters may change the public offering price and the discounts. The underwriters may offer and sell notes through certain of their affiliates.</w:t>
      </w:r>
    </w:p>
    <w:p>
      <w:pPr>
        <w:spacing w:after="0" w:line="18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the underwriting discounts that we are to pay to the underwriters in connection with this offering (expressed as a percentage of the principal amount of the notes).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Paid by</w:t>
            </w:r>
          </w:p>
        </w:tc>
        <w:tc>
          <w:tcPr>
            <w:tcW w:w="200" w:type="dxa"/>
            <w:vAlign w:val="bottom"/>
          </w:tcPr>
          <w:p>
            <w:pPr>
              <w:spacing w:after="0"/>
              <w:rPr>
                <w:sz w:val="13"/>
                <w:szCs w:val="13"/>
                <w:color w:val="auto"/>
              </w:rPr>
            </w:pPr>
          </w:p>
        </w:tc>
      </w:tr>
      <w:tr>
        <w:trPr>
          <w:trHeight w:val="173"/>
        </w:trPr>
        <w:tc>
          <w:tcPr>
            <w:tcW w:w="1320" w:type="dxa"/>
            <w:vAlign w:val="bottom"/>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522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Xylem Inc.</w:t>
            </w:r>
          </w:p>
        </w:tc>
        <w:tc>
          <w:tcPr>
            <w:tcW w:w="200" w:type="dxa"/>
            <w:vAlign w:val="bottom"/>
            <w:tcBorders>
              <w:bottom w:val="single" w:sz="8" w:color="CCEEFF"/>
            </w:tcBorders>
          </w:tcPr>
          <w:p>
            <w:pPr>
              <w:spacing w:after="0"/>
              <w:rPr>
                <w:sz w:val="15"/>
                <w:szCs w:val="15"/>
                <w:color w:val="auto"/>
              </w:rPr>
            </w:pPr>
          </w:p>
        </w:tc>
      </w:tr>
      <w:tr>
        <w:trPr>
          <w:trHeight w:val="210"/>
        </w:trPr>
        <w:tc>
          <w:tcPr>
            <w:tcW w:w="13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6"/>
              </w:rPr>
              <w:t>Per 20 </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5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note</w:t>
            </w: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left="193"/>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4"/>
        </w:trPr>
        <w:tc>
          <w:tcPr>
            <w:tcW w:w="13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w w:val="86"/>
              </w:rPr>
              <w:t>Per 20 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blue note</w:t>
            </w:r>
          </w:p>
        </w:tc>
        <w:tc>
          <w:tcPr>
            <w:tcW w:w="600" w:type="dxa"/>
            <w:vAlign w:val="bottom"/>
          </w:tcPr>
          <w:p>
            <w:pPr>
              <w:spacing w:after="0"/>
              <w:rPr>
                <w:sz w:val="20"/>
                <w:szCs w:val="20"/>
                <w:color w:val="auto"/>
              </w:rPr>
            </w:pPr>
          </w:p>
        </w:tc>
        <w:tc>
          <w:tcPr>
            <w:tcW w:w="440" w:type="dxa"/>
            <w:vAlign w:val="bottom"/>
          </w:tcPr>
          <w:p>
            <w:pPr>
              <w:jc w:val="center"/>
              <w:ind w:left="193"/>
              <w:spacing w:after="0"/>
              <w:rPr>
                <w:sz w:val="20"/>
                <w:szCs w:val="20"/>
                <w:color w:val="auto"/>
              </w:rPr>
            </w:pPr>
            <w:r>
              <w:rPr>
                <w:rFonts w:ascii="Times New Roman" w:cs="Times New Roman" w:eastAsia="Times New Roman" w:hAnsi="Times New Roman"/>
                <w:sz w:val="4"/>
                <w:szCs w:val="4"/>
                <w:color w:val="auto"/>
                <w:w w:val="98"/>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414"/>
        </w:trPr>
        <w:tc>
          <w:tcPr>
            <w:tcW w:w="7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xml:space="preserve">We estimate that our total expenses for this offering, excluding the underwriting discounts, will be $ </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198"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The notes are new issues of securities, and there is currently no established trading market. We do not intend to apply for listing of the notes of either series on any securities exchange or for inclusion of the notes of either series on any automated dealer quotation system. Although the underwriters have advised us that they intend to make a market in the notes, they are not obligated to do so. The underwriters may discontinue any market making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in the notes at any time without notice in their sole discretion. Therefore, we cannot assure you that a liquid trading market will develop for the notes, that you will be able to sell your notes at a particular time or that the prices that you receive when you sell will be favorable.</w:t>
      </w:r>
    </w:p>
    <w:p>
      <w:pPr>
        <w:spacing w:after="0" w:line="162" w:lineRule="exact"/>
        <w:rPr>
          <w:sz w:val="20"/>
          <w:szCs w:val="20"/>
          <w:color w:val="auto"/>
        </w:rPr>
      </w:pPr>
    </w:p>
    <w:p>
      <w:pPr>
        <w:ind w:left="120" w:right="2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this offering, the underwriters may engage in overallotments, stabilizing transactions and syndicate covering transactions in accordance with Regulation M under the Exchange Act. Overallotment involves sales in excess of the offering size, which creates a short position for the underwriters. Stabilizing transactions involve bids to purchase the notes in the open market for the purpose of pegging, fixing or maintaining the price of the notes, as applicable. Syndicate covering transactions involve purchases of the notes in the open market after the distribution has been completed in order to cover short positions. Stabilizing transactions and syndicate covering transactions may cause the price of the notes to be higher than it would otherwise be in the absence of those transactions. If the underwriters engage in stabilizing or syndicate covering transactions, they may discontinue them at any time without notice.</w:t>
      </w:r>
    </w:p>
    <w:p>
      <w:pPr>
        <w:spacing w:after="0" w:line="18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Purchases to cover short positions and stabilizing purchases, as well as other purchases by the underwriters for their own accounts, may have the effect of preventing or retarding a decline in the market price of the notes. They may also cause the price of the notes to be higher than the price that would otherwise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expect to deliver the notes against payment for the notes on or about the date specified in the last paragraph of the cover page of this prospectus supplement, which will be the   business day following the date of the pricing of the notes. Under Rule 15c6-1 of the Exchange Act, trades in the secondary market generally are required to settle in one business day, unless the parties to a trade expressly agree otherwise. Accordingly, purchasers who wish to trade notes on any date prior to the first business day before delivery will be required, by virtue of the fact that the notes initially will settle in T+  , to specify alternative settlement arrangements to prevent a failed settlement. As used in this paragraph, the term “business day” means any day, other than a Saturday or Sunday, that is not a day on which banking institutions in The City of New York are authorized or required by law or executive order to close.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Certain affiliates of the underwriters are lenders, and in some cases agents or managers for the lenders, under our revolving credit facility.</w:t>
      </w:r>
    </w:p>
    <w:p>
      <w:pPr>
        <w:spacing w:after="0" w:line="187"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 and securities activities may involve our securities and instruments. In addition, the underwriters and their respective affiliates may also make investment recommendations and/or</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00"/>
          </w:cols>
          <w:pgMar w:left="320" w:top="455"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publish or express independent research views in respect of such securities or instruments and may at any time hold, or recommend to clients that they acquire, long and/or short positions in such securities and instruments. If any of the underwriters or their affiliates have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has been prepared on the basis that any offer of the notes in any Member State of the European Economic Area (“EEA”) will be made pursuant to an exemption under Regulation (EU) 2017/1129 (as amended, the “Prospectus Regulation”) from the requirement to publish a prospectus for offers of notes. Accordingly, any person making or intending to make any offer in that relevant Member State of the EEA of the notes which are the subject of the offering contemplated by this prospectus supplement and the accompanying prospectus may only do so in circumstances in which no obligation arises for us or any of the underwriters to produce a prospectus pursuant to Article 3 of the EU Prospectus Regulation in relation to such offer. Neither we nor the underwriters have authorized, nor do we or they authorize, the making of any offer of notes in circumstances in which an obligation arises for us or the underwriters to publish a prospectus for such offer. For the avoidance of doubt, whilst this document is referred to as a ‘prospectus supplement’ and there are references herein to a ‘prospectus’, neither this prospectus supplement nor the accompanying prospectus is a prospectus for the purposes of the Prospectus Regulation.</w:t>
      </w:r>
    </w:p>
    <w:p>
      <w:pPr>
        <w:spacing w:after="0" w:line="18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EEA. For these purposes, (a) the expression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professional client as defined in point (10) of Article 4(1) of MiFID II; or (iii) not a qualified investor as defined in Article 2 of the Prospectus Regulation; and (b) the expression “offer” includes the communication in any form and by any means of sufficient information on the terms of the offer and the notes to be offered so as to enable an investor to decide to purchase or subscribe for such notes.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87"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In the EEA, this prospectus supplement and the accompanying prospectus are being distributed only to, and is directed only at, and any offer subsequently made may only be directed at non-retail investors (being persons who are not retail investors as defined in the paragraph above). In the EEA, any investment or investment activity to which this prospectus supplement and the accompanying prospectus relate is available only to, and will be engaged in only with, non-retail investors. This prospectus supplement, the accompanying prospectus and their contents are confidential and should not be distributed, published or reproduced (in whole or in part) or disclosed by any recipients to any other person in the EEA. Any person in the EEA who is a retail investor should not act or rely on this prospectus supplement, the accompanying prospectus or any of their contents.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has been prepared on the basis that any offer of the notes in the United Kingdom (“UK”) will be made pursuant to an exemption from the prohibition on public offers of relevant securities in The Public Offers and Admissions to Trading Regulations 2024 (the “UK POATRs”) in circumstances not requiring a prospectus pursuant to the UK Financial Conduct Authority Prospectus Rules: Admission to Trading on a Regulated Market Sourcebook (the “PRM Sourcebook”). For the avoidance of doubt, whilst this document is referred to as a ‘prospectus supplement’ and there are references herein to a ‘prospectus’, neither this prospectus supplement nor the accompanying prospectus is a prospectus for the purposes of the UK POATRs or the PRM Sourcebook.</w:t>
      </w:r>
    </w:p>
    <w:p>
      <w:pPr>
        <w:spacing w:after="0" w:line="187"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The notes are not intended to be offered, sold or otherwise made available to, and should not be offered, sold or otherwise made available to, any retail investor in the UK. For these purposes, (a) the expression “retail investor” means a person who is neither: (i) a “professional client” as defined in point (8) of Article 2(1) of Regulation (EU) No. 600/2014 as it forms part of assimilated law in the UK by virtue of the European Union (Withdrawal) Act 2018 (as amended, and together with any statutory instruments made in exercise of the powers conferred by such Act, the “EUWA”); or (ii) a “qualified investor” as defined in paragraph 15 of Schedule 1 to the UK POATRs; and (b) the expression “offer” includes the communication in any form and by any means of sufficient information on the terms of the offer and the notes to be offered so as to enable an investor to decide to buy or subscribe for such notes. Consequently, no disclosure document required by the FCA Product Disclosure Sourcebook (the “DISC Sourcebook”) for offering or selling the notes or otherwise making them available to retail investors in the UK has been prepared, and therefore offering, selling or distributing the notes or otherwise making them available to any retail investor in the UK may be unlawful under the DISC Sourcebook and The Consumer Composite Investments (Designated Activities) Regulations 2024.</w:t>
      </w:r>
    </w:p>
    <w:p>
      <w:pPr>
        <w:spacing w:after="0" w:line="19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communication of this prospectus supplement, the accompanying prospectus, any related free writing prospectus and any other document or materials relating to the issue of the notes offered hereby is not being made, and this prospectus supplement, the accompanying prospectus, any related free writing prospectus and such other documents and/or materials have not been approved, by an authorized person for the purposes of section 21 of the United Kingdom’s Financial Services and Markets Act 2000, as amended (the “FSMA”). Accordingly, this prospectus supplement, the accompanying prospectus, any related free writing prospectus and such other documents and/or materials are being distributed only to, and are directed only at, and offer subsequently made may only be directed at non-retail investors (being persons who are not retail investors as defined in the paragraph above) who are also: (i) persons having professional experience in matters relating to</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investments who fall within the definition of “investment professionals” in Article 19(5) of the Financial Services and Markets Act 2000 (Financial Promotion) Order 2005 (as amended, the “Order”); (ii) high net worth companies, unincorporated associations and partnerships and trustees of high value trusts described in Article 49(2)(a) to (c) of the Order; or (iii) persons to whom an invitation or inducement to engage in investment activity (within the meaning of Section 21 of the FSMA) in connection with the issue or sale of any securities may otherwise lawfully be communicated (all such persons together being referred to as “relevant persons”). In the UK, any investment or investment activity to which this prospectus supplement, the accompanying prospectus, any related free writing prospectus and any such other document or materials relate is available only to, and will be engaged in only with, relevant persons. This prospectus supplement, the accompanying prospectus and their contents are confidential and should not be distributed, published or reproduced (in whole or in part) or disclosed by any recipients to any other person in the UK. Any person in the UK who is not a relevant person should not act or rely on this prospectus supplement, the accompanying prospectus, any related free writing prospectus or any other documents and/or materials relating to the issue of the notes offered hereby or any of their contents.</w:t>
      </w:r>
    </w:p>
    <w:p>
      <w:pPr>
        <w:spacing w:after="0" w:line="194"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All applicable provisions of the FSMA must be complied with in respect to anything done by any person in relation to the notes in, from or otherwise involving the United Kingdom.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France</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Neither this prospectus supplement nor any other offering material relating to the notes described in this prospectus supplement has been submitted to the clearance procedures of the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xml:space="preserve"> or of the competent authority of another member state of the European Economic Area and notified to the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The notes have not been offered or sold and will not be offered or sold, directly or indirectly, to the public in France. Neither this prospectus supplement nor any other offering material relating to the notes has been or will be:</w:t>
      </w:r>
    </w:p>
    <w:p>
      <w:pPr>
        <w:spacing w:after="0" w:line="85"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issued, distributed or caused to be released, issued or distributed to the public in France;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in connection with any offer for subscription or sale of the notes to the public in France.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Such offers, sales and distributions will be made in France only:</w:t>
      </w:r>
    </w:p>
    <w:p>
      <w:pPr>
        <w:spacing w:after="0" w:line="129" w:lineRule="exact"/>
        <w:rPr>
          <w:sz w:val="20"/>
          <w:szCs w:val="20"/>
          <w:color w:val="auto"/>
        </w:rPr>
      </w:pPr>
    </w:p>
    <w:p>
      <w:pPr>
        <w:ind w:left="1080" w:right="100" w:hanging="424"/>
        <w:spacing w:after="0" w:line="267"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qualified investors (</w:t>
      </w:r>
      <w:r>
        <w:rPr>
          <w:rFonts w:ascii="Times New Roman" w:cs="Times New Roman" w:eastAsia="Times New Roman" w:hAnsi="Times New Roman"/>
          <w:sz w:val="18"/>
          <w:szCs w:val="18"/>
          <w:i w:val="1"/>
          <w:iCs w:val="1"/>
          <w:color w:val="auto"/>
        </w:rPr>
        <w:t>investisseurs qualifiés</w:t>
      </w:r>
      <w:r>
        <w:rPr>
          <w:rFonts w:ascii="Times New Roman" w:cs="Times New Roman" w:eastAsia="Times New Roman" w:hAnsi="Times New Roman"/>
          <w:sz w:val="18"/>
          <w:szCs w:val="18"/>
          <w:color w:val="auto"/>
        </w:rPr>
        <w:t>) and/or to a restricted circle of investors (</w:t>
      </w:r>
      <w:r>
        <w:rPr>
          <w:rFonts w:ascii="Times New Roman" w:cs="Times New Roman" w:eastAsia="Times New Roman" w:hAnsi="Times New Roman"/>
          <w:sz w:val="18"/>
          <w:szCs w:val="18"/>
          <w:i w:val="1"/>
          <w:iCs w:val="1"/>
          <w:color w:val="auto"/>
        </w:rPr>
        <w:t>cercle restreint d’investisseurs</w:t>
      </w:r>
      <w:r>
        <w:rPr>
          <w:rFonts w:ascii="Times New Roman" w:cs="Times New Roman" w:eastAsia="Times New Roman" w:hAnsi="Times New Roman"/>
          <w:sz w:val="18"/>
          <w:szCs w:val="18"/>
          <w:color w:val="auto"/>
        </w:rPr>
        <w:t>), in each case investing for their own account, all as defined in, and in accordance with, articles L.411-2, D.411-1, D.411-2, D.734-1, D.744-1, D.754-1 and D.764-1 of the French Code monétaire et financier;</w:t>
      </w:r>
    </w:p>
    <w:p>
      <w:pPr>
        <w:spacing w:after="0" w:line="8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investment services providers authorized to engage in portfolio management on behalf of third parties; or</w:t>
      </w:r>
    </w:p>
    <w:p>
      <w:pPr>
        <w:spacing w:after="0" w:line="128" w:lineRule="exact"/>
        <w:rPr>
          <w:rFonts w:ascii="Times New Roman" w:cs="Times New Roman" w:eastAsia="Times New Roman" w:hAnsi="Times New Roman"/>
          <w:sz w:val="18"/>
          <w:szCs w:val="18"/>
          <w:color w:val="auto"/>
        </w:rPr>
      </w:pPr>
    </w:p>
    <w:p>
      <w:pPr>
        <w:ind w:left="1080" w:right="140" w:hanging="424"/>
        <w:spacing w:after="0" w:line="267"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 transaction that, in accordance with article L.411-2-II-1° -or-2° -or 3° of the French Code </w:t>
      </w:r>
      <w:r>
        <w:rPr>
          <w:rFonts w:ascii="Times New Roman" w:cs="Times New Roman" w:eastAsia="Times New Roman" w:hAnsi="Times New Roman"/>
          <w:sz w:val="18"/>
          <w:szCs w:val="18"/>
          <w:i w:val="1"/>
          <w:iCs w:val="1"/>
          <w:color w:val="auto"/>
        </w:rPr>
        <w:t>monétaire et financier</w:t>
      </w:r>
      <w:r>
        <w:rPr>
          <w:rFonts w:ascii="Times New Roman" w:cs="Times New Roman" w:eastAsia="Times New Roman" w:hAnsi="Times New Roman"/>
          <w:sz w:val="18"/>
          <w:szCs w:val="18"/>
          <w:color w:val="auto"/>
        </w:rPr>
        <w:t xml:space="preserve"> and article 211-2 of the General Regulations (Règlement Général) of the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does not constitute a public offer (</w:t>
      </w:r>
      <w:r>
        <w:rPr>
          <w:rFonts w:ascii="Times New Roman" w:cs="Times New Roman" w:eastAsia="Times New Roman" w:hAnsi="Times New Roman"/>
          <w:sz w:val="18"/>
          <w:szCs w:val="18"/>
          <w:i w:val="1"/>
          <w:iCs w:val="1"/>
          <w:color w:val="auto"/>
        </w:rPr>
        <w:t>appel public à</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l’épargne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notes may be resold directly or indirectly, only in compliance with articles L.411-1, L.411-2, L.412-1 and L.621-8 through L.621-8-3 of the French Code </w:t>
      </w:r>
      <w:r>
        <w:rPr>
          <w:rFonts w:ascii="Times New Roman" w:cs="Times New Roman" w:eastAsia="Times New Roman" w:hAnsi="Times New Roman"/>
          <w:sz w:val="18"/>
          <w:szCs w:val="18"/>
          <w:i w:val="1"/>
          <w:iCs w:val="1"/>
          <w:color w:val="auto"/>
        </w:rPr>
        <w:t>monétaire et financier</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121"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060"/>
          </w:cols>
          <w:pgMar w:left="320" w:top="455" w:right="5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 of the Securities and Futures Ordinance (Cap. 571, Laws of Hong Kong) and any rules made thereunder.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121"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This prospectus supplement has not been registered as a prospectus under the Securities and Futures Act 2001 (“SFA”) by the Monetary Authority of Singapore, and the offer of the notes in Singapore is made primarily pursuant to the exemptions under Sections 274 and 275 of the SFA.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as defined in Section 4A of the SFA (an “Institutional Investor”) pursuant to Section 274 of the SFA, (ii) to an accredited investor as defined in Section 4A of the SFA (an “Accredited Investor”) or other relevant person as defined in Section 275(2) of the SFA (a “Relevant Person”) and pursuant to Section 275(1), or any person pursuant to</w:t>
      </w:r>
    </w:p>
    <w:p>
      <w:pPr>
        <w:spacing w:after="0" w:line="2" w:lineRule="exact"/>
        <w:rPr>
          <w:sz w:val="20"/>
          <w:szCs w:val="20"/>
          <w:color w:val="auto"/>
        </w:rPr>
      </w:pPr>
    </w:p>
    <w:p>
      <w:pPr>
        <w:jc w:val="both"/>
        <w:ind w:left="120" w:right="80"/>
        <w:spacing w:after="0" w:line="255" w:lineRule="auto"/>
        <w:rPr>
          <w:sz w:val="20"/>
          <w:szCs w:val="20"/>
          <w:color w:val="auto"/>
        </w:rPr>
      </w:pPr>
      <w:r>
        <w:rPr>
          <w:rFonts w:ascii="Times New Roman" w:cs="Times New Roman" w:eastAsia="Times New Roman" w:hAnsi="Times New Roman"/>
          <w:sz w:val="18"/>
          <w:szCs w:val="18"/>
          <w:color w:val="auto"/>
        </w:rPr>
        <w:t>Section 275(1A), and in accordance with the conditions, specified in Section 275 of the SFA and (where applicable) Regulation 3 of the Securities and Futures (Classes of Investors) Regulations 2018 or (iii) otherwise pursuant to, and in accordance with the conditions of, any other applicable exemption or provision of the SFA.</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notes are subscribed or purchased under Section 275 of the SFA by a relevant person which is:</w:t>
      </w:r>
    </w:p>
    <w:p>
      <w:pPr>
        <w:spacing w:after="0" w:line="131" w:lineRule="exact"/>
        <w:rPr>
          <w:sz w:val="20"/>
          <w:szCs w:val="20"/>
          <w:color w:val="auto"/>
        </w:rPr>
      </w:pPr>
    </w:p>
    <w:p>
      <w:pPr>
        <w:ind w:left="1080" w:right="10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shares, debentures and units of shares and debentures of that corporation and the beneficiaries’ rights and interest (howsoever described) in that trust shall not be transferred within six months after that corporation or that trust has subscribed for or acquired the notes except:</w:t>
      </w:r>
    </w:p>
    <w:p>
      <w:pPr>
        <w:spacing w:after="0" w:line="67" w:lineRule="exact"/>
        <w:rPr>
          <w:sz w:val="20"/>
          <w:szCs w:val="20"/>
          <w:color w:val="auto"/>
        </w:rPr>
      </w:pPr>
    </w:p>
    <w:p>
      <w:pPr>
        <w:ind w:left="1080" w:right="1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an Accredited Investor, a Relevant Person, or which arises from an offer referred to in Section 275(1A) of the SFA (in the case of that corporation) or Section 276(4)(c)(ii) of the SFA (in the case of that trust);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Singapore SFA Product Classification—Solely for the purposes of its obligations pursuant to Sections 309B(1)(a) and 309B(1)(c) of the SFA, we have determined, and hereby notify all persons (including all relevant persons (as defined in Section 309A(1)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is not intended to constitute an offer or solicitation to purchase or invest in the notes in Switzerland. The notes may not be publicly offered, directly or indirectly, in Switzerland within the meaning of the Swiss Financial Services Act (the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060"/>
          </w:cols>
          <w:pgMar w:left="320" w:top="455" w:right="5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Gibson, Dunn &amp; Crutcher LLP, New York, New York, will provide opinions regarding the authorization and validity of the notes for us as to matters governed by the laws of the State of New York. Barnes &amp; Thornburg LLP will provide opinions regarding the authorization and validity of the notes for us as to all matters governed by the laws of the State of Indiana. Certain legal matters will be passed upon for the underwriters by Davis Polk &amp; Wardwell LLP, New York, New York.</w:t>
      </w:r>
    </w:p>
    <w:p>
      <w:pPr>
        <w:spacing w:after="0" w:line="39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of the Company as of December 31, 2025 and 2024, and for each of the three years in the period ended December 31, 2025, incorporated by reference in this prospectus supplement, and the effectiveness of the Company’s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1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0960"/>
          </w:cols>
          <w:pgMar w:left="320" w:top="455" w:right="6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173990</wp:posOffset>
            </wp:positionV>
            <wp:extent cx="1491615" cy="5918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1491615"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DEPOSITARY SHARES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PURCHASE CONTRACTS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offer and sell securities from time to time in one or more offerings.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or incorporated by reference in this document. You should read this prospectus and any applicable prospectus supplement that we file with the Securities and Exchange Commission before you invest.</w:t>
      </w:r>
    </w:p>
    <w:p>
      <w:pPr>
        <w:spacing w:after="0" w:line="183"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common stock of Xylem Inc. trades on The New York Stock Exchange under the symbol “XYL.”</w:t>
      </w:r>
    </w:p>
    <w:p>
      <w:pPr>
        <w:spacing w:after="0" w:line="221" w:lineRule="exact"/>
        <w:rPr>
          <w:sz w:val="20"/>
          <w:szCs w:val="20"/>
          <w:color w:val="auto"/>
        </w:rPr>
      </w:pPr>
    </w:p>
    <w:p>
      <w:pPr>
        <w:ind w:left="120" w:right="8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certain risks. See the “Risk Factors” section of our filings with the Securities and Exchange Commission and the applicable prospectus supplement. Also see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on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138430</wp:posOffset>
            </wp:positionV>
            <wp:extent cx="6995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146685</wp:posOffset>
            </wp:positionV>
            <wp:extent cx="6995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date of this prospectus is August 3, 2023</w:t>
      </w:r>
    </w:p>
    <w:p>
      <w:pPr>
        <w:sectPr>
          <w:pgSz w:w="11900" w:h="16838" w:orient="portrait"/>
          <w:cols w:equalWidth="0" w:num="1">
            <w:col w:w="11080"/>
          </w:cols>
          <w:pgMar w:left="320" w:top="455"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6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ABOUT THIS PROSPECTUS</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660" w:type="dxa"/>
            <w:vAlign w:val="bottom"/>
            <w:gridSpan w:val="13"/>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b w:val="1"/>
                <w:bCs w:val="1"/>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6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EE"/>
              </w:rPr>
              <w:t>WHERE YOU CAN FIND MORE INFORMATION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196"/>
        </w:trPr>
        <w:tc>
          <w:tcPr>
            <w:tcW w:w="402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INCORPORATION BY REFERENCE</w:t>
            </w:r>
          </w:p>
        </w:tc>
        <w:tc>
          <w:tcPr>
            <w:tcW w:w="664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line="20" w:lineRule="exact"/>
              <w:rPr>
                <w:sz w:val="1"/>
                <w:szCs w:val="1"/>
                <w:color w:val="auto"/>
              </w:rPr>
            </w:pPr>
          </w:p>
        </w:tc>
      </w:tr>
      <w:tr>
        <w:trPr>
          <w:trHeight w:val="196"/>
        </w:trPr>
        <w:tc>
          <w:tcPr>
            <w:tcW w:w="56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SPECIAL NOTE REGARDING FORWARD-LOOKING STATEMENTS</w:t>
            </w:r>
          </w:p>
        </w:tc>
        <w:tc>
          <w:tcPr>
            <w:tcW w:w="5000" w:type="dxa"/>
            <w:vAlign w:val="bottom"/>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ABOUT THE REGISTRANT</w:t>
            </w:r>
          </w:p>
        </w:tc>
        <w:tc>
          <w:tcPr>
            <w:tcW w:w="832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196"/>
        </w:trPr>
        <w:tc>
          <w:tcPr>
            <w:tcW w:w="106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RISK FACTORS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line="20" w:lineRule="exact"/>
              <w:rPr>
                <w:sz w:val="1"/>
                <w:szCs w:val="1"/>
                <w:color w:val="auto"/>
              </w:rPr>
            </w:pPr>
          </w:p>
        </w:tc>
      </w:tr>
      <w:tr>
        <w:trPr>
          <w:trHeight w:val="196"/>
        </w:trPr>
        <w:tc>
          <w:tcPr>
            <w:tcW w:w="106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USE OF PROCEEDS</w:t>
            </w:r>
          </w:p>
        </w:tc>
        <w:tc>
          <w:tcPr>
            <w:tcW w:w="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80" w:type="dxa"/>
            <w:vAlign w:val="bottom"/>
            <w:gridSpan w:val="3"/>
          </w:tcPr>
          <w:p>
            <w:pPr>
              <w:spacing w:after="0" w:line="20" w:lineRule="exact"/>
              <w:rPr>
                <w:sz w:val="1"/>
                <w:szCs w:val="1"/>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line="20" w:lineRule="exact"/>
              <w:rPr>
                <w:sz w:val="1"/>
                <w:szCs w:val="1"/>
                <w:color w:val="auto"/>
              </w:rPr>
            </w:pPr>
          </w:p>
        </w:tc>
      </w:tr>
      <w:tr>
        <w:trPr>
          <w:trHeight w:val="196"/>
        </w:trPr>
        <w:tc>
          <w:tcPr>
            <w:tcW w:w="32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DESCRIPTION OF DEBT SECURITIES</w:t>
            </w:r>
          </w:p>
        </w:tc>
        <w:tc>
          <w:tcPr>
            <w:tcW w:w="7440" w:type="dxa"/>
            <w:vAlign w:val="bottom"/>
            <w:gridSpan w:val="4"/>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DESCRIPTION OF COMMON STOCK</w:t>
            </w:r>
          </w:p>
        </w:tc>
        <w:tc>
          <w:tcPr>
            <w:tcW w:w="752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b w:val="1"/>
                <w:bCs w:val="1"/>
                <w:color w:val="auto"/>
              </w:rPr>
              <w:t>26</w:t>
            </w:r>
          </w:p>
        </w:tc>
        <w:tc>
          <w:tcPr>
            <w:tcW w:w="0" w:type="dxa"/>
            <w:vAlign w:val="bottom"/>
          </w:tcPr>
          <w:p>
            <w:pPr>
              <w:spacing w:after="0"/>
              <w:rPr>
                <w:sz w:val="1"/>
                <w:szCs w:val="1"/>
                <w:color w:val="auto"/>
              </w:rPr>
            </w:pPr>
          </w:p>
        </w:tc>
      </w:tr>
      <w:tr>
        <w:trPr>
          <w:trHeight w:val="196"/>
        </w:trPr>
        <w:tc>
          <w:tcPr>
            <w:tcW w:w="33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DESCRIPTION OF OTHER SECURITIES</w:t>
            </w:r>
          </w:p>
        </w:tc>
        <w:tc>
          <w:tcPr>
            <w:tcW w:w="728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b w:val="1"/>
                <w:bCs w:val="1"/>
                <w:color w:val="auto"/>
              </w:rPr>
              <w:t>27</w:t>
            </w:r>
          </w:p>
        </w:tc>
        <w:tc>
          <w:tcPr>
            <w:tcW w:w="0" w:type="dxa"/>
            <w:vAlign w:val="bottom"/>
          </w:tcPr>
          <w:p>
            <w:pPr>
              <w:spacing w:after="0"/>
              <w:rPr>
                <w:sz w:val="1"/>
                <w:szCs w:val="1"/>
                <w:color w:val="auto"/>
              </w:rPr>
            </w:pPr>
          </w:p>
        </w:tc>
      </w:tr>
      <w:tr>
        <w:trPr>
          <w:trHeight w:val="196"/>
        </w:trPr>
        <w:tc>
          <w:tcPr>
            <w:tcW w:w="21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9"/>
              </w:rPr>
              <w:t>PLAN OF DISTRIBUTION</w:t>
            </w:r>
          </w:p>
        </w:tc>
        <w:tc>
          <w:tcPr>
            <w:tcW w:w="850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r>
        <w:trPr>
          <w:trHeight w:val="196"/>
        </w:trPr>
        <w:tc>
          <w:tcPr>
            <w:tcW w:w="106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LEGAL MATTERS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b w:val="1"/>
                <w:bCs w:val="1"/>
                <w:color w:val="auto"/>
              </w:rPr>
              <w:t>29</w:t>
            </w:r>
          </w:p>
        </w:tc>
        <w:tc>
          <w:tcPr>
            <w:tcW w:w="0" w:type="dxa"/>
            <w:vAlign w:val="bottom"/>
          </w:tcPr>
          <w:p>
            <w:pPr>
              <w:spacing w:after="0"/>
              <w:rPr>
                <w:sz w:val="1"/>
                <w:szCs w:val="1"/>
                <w:color w:val="auto"/>
              </w:rPr>
            </w:pPr>
          </w:p>
        </w:tc>
      </w:tr>
      <w:tr>
        <w:trPr>
          <w:trHeight w:val="196"/>
        </w:trPr>
        <w:tc>
          <w:tcPr>
            <w:tcW w:w="8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6"/>
              </w:rPr>
              <w:t>EXPERTS</w:t>
            </w:r>
          </w:p>
        </w:tc>
        <w:tc>
          <w:tcPr>
            <w:tcW w:w="720" w:type="dxa"/>
            <w:vAlign w:val="bottom"/>
            <w:tcBorders>
              <w:top w:val="single" w:sz="8" w:color="0000EE"/>
            </w:tcBorders>
            <w:gridSpan w:val="2"/>
          </w:tcPr>
          <w:p>
            <w:pPr>
              <w:spacing w:after="0"/>
              <w:rPr>
                <w:sz w:val="17"/>
                <w:szCs w:val="17"/>
                <w:color w:val="auto"/>
              </w:rPr>
            </w:pPr>
          </w:p>
        </w:tc>
        <w:tc>
          <w:tcPr>
            <w:tcW w:w="912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b w:val="1"/>
                <w:bCs w:val="1"/>
                <w:color w:val="auto"/>
              </w:rPr>
              <w:t>29</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(the “SEC”), utilizing a “shelf” registration process. By using a shelf registration statement, Xylem Inc. may sell, at any time and from time to time in one or more offerings, any combination of the securities described in this prospectus.</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prospectus to “Xylem,” “Company,” “we,” “us” and “our” refer to Xylem Inc. and its consolidated subsidiaries.</w:t>
      </w:r>
    </w:p>
    <w:p>
      <w:pPr>
        <w:spacing w:after="0" w:line="16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have not authorized anyone to provide you with different information. We are not making an offer of these securities in any jurisdiction where the offer is not permitted. You should not assume that the information in this prospectus or a prospectus supplement is accurate as of any date other than the date on the front of the document.</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sell securities, we will provide a prospectus supplement containing specific information about the terms of that offering. That prospectus supplement may include a discussion of any risk factors or other special considerations applicable to those securities. The prospectus supplement also may add, update or change information in this prospectus. If there is any inconsistency between the information in this prospectus and any prospectus supplement, you should rely on the information in the prospectus supplement. You should read both this prospectus and any prospectus supplement together with the additional information described under the heading “Where You Can Find More Information.”</w:t>
      </w:r>
    </w:p>
    <w:p>
      <w:pPr>
        <w:spacing w:after="0" w:line="18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registration statement containing this prospectus, including the exhibits to the registration statement, provides additional information about us and the securities offered under this prospectus.</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exhibits to the registration statement contain the full text of certain contracts and other important documents we have summarized in this prospectus. You should review the full text of these documents because these summaries may not contain all the information that you may find important in deciding whether to purchase the securities we offer. The registration statement, including the exhibits, can be read at the SEC’s website or at the SEC’s offices mentioned under the heading “Where You Can Find More Information.”</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 xml:space="preserve">We file annual reports on Form 10-K, quarterly reports on Form 10-Q, current reports on Form 8-K, proxy and information statements and amendments to reports filed or furnished pursuant to Sections 13(a), 14 and 15(d) of the Securities Exchange Act of 1934, as amended (the “Exchange Act”). The SEC maintains a website at www.sec.gov that contains reports, proxy and information statements and other information regarding Xylem Inc. and other companies that file materials with the SEC electronically. Copies of our periodic and current reports and proxy statements may be obtained, free of charge, on the “Investors” section of our website at </w:t>
      </w:r>
      <w:r>
        <w:rPr>
          <w:rFonts w:ascii="Times New Roman" w:cs="Times New Roman" w:eastAsia="Times New Roman" w:hAnsi="Times New Roman"/>
          <w:sz w:val="17"/>
          <w:szCs w:val="17"/>
          <w:u w:val="single" w:color="auto"/>
          <w:color w:val="auto"/>
        </w:rPr>
        <w:t>http://www.xylem.com</w:t>
      </w:r>
      <w:r>
        <w:rPr>
          <w:rFonts w:ascii="Times New Roman" w:cs="Times New Roman" w:eastAsia="Times New Roman" w:hAnsi="Times New Roman"/>
          <w:sz w:val="17"/>
          <w:szCs w:val="17"/>
          <w:color w:val="auto"/>
        </w:rPr>
        <w:t>. This reference to our Internet address is for informational purposes only and shall not, under any circumstances, be deemed to incorporate the information available at or through such Internet address into this prospectus.</w:t>
      </w:r>
    </w:p>
    <w:p>
      <w:pPr>
        <w:sectPr>
          <w:pgSz w:w="11900" w:h="16838" w:orient="portrait"/>
          <w:cols w:equalWidth="0" w:num="1">
            <w:col w:w="11140"/>
          </w:cols>
          <w:pgMar w:left="320" w:top="455"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which means that we can disclose important information to you by referring to those documents. We hereby incorporate by reference the documents listed below. Information that we file later with the SEC will automatically update and in some cases supersede this information. Specifically, we incorporate by reference the following documents or information filed with the SEC (other than, in each case, documents or information deemed to have been furnished and not filed in accordance with SEC rules):</w:t>
      </w:r>
    </w:p>
    <w:p>
      <w:pPr>
        <w:spacing w:after="0" w:line="85" w:lineRule="exact"/>
        <w:rPr>
          <w:sz w:val="20"/>
          <w:szCs w:val="20"/>
          <w:color w:val="auto"/>
        </w:rPr>
      </w:pPr>
    </w:p>
    <w:p>
      <w:pPr>
        <w:ind w:left="540" w:hanging="424"/>
        <w:spacing w:after="0" w:line="282"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6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2022 filed with the SEC on February 24, 2023 (including the portions of our Definitive Proxy Statement on </w:t>
      </w:r>
      <w:hyperlink r:id="rId65">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3, 2023, incorporated by reference therein);</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66">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quarterly period ended March 31, 2023 filed with the SEC on May 4, 2023;</w:t>
      </w:r>
    </w:p>
    <w:p>
      <w:pPr>
        <w:spacing w:after="0" w:line="130" w:lineRule="exact"/>
        <w:rPr>
          <w:rFonts w:ascii="Times New Roman" w:cs="Times New Roman" w:eastAsia="Times New Roman" w:hAnsi="Times New Roman"/>
          <w:sz w:val="18"/>
          <w:szCs w:val="18"/>
          <w:color w:val="auto"/>
        </w:rPr>
      </w:pPr>
    </w:p>
    <w:p>
      <w:pPr>
        <w:ind w:left="540" w:right="340" w:hanging="424"/>
        <w:spacing w:after="0" w:line="282"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67">
        <w:r>
          <w:rPr>
            <w:rFonts w:ascii="Times New Roman" w:cs="Times New Roman" w:eastAsia="Times New Roman" w:hAnsi="Times New Roman"/>
            <w:sz w:val="18"/>
            <w:szCs w:val="18"/>
            <w:u w:val="single" w:color="auto"/>
            <w:color w:val="0000EE"/>
          </w:rPr>
          <w:t>January 23, 2023</w:t>
        </w:r>
      </w:hyperlink>
      <w:r>
        <w:rPr>
          <w:rFonts w:ascii="Times New Roman" w:cs="Times New Roman" w:eastAsia="Times New Roman" w:hAnsi="Times New Roman"/>
          <w:sz w:val="18"/>
          <w:szCs w:val="18"/>
          <w:color w:val="auto"/>
        </w:rPr>
        <w:t xml:space="preserve">, </w:t>
      </w:r>
      <w:hyperlink r:id="rId68">
        <w:r>
          <w:rPr>
            <w:rFonts w:ascii="Times New Roman" w:cs="Times New Roman" w:eastAsia="Times New Roman" w:hAnsi="Times New Roman"/>
            <w:sz w:val="18"/>
            <w:szCs w:val="18"/>
            <w:u w:val="single" w:color="auto"/>
            <w:color w:val="0000EE"/>
          </w:rPr>
          <w:t>March 2, 2023</w:t>
        </w:r>
      </w:hyperlink>
      <w:r>
        <w:rPr>
          <w:rFonts w:ascii="Times New Roman" w:cs="Times New Roman" w:eastAsia="Times New Roman" w:hAnsi="Times New Roman"/>
          <w:sz w:val="18"/>
          <w:szCs w:val="18"/>
          <w:color w:val="auto"/>
        </w:rPr>
        <w:t xml:space="preserve">, </w:t>
      </w:r>
      <w:hyperlink r:id="rId69">
        <w:r>
          <w:rPr>
            <w:rFonts w:ascii="Times New Roman" w:cs="Times New Roman" w:eastAsia="Times New Roman" w:hAnsi="Times New Roman"/>
            <w:sz w:val="18"/>
            <w:szCs w:val="18"/>
            <w:u w:val="single" w:color="auto"/>
            <w:color w:val="0000EE"/>
          </w:rPr>
          <w:t>May 11,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70">
        <w:r>
          <w:rPr>
            <w:rFonts w:ascii="Times New Roman" w:cs="Times New Roman" w:eastAsia="Times New Roman" w:hAnsi="Times New Roman"/>
            <w:sz w:val="18"/>
            <w:szCs w:val="18"/>
            <w:u w:val="single" w:color="auto"/>
            <w:color w:val="0000EE"/>
          </w:rPr>
          <w:t>May 24,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Item 7.01) and our Current Report on Form 8-K/A filed with the SEC on </w:t>
      </w:r>
      <w:hyperlink r:id="rId71">
        <w:r>
          <w:rPr>
            <w:rFonts w:ascii="Times New Roman" w:cs="Times New Roman" w:eastAsia="Times New Roman" w:hAnsi="Times New Roman"/>
            <w:sz w:val="18"/>
            <w:szCs w:val="18"/>
            <w:u w:val="single" w:color="auto"/>
            <w:color w:val="0000EE"/>
          </w:rPr>
          <w:t>August 3, 2023</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40" w:right="240" w:hanging="424"/>
        <w:spacing w:after="0" w:line="282"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par value $0.01 per share, contained in </w:t>
      </w:r>
      <w:hyperlink r:id="rId72">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on Form 10-K for the fiscal year ended December 31, 2022, including any amendment or report filed for the purposes of updating such description; and</w:t>
      </w:r>
    </w:p>
    <w:p>
      <w:pPr>
        <w:spacing w:after="0" w:line="67" w:lineRule="exact"/>
        <w:rPr>
          <w:rFonts w:ascii="Times New Roman" w:cs="Times New Roman" w:eastAsia="Times New Roman" w:hAnsi="Times New Roman"/>
          <w:sz w:val="18"/>
          <w:szCs w:val="18"/>
          <w:color w:val="auto"/>
        </w:rPr>
      </w:pPr>
    </w:p>
    <w:p>
      <w:pPr>
        <w:ind w:left="540" w:hanging="424"/>
        <w:spacing w:after="0" w:line="258"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future filings we make with the SEC under Sections 13(a), 13(c), 14 or 15(d) of the Exchange Act after the date of this prospectus and before the termination of the offering of the securities made under this prospectus;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we are not incorporating by reference any documents or information, including parts of documents that we file with the SEC, that are deemed to be furnished and not filed with the SEC. Unless specifically stated to the contrary, none of the information we disclose under Items 2.02 or 7.01 of any Current Report on Form 8-K that we may from time to time furnish to the SEC will be incorporated by reference into, or otherwise included in, this prospectus.</w:t>
      </w:r>
    </w:p>
    <w:p>
      <w:pPr>
        <w:spacing w:after="0" w:line="183" w:lineRule="exact"/>
        <w:rPr>
          <w:rFonts w:ascii="Times New Roman" w:cs="Times New Roman" w:eastAsia="Times New Roman" w:hAnsi="Times New Roman"/>
          <w:sz w:val="18"/>
          <w:szCs w:val="18"/>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will provide, without charge, to each person to whom a copy of this prospectus has been delivered, including any beneficial owner, a copy of any and all of the documents referred to herein that are summarized in and incorporated by reference into this prospectus, if such person makes a written or oral request directed to:</w:t>
      </w:r>
    </w:p>
    <w:p>
      <w:pPr>
        <w:spacing w:after="0" w:line="176"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Xylem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301 Water Street SE</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Washington, DC 20003</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(202) 869-9150</w:t>
      </w:r>
    </w:p>
    <w:p>
      <w:pPr>
        <w:spacing w:after="0" w:line="207" w:lineRule="exact"/>
        <w:rPr>
          <w:rFonts w:ascii="Times New Roman" w:cs="Times New Roman" w:eastAsia="Times New Roman" w:hAnsi="Times New Roman"/>
          <w:sz w:val="18"/>
          <w:szCs w:val="18"/>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WE HAVE NOT AUTHORIZED ANYONE TO PROVIDE YOU WITH ANY ADDITIONAL INFORMATION OR ANY INFORMATION THAT IS DIFFERENT FROM THAT CONTAINED IN OR INCORPORATED BY REFERENCE INTO THIS PROSPECTUS, ANY ACCOMPANYING PROSPECTUS SUPPLEMENT OR ANY FREE WRITING PROSPECTUS PROVIDED IN CONNECTION WITH AN OFFERING. WE TAKE NO RESPONSIBILITY FOR, AND CAN PROVIDE NO ASSURANCE AS TO THE RELIABILITY OF, ANY OTHER INFORMATION THAT OTHERS MAY GIVE YOU. YOU SHOULD NOT ASSUME THAT THE INFORMATION CONTAINED IN THIS PROSPECTUS IS ACCURATE AS OF ANY DATE OTHER THAN THAT DATE, UNLESS WE OTHERWISE NOTE IN THIS PROSPECTUS OR ANY ACCOMPANYING PROSPECTUS SUPPLEMENT.</w:t>
      </w:r>
    </w:p>
    <w:p>
      <w:pPr>
        <w:spacing w:after="0" w:line="121"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including documents incorporated herein by reference, contains information that may constitute “forward-looking statements” within the meaning of Section 27A of the Securities Act of 1933, as amended, and Section 21E of the Exchange Act, as amended. Generally, the words “anticipate,” “estimate,” “expect,” “project,” “intend,” “plan,” “contemplate,” “predict,” “forecast,” “likely,” “believe,” “target,” “will,” “could,” “would,” “should,” “potential,” “may” and similar expressions or their negative, may, but are not necessary to, identify forward-looking statements. By their nature, forward-looking statements address uncertain matters and include any statements that: are not historical, such as statements about our strategy, financial plans, outlook, objectives, plans, intentions or goals (including those related to our social, environmental and other sustainability goals); or address possible or future results of operations or financial performance, including statements relating to orders, revenues, operating margins and earnings per share growth.</w:t>
      </w:r>
    </w:p>
    <w:p>
      <w:pPr>
        <w:spacing w:after="0" w:line="192"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Although we believe that the expectations reflected in any of our forward-looking statements are reasonable, actual results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Important factors that could cause our actual results, performance and achievements, or industry results to differ materially from estimates or projections contained in or implied by our forward-looking statements include, among others, the following: the impact of overall industry and general economic conditions, including industrial, governmental, and public and private sector spending, inflation, interest rates and related monetary policy by governments in response to inflation, and the strength of the residential and commercial real estate markets, on economic activity and our operations; geopolitical events, including the war between Russia and Ukraine, and regulatory, economic and other risks associated with our global sales and operations, including with respect to domestic content requirements applicable to projects with governmental funding; the global impact of the COVID-19 pandemic on the macroeconomy and our business, operations, growth, and financial condition; actual or potential other epidemics, pandemics or global health crises; availability, shortage or delays in receiving electronic components (in particular, semiconductors), parts and raw materials from our supply chain; manufacturing and operating cost increases due to macroeconomic conditions, including inflation, energy supply, supply chain shortages, logistics challenges, tight labor markets, prevailing price changes, tariffs and other factors; demand for our products, disruption, competition or pricing pressures in the markets we serve; cybersecurity incidents or other disruptions of information technology systems on which we rely, or involving our products; disruptions in operations at our facilities or that of third parties upon which we rely; failure to successfully execute large projects, including with respect to meeting performance guarantees and customers’ safety requirements; our ability to retain and attract senior management and other diverse and key talent, as well as competition for overall talent and labor; difficulty predicting our financial results; defects, security, warranty and liability claims, and recalls with respect to products; safe and compliant handling of wastewater and hazardous materials; availability, regulation or interference with radio spectrum used by certain of our products; uncertainty related to restructuring and realignment actions and related costs and savings; our ability to continue strategic investments for growth; our ability to successfully identify, execute and integrate acquisitions; volatility in served markets or impacts on our business and operations due to weather conditions, including the effects of climate change; fluctuations in foreign currency exchange rates; our ability to borrow or refinance our existing indebtedness, and uncertainty around the availability of liquidity sufficient to meet our needs; risk of future impairments to goodwill and other intangible assets; failure to comply with, or changes in, laws or regulations, including those pertaining to anti-corruption, data privacy and security, export and import, our products, competition, and the environment and climate change; changes in our effective tax rates or tax expenses; legal, governmental or regulatory claims, investigations or proceedings and associated contingent liabilities; risks related to our recently completed acquisition of Evoqua Water Technologies Corp., including related to our ability to retain and hire key personnel, the realization of expected benefits and synergies, the need to incur additional or unexpected costs, charges or expenses associated with to the integration of the combined companies, delays or challenges with the integration, potential adverse reactions or changes to relationships with customers, suppliers, distributors and other business partners, competitive responses to the acquisition, actual or potential litigation and associated costs and expenses, and impacts to our share price and dilution of shareholders’ ownership; and other factors set forth under “Item 1A. Risk Factors” in our Annual Report on Form 10-K for the year ended December 31, 2022 and in subsequent filings we make with the SEC.</w:t>
      </w:r>
    </w:p>
    <w:p>
      <w:pPr>
        <w:spacing w:after="0" w:line="1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Forward-looking and other statements incorporated by reference in this prospectus regarding our environmental and other sustainability plans and goals are not an indication that these statements are necessarily material to investors or are required to be disclosed in our filings with the SEC. In addition, historical, current, and forward-looking social, environmental and sustainability-related statements may be based on standards for measuring progress that are still developing, internal controls and processes that continue to evolve, and assumptions that are subject to change in the future. All forward-looking statements made or incorporated by reference herein are based on information currently available to us as of the date of this prospectus. We undertake no obligation to publicly update or revise any forward-looking statements, whether as a result of new information, future events or otherwise, except as required by law. You are advised to consult any additional disclosures we make in our Annual Reports on Form 10-K, Quarterly Reports on Form 10-Q and current reports on Form 8-K filed with the SEC. See “Where You Can Find More Information.”</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THE REGISTRANT</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Xylem is a leading global water technology company. We design, manufacture and service highly engineered products and solutions ranging across a wide variety of critical applications in utility, industrial, residential and commercial building services settings. Our broad portfolio of solutions addresses customer needs across the water cycle, from the delivery, measurement and use of drinking water to the collection, test, treatment and analysis of wastewater to the return of water to the environment. Our product and service offerings are organized into three reportable segments that are aligned around the critical market applications they provide: Water Infrastructure, Applied Water and Measurement &amp; Control Solutions.</w:t>
      </w:r>
    </w:p>
    <w:p>
      <w:pPr>
        <w:spacing w:after="0" w:line="87" w:lineRule="exact"/>
        <w:rPr>
          <w:sz w:val="20"/>
          <w:szCs w:val="20"/>
          <w:color w:val="auto"/>
        </w:rPr>
      </w:pPr>
    </w:p>
    <w:p>
      <w:pPr>
        <w:ind w:left="540" w:hanging="424"/>
        <w:spacing w:after="0" w:line="255"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Water Infrastructure </w:t>
      </w:r>
      <w:r>
        <w:rPr>
          <w:rFonts w:ascii="Times New Roman" w:cs="Times New Roman" w:eastAsia="Times New Roman" w:hAnsi="Times New Roman"/>
          <w:sz w:val="18"/>
          <w:szCs w:val="18"/>
          <w:color w:val="auto"/>
        </w:rPr>
        <w:t>serves the water infrastructure sector with pump systems that transport water from aquifers, lakes, rivers and seas;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filtration, ultraviolet and ozone systems that provide treatment, making the water fit to use; and pumping solutions that move the wastewater and storm water to treatment facilities where our mixers, biological treatment, monitoring and control systems provide the primary functions in the treatment process. We also provide sales and rental of specialty dewatering pumps and related equipment and services. Additionally, our offerings use monitoring and control, smart and connected technologies to allow for remote monitoring of performance and enable products to self-optimize pump operations maximizing energy efficiency and minimizing unplanned downtime and maintenance for our customers. In the Water Infrastructure segment, we provide the majority of our sales directly to customers along with strong applications expertise, while the remaining amount is through distribution partners.</w:t>
      </w:r>
    </w:p>
    <w:p>
      <w:pPr>
        <w:spacing w:after="0" w:line="90" w:lineRule="exact"/>
        <w:rPr>
          <w:rFonts w:ascii="Times New Roman" w:cs="Times New Roman" w:eastAsia="Times New Roman" w:hAnsi="Times New Roman"/>
          <w:sz w:val="18"/>
          <w:szCs w:val="18"/>
          <w:color w:val="auto"/>
        </w:rPr>
      </w:pPr>
    </w:p>
    <w:p>
      <w:pPr>
        <w:ind w:left="540" w:right="200" w:hanging="424"/>
        <w:spacing w:after="0" w:line="258"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Applied Water </w:t>
      </w:r>
      <w:r>
        <w:rPr>
          <w:rFonts w:ascii="Times New Roman" w:cs="Times New Roman" w:eastAsia="Times New Roman" w:hAnsi="Times New Roman"/>
          <w:sz w:val="18"/>
          <w:szCs w:val="18"/>
          <w:color w:val="auto"/>
        </w:rPr>
        <w:t>serves the water usage applications sector with water pressure boosting systems for heating, ventilation and air conditioning,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fire protection systems to the residential and commercial building services markets. In addition, our pumps, heat exchangers and controls provide cooling to power plants and manufacturing facilities, circulation for food and beverage processing, as well as boosting systems for agricultural irrigation. In the Applied Water segment, we provide the majority of our sales through long-standing relationships with many of the leading independent distributors in the markets we serve, with the remainder going directly to customers.</w:t>
      </w:r>
    </w:p>
    <w:p>
      <w:pPr>
        <w:spacing w:after="0" w:line="88" w:lineRule="exact"/>
        <w:rPr>
          <w:rFonts w:ascii="Times New Roman" w:cs="Times New Roman" w:eastAsia="Times New Roman" w:hAnsi="Times New Roman"/>
          <w:sz w:val="18"/>
          <w:szCs w:val="18"/>
          <w:color w:val="auto"/>
        </w:rPr>
      </w:pPr>
    </w:p>
    <w:p>
      <w:pPr>
        <w:ind w:left="540" w:right="40" w:hanging="424"/>
        <w:spacing w:after="0" w:line="255"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Measurement &amp; Control Solutions </w:t>
      </w:r>
      <w:r>
        <w:rPr>
          <w:rFonts w:ascii="Times New Roman" w:cs="Times New Roman" w:eastAsia="Times New Roman" w:hAnsi="Times New Roman"/>
          <w:sz w:val="18"/>
          <w:szCs w:val="18"/>
          <w:color w:val="auto"/>
        </w:rPr>
        <w:t>primarily serves the utility infrastructure solutions and services sector by delivering communications, smart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metering, measurement and control technologies and critical infrastructure technologies that allow customers to more effectively use their distribution networks for the delivery, monitoring and control of critical resources such as water, electricity and natural gas. We also provide analytical instrumentation used to measure and analyze water quality, flow and level in clean water, wastewater, and outdoor environments. Additionally, we offer software and services including cloud-based analytics, remote monitoring and data management, leak detection, condition assessment, asset management and pressure monitoring solutions. In the Measurement &amp; Control Solutions segment, we generate our sales through a combination of long-standing relationships with leading distributors and dedicated channel partners as well as direct sales depending on the regional availability of distribution channels and the type of product.</w:t>
      </w:r>
    </w:p>
    <w:p>
      <w:pPr>
        <w:spacing w:after="0" w:line="187"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Xylem Inc. was incorporated under the laws of the State of Indiana on May 4, 2011. Our principal executive offices are located at 301 Water Street SE, Washington, DC 20003 and our telephone number is (202) 869-9150.</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risk. Before you decide whether to purchase any of our securities, in addition to the other information, documents or reports included in or incorporated by reference into this prospectus and any accompanying prospectus supplement or other offering materials, you should carefully consider the risk factors in the section entitled “Risk Factors” in any prospectus supplement as well as our Annual Report on Form 10-K for the fiscal year ended December 31, 2022, which is incorporated by reference into this prospectus and any prospectus supplement in their entirety, as the same may be amended, supplemented or superseded from time to time by our filings under the Exchange Act. For more information, see the section entitled “Where You Can Find More Information.” These risks could materially and adversely affect our business, results of operations and financial condition and could result in a partial or complete loss of your investment.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Unless otherwise stated in the applicable prospectus supplement, we will use the proceeds of any offering for general corporate purposes, which may include repayment of debt, repurchases of outstanding shares of common stock, payment of dividends, acquisitions of companies or businesses, investments, working capital and capital expenditures. We have not determined the amount of net proceeds to be used specifically for such purposes. As a result, management will retain broad discretion over the allocation of net proceeds. Net proceeds may be temporarily invested prior to use.</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60"/>
          </w:cols>
          <w:pgMar w:left="320" w:top="455" w:right="5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following is a general description of the debt securities that we may offer from time to time. The particular terms of the debt securities offered by any prospectus supplement and the extent, if any, to which the general provisions described below may apply to those securities will be described in the applicable prospectus supplement. We also may sell hybrid securities that combine certain features of debt securities and other securities described in this prospectus. As you read this section, please remember that the specific terms of a debt security as described in the applicable prospectus supplement will supplement and may modify or replace the general terms described in this section. If there are any differences between the applicable prospectus supplement and this prospectus, the applicable prospectus supplement will control. As a result, the statements we make in this section may not apply to the debt security you purchase.</w:t>
      </w:r>
    </w:p>
    <w:p>
      <w:pPr>
        <w:spacing w:after="0" w:line="189"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Xylem will be the issuer of any debt securities we may offer and references to “we,” “our” or “us” in this description do not, unless the context otherwise indicates, include any of its subsidiaries. Capitalized terms used but not defined in this section have the respective meanings set forth in the applicable indenture.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debt securities that we may offer will be either senior debt securities or subordinated debt securities. Any senior debt securities will be issued under an indenture, which we refer to as the senior indenture, dated as of March 11, 2016, between us and Deutsche Bank Trust Company Americas, as trustee, as supplemented and amended from time to time. Any subordinated debt securities will be issued under a different indenture, which we refer to as the subordinated indenture, to be entered into between us and the trustee named in the applicable prospectus supplement. We refer to both the senior indenture and the subordinated indenture as the indentures, and to each of the trustees under the indentures as a trustee. The terms of each series of debt securities will be set forth in a resolution of the board of directors of the Registrant, an officers’ certificate or by a supplemental indenture. You should read the indentures, including any amendments or supplements or any officers’ certificate setting forth the terms of any series of notes, carefully to fully understand the terms of the debt securities. The forms of the indentures have been filed as exhibits to the registration statement of which this prospectus is a part. The indentures are subject to, and are governed by, the Trust Indenture Act of 1939, as amended (the “Trust Indenture Act”).</w:t>
      </w:r>
    </w:p>
    <w:p>
      <w:pPr>
        <w:spacing w:after="0" w:line="188"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Any senior debt securities that we may issue will be our unsubordinated obligations. They will rank equally with each other and all of our other unsubordinated debt, unless otherwise indicated in the applicable prospectus supplement. Any subordinated debt securities that we may issue will be subordinated in right of payment to the prior payment in full of our senior debt. See “Subordination of Subordinated Debt Securities.” The subordinated debt securities will rank equally with each other, unless otherwise indicated in the applicable prospectus supplement. We will indicate in each applicable prospectus supplement, as of the most recent practicable date, the aggregate amount of our outstanding debt that would rank senior to the subordinated debt securities.</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indentures do not limit the amount of debt securities that can be issued thereunder and provide that debt securities of any series may be issued thereunder up to the aggregate principal amount that we may authorize from time to time. Unless otherwise provided in the applicable prospectus supplement, the indentures do not limit the amount of other indebtedness or securities that we may issue. We may issue debt securities of the same series at more than one time and, unless prohibited by the terms of the series, we may reopen a series for issuances of additional debt securities without the consent of the holders of the outstanding debt securities of that series. All debt securities issued as a series, including those issued pursuant to any reopening of a series, will vote together as a single class.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Reference is made to the prospectus supplement for the following and other possible terms of each series of the debt securities with respect to which this prospectus is being delivered:</w:t>
      </w:r>
    </w:p>
    <w:p>
      <w:pPr>
        <w:spacing w:after="0" w:line="67" w:lineRule="exact"/>
        <w:rPr>
          <w:sz w:val="20"/>
          <w:szCs w:val="20"/>
          <w:color w:val="auto"/>
        </w:rPr>
      </w:pPr>
    </w:p>
    <w:p>
      <w:pPr>
        <w:ind w:left="540" w:hanging="424"/>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w:t>
      </w:r>
    </w:p>
    <w:p>
      <w:pPr>
        <w:spacing w:after="0" w:line="130" w:lineRule="exact"/>
        <w:rPr>
          <w:rFonts w:ascii="Times New Roman" w:cs="Times New Roman" w:eastAsia="Times New Roman" w:hAnsi="Times New Roman"/>
          <w:sz w:val="18"/>
          <w:szCs w:val="18"/>
          <w:color w:val="auto"/>
        </w:rPr>
      </w:pPr>
    </w:p>
    <w:p>
      <w:pPr>
        <w:ind w:left="540" w:right="380" w:hanging="424"/>
        <w:spacing w:after="0" w:line="282"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debt securities of the series that may be authenticated and delivered under the applicable indenture;</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date or issue dates of the debt securities of the series;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of the debt securities of the series;</w:t>
      </w:r>
    </w:p>
    <w:p>
      <w:pPr>
        <w:spacing w:after="0" w:line="130" w:lineRule="exact"/>
        <w:rPr>
          <w:rFonts w:ascii="Times New Roman" w:cs="Times New Roman" w:eastAsia="Times New Roman" w:hAnsi="Times New Roman"/>
          <w:sz w:val="18"/>
          <w:szCs w:val="18"/>
          <w:color w:val="auto"/>
        </w:rPr>
      </w:pPr>
    </w:p>
    <w:p>
      <w:pPr>
        <w:ind w:left="540" w:right="40" w:hanging="316"/>
        <w:spacing w:after="0" w:line="282" w:lineRule="auto"/>
        <w:tabs>
          <w:tab w:leader="none" w:pos="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premium, if any, and additional amounts, if any, payable with respect to the debt securities of the series are payable;</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of the series will be issued at par of, at a premium over or a discount from their face amount;</w:t>
      </w:r>
    </w:p>
    <w:p>
      <w:pPr>
        <w:spacing w:after="0" w:line="130" w:lineRule="exact"/>
        <w:rPr>
          <w:rFonts w:ascii="Times New Roman" w:cs="Times New Roman" w:eastAsia="Times New Roman" w:hAnsi="Times New Roman"/>
          <w:sz w:val="18"/>
          <w:szCs w:val="18"/>
          <w:color w:val="auto"/>
        </w:rPr>
      </w:pPr>
    </w:p>
    <w:p>
      <w:pPr>
        <w:ind w:left="540" w:right="120" w:hanging="316"/>
        <w:spacing w:after="0" w:line="266" w:lineRule="auto"/>
        <w:tabs>
          <w:tab w:leader="none" w:pos="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at which the debt securities of the series shall bear interest, if any, and, if applicable, the manner of calculation of such rate or rates, if any, including any procedures to vary or reset such rate or rates, and the basis upon which interest will be calculated if other than that of a 360-day year of twelve 30-day months;</w:t>
      </w:r>
    </w:p>
    <w:p>
      <w:pPr>
        <w:spacing w:after="0" w:line="81" w:lineRule="exact"/>
        <w:rPr>
          <w:rFonts w:ascii="Times New Roman" w:cs="Times New Roman" w:eastAsia="Times New Roman" w:hAnsi="Times New Roman"/>
          <w:sz w:val="18"/>
          <w:szCs w:val="18"/>
          <w:color w:val="auto"/>
        </w:rPr>
      </w:pPr>
    </w:p>
    <w:p>
      <w:pPr>
        <w:ind w:left="540" w:right="280" w:hanging="316"/>
        <w:spacing w:after="0" w:line="282" w:lineRule="auto"/>
        <w:tabs>
          <w:tab w:leader="none" w:pos="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shall accrue, the dates on which such interest will be payable or the manner of determination of such dates, and the record date for the determination of holders to whom interest is payable on any such dates;</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or defer the payment of interest and the duration of such extension or deferral;</w:t>
      </w:r>
    </w:p>
    <w:p>
      <w:pPr>
        <w:spacing w:after="0" w:line="130" w:lineRule="exact"/>
        <w:rPr>
          <w:rFonts w:ascii="Times New Roman" w:cs="Times New Roman" w:eastAsia="Times New Roman" w:hAnsi="Times New Roman"/>
          <w:sz w:val="18"/>
          <w:szCs w:val="18"/>
          <w:color w:val="auto"/>
        </w:rPr>
      </w:pPr>
    </w:p>
    <w:p>
      <w:pPr>
        <w:ind w:left="540" w:right="100" w:hanging="316"/>
        <w:spacing w:after="0" w:line="261" w:lineRule="auto"/>
        <w:tabs>
          <w:tab w:leader="none" w:pos="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if any, to redeem, repay or purchase any of the debt securities of the series pursuant to any sinking fund, mandatory redemption, purchase obligation or analogous provisions, including payments made in cash in anticipation of future sinking fund obligations at the option of a holder thereof and the period or periods within which, the price or prices at which, and the terms and conditions upon which debt securities of the series shall be redeemed, repaid, or purchased, in whole or in part, pursuant to such obligation;</w:t>
      </w:r>
    </w:p>
    <w:p>
      <w:pPr>
        <w:spacing w:after="0" w:line="85" w:lineRule="exact"/>
        <w:rPr>
          <w:rFonts w:ascii="Times New Roman" w:cs="Times New Roman" w:eastAsia="Times New Roman" w:hAnsi="Times New Roman"/>
          <w:sz w:val="18"/>
          <w:szCs w:val="18"/>
          <w:color w:val="auto"/>
        </w:rPr>
      </w:pPr>
    </w:p>
    <w:p>
      <w:pPr>
        <w:ind w:left="540" w:right="60" w:hanging="316"/>
        <w:spacing w:after="0" w:line="266" w:lineRule="auto"/>
        <w:tabs>
          <w:tab w:leader="none" w:pos="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series shall be issued in whole or in part in the form of a global security or securities, the type of global security to be issued, the identity of the depositary for such global security and the terms and conditions, if any, upon which interests in the debt securities of the series represented by such global security may be exchanged, in whole or in part, for other individual securities represented thereby;</w:t>
      </w:r>
    </w:p>
    <w:p>
      <w:pPr>
        <w:spacing w:after="0" w:line="81"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are subordinated debt securities, the subordination terms of the debt securities;</w:t>
      </w:r>
    </w:p>
    <w:p>
      <w:pPr>
        <w:spacing w:after="0" w:line="130" w:lineRule="exact"/>
        <w:rPr>
          <w:rFonts w:ascii="Times New Roman" w:cs="Times New Roman" w:eastAsia="Times New Roman" w:hAnsi="Times New Roman"/>
          <w:sz w:val="18"/>
          <w:szCs w:val="18"/>
          <w:color w:val="auto"/>
        </w:rPr>
      </w:pPr>
    </w:p>
    <w:p>
      <w:pPr>
        <w:ind w:left="540" w:hanging="316"/>
        <w:spacing w:after="0" w:line="282" w:lineRule="auto"/>
        <w:tabs>
          <w:tab w:leader="none" w:pos="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$2,000 or any multiple of $1,000 in excess thereof, the denominations in which the debt securities of the series shall be issuable;</w:t>
      </w:r>
    </w:p>
    <w:p>
      <w:pPr>
        <w:spacing w:after="0" w:line="67" w:lineRule="exact"/>
        <w:rPr>
          <w:rFonts w:ascii="Times New Roman" w:cs="Times New Roman" w:eastAsia="Times New Roman" w:hAnsi="Times New Roman"/>
          <w:sz w:val="18"/>
          <w:szCs w:val="18"/>
          <w:color w:val="auto"/>
        </w:rPr>
      </w:pPr>
    </w:p>
    <w:p>
      <w:pPr>
        <w:ind w:left="540" w:right="40" w:hanging="316"/>
        <w:spacing w:after="0" w:line="266" w:lineRule="auto"/>
        <w:tabs>
          <w:tab w:leader="none" w:pos="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additional amounts of the debt securities of the series shall be payable in respect of any taxes, assessments, or other governmental charges withheld or deducted and, if so, whether we will have the option to redeem the debt securities of such series rather than pay such additional amounts;</w:t>
      </w:r>
    </w:p>
    <w:p>
      <w:pPr>
        <w:spacing w:after="0" w:line="81" w:lineRule="exact"/>
        <w:rPr>
          <w:rFonts w:ascii="Times New Roman" w:cs="Times New Roman" w:eastAsia="Times New Roman" w:hAnsi="Times New Roman"/>
          <w:sz w:val="18"/>
          <w:szCs w:val="18"/>
          <w:color w:val="auto"/>
        </w:rPr>
      </w:pPr>
    </w:p>
    <w:p>
      <w:pPr>
        <w:ind w:left="540" w:right="100" w:hanging="316"/>
        <w:spacing w:after="0" w:line="266" w:lineRule="auto"/>
        <w:tabs>
          <w:tab w:leader="none" w:pos="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of the series are to be issuable in definitive form (whether upon original issue or upon exchange of a temporary debt security for a definitive security of such series) only upon receipt of certain certificates or other documents or upon satisfaction of other conditions, then the form and terms of such certificates, documents and/or conditions;</w:t>
      </w:r>
    </w:p>
    <w:p>
      <w:pPr>
        <w:spacing w:after="0" w:line="81" w:lineRule="exact"/>
        <w:rPr>
          <w:rFonts w:ascii="Times New Roman" w:cs="Times New Roman" w:eastAsia="Times New Roman" w:hAnsi="Times New Roman"/>
          <w:sz w:val="18"/>
          <w:szCs w:val="18"/>
          <w:color w:val="auto"/>
        </w:rPr>
      </w:pPr>
    </w:p>
    <w:p>
      <w:pPr>
        <w:ind w:left="540" w:right="40" w:hanging="316"/>
        <w:spacing w:after="0" w:line="266" w:lineRule="auto"/>
        <w:tabs>
          <w:tab w:leader="none" w:pos="5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or conversion of the debt securities of such series, whether or not at the option of the holders thereof, for or into new debt securities of a different series or for or into any other securities which may include shares of our capital stock or any of our subsidiaries or securities directly or indirectly convertible into or exchangeable for any such shares or securities unaffiliated with us or any of our subsidiaries;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140" w:hanging="424"/>
        <w:spacing w:after="0" w:line="28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payment of the principal of, premium, if any, and interest on debt securities of the series shall be payable and the period or periods within which and the terms and conditions upon which such election may be made;</w:t>
      </w:r>
    </w:p>
    <w:p>
      <w:pPr>
        <w:spacing w:after="0" w:line="67" w:lineRule="exact"/>
        <w:rPr>
          <w:rFonts w:ascii="Times New Roman" w:cs="Times New Roman" w:eastAsia="Times New Roman" w:hAnsi="Times New Roman"/>
          <w:sz w:val="18"/>
          <w:szCs w:val="18"/>
          <w:color w:val="auto"/>
        </w:rPr>
      </w:pPr>
    </w:p>
    <w:p>
      <w:pPr>
        <w:ind w:left="540" w:right="180" w:hanging="424"/>
        <w:spacing w:after="0" w:line="28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principal or any premium or interest on debt securities of a series may be determined with reference to an index or pursuant to a formula, the manner in which such amounts will be determined;</w:t>
      </w:r>
    </w:p>
    <w:p>
      <w:pPr>
        <w:spacing w:after="0" w:line="67" w:lineRule="exact"/>
        <w:rPr>
          <w:rFonts w:ascii="Times New Roman" w:cs="Times New Roman" w:eastAsia="Times New Roman" w:hAnsi="Times New Roman"/>
          <w:sz w:val="18"/>
          <w:szCs w:val="18"/>
          <w:color w:val="auto"/>
        </w:rPr>
      </w:pPr>
    </w:p>
    <w:p>
      <w:pPr>
        <w:ind w:left="540" w:right="260" w:hanging="424"/>
        <w:spacing w:after="0" w:line="28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 debt securities of a series, at the option of the holders thereof, for other debt securities of the same series of the same aggregate principal amount of a different authorized kind or different authorized denomination or denominations, or both;</w:t>
      </w:r>
    </w:p>
    <w:p>
      <w:pPr>
        <w:spacing w:after="0" w:line="67" w:lineRule="exact"/>
        <w:rPr>
          <w:rFonts w:ascii="Times New Roman" w:cs="Times New Roman" w:eastAsia="Times New Roman" w:hAnsi="Times New Roman"/>
          <w:sz w:val="18"/>
          <w:szCs w:val="18"/>
          <w:color w:val="auto"/>
        </w:rPr>
      </w:pPr>
    </w:p>
    <w:p>
      <w:pPr>
        <w:ind w:left="540" w:right="200" w:hanging="424"/>
        <w:spacing w:after="0" w:line="28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guarantees on the debt securities and the identity of any guarantor thereof, the conditions of such guarantee and, if applicable, the terms and conditions upon which such guarantees may be subordinated to other indebtedness of the respective guarantors;</w:t>
      </w:r>
    </w:p>
    <w:p>
      <w:pPr>
        <w:spacing w:after="0" w:line="67" w:lineRule="exact"/>
        <w:rPr>
          <w:rFonts w:ascii="Times New Roman" w:cs="Times New Roman" w:eastAsia="Times New Roman" w:hAnsi="Times New Roman"/>
          <w:sz w:val="18"/>
          <w:szCs w:val="18"/>
          <w:color w:val="auto"/>
        </w:rPr>
      </w:pPr>
    </w:p>
    <w:p>
      <w:pPr>
        <w:ind w:left="540" w:hanging="424"/>
        <w:spacing w:after="0" w:line="28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by a trustee of an authenticating agent in one or more places other than the corporate trust office of such trustee, with power to act on behalf of such trustee, and subject to its direction, in the authentication and delivery of the debt securities of the series;</w:t>
      </w:r>
    </w:p>
    <w:p>
      <w:pPr>
        <w:spacing w:after="0" w:line="67"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trustees, depositaries, paying agents, transfer agents, exchange agents, conversion agents, registrars or other agents with respect to such series, if different from those set forth in the applicable indenture;</w:t>
      </w:r>
    </w:p>
    <w:p>
      <w:pPr>
        <w:spacing w:after="0" w:line="67" w:lineRule="exact"/>
        <w:rPr>
          <w:rFonts w:ascii="Times New Roman" w:cs="Times New Roman" w:eastAsia="Times New Roman" w:hAnsi="Times New Roman"/>
          <w:sz w:val="18"/>
          <w:szCs w:val="18"/>
          <w:color w:val="auto"/>
        </w:rPr>
      </w:pPr>
    </w:p>
    <w:p>
      <w:pPr>
        <w:ind w:left="540" w:right="580" w:hanging="424"/>
        <w:spacing w:after="0" w:line="28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the debt securities of the series, if other than the principal amount thereof, that shall be payable upon declaration of acceleration of the maturity thereof;</w:t>
      </w:r>
    </w:p>
    <w:p>
      <w:pPr>
        <w:spacing w:after="0" w:line="67" w:lineRule="exact"/>
        <w:rPr>
          <w:rFonts w:ascii="Times New Roman" w:cs="Times New Roman" w:eastAsia="Times New Roman" w:hAnsi="Times New Roman"/>
          <w:sz w:val="18"/>
          <w:szCs w:val="18"/>
          <w:color w:val="auto"/>
        </w:rPr>
      </w:pPr>
    </w:p>
    <w:p>
      <w:pPr>
        <w:ind w:left="540" w:right="100" w:hanging="424"/>
        <w:spacing w:after="0" w:line="261"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restrictive covenants or events of default that will apply to the debt securities of the series, or any changes to the restrictive covenants set forth in the applicable indenture that will apply to the debt securities of the series, which may consist of establishing different terms or provisions from those set forth in the applicable indenture or eliminating any such restrictive covenant or event of default with respect to the debt securities of the series;</w:t>
      </w:r>
    </w:p>
    <w:p>
      <w:pPr>
        <w:spacing w:after="0" w:line="85"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upon what terms debt securities of a series may be defeased if different from the provisions set forth in the applicable indenture; and</w:t>
      </w:r>
    </w:p>
    <w:p>
      <w:pPr>
        <w:spacing w:after="0" w:line="130" w:lineRule="exact"/>
        <w:rPr>
          <w:rFonts w:ascii="Times New Roman" w:cs="Times New Roman" w:eastAsia="Times New Roman" w:hAnsi="Times New Roman"/>
          <w:sz w:val="18"/>
          <w:szCs w:val="18"/>
          <w:color w:val="auto"/>
        </w:rPr>
      </w:pPr>
    </w:p>
    <w:p>
      <w:pPr>
        <w:ind w:left="540" w:right="20" w:hanging="424"/>
        <w:spacing w:after="0" w:line="266"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additional, eliminated or changed terms that shall apply to the debt securities of the series, including any terms that may be required by or advisable under United States laws or regulations, including the Securities Act of 1933, as amended (the “Securities Act”) and the rules and regulations promulgated thereunder, or advisable in connection with the marketing of debt securities of that series.</w:t>
      </w:r>
    </w:p>
    <w:p>
      <w:pPr>
        <w:spacing w:after="0" w:line="13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will comply with Section 14(e) under the Exchange Act, to the extent applicable, and any other tender offer rules under the Exchange Act that may then be applicable, in connection with any obligation to purchase debt securities at the option of the holders thereof. Any such obligation applicable to a series of debt securities will be described in the prospectus supplement relating thereto.</w:t>
      </w:r>
    </w:p>
    <w:p>
      <w:pPr>
        <w:spacing w:after="0" w:line="176"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statements made hereunder relating to the indentures and any debt securities that we may issue are summaries of certain provisions thereof and are qualified in their entirety by reference to all provisions of the indentures and the debt securities and the descriptions thereof, if different, in the applicable prospectus supplement.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Subordination of Subordinated Debt Securities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will set forth in the applicable prospectus supplement the terms and conditions, if any, upon which any series of subordinated debt securities is subordinated to debt securities of another series or to our other indebtedness. The terms will include a description of:</w:t>
      </w:r>
    </w:p>
    <w:p>
      <w:pPr>
        <w:spacing w:after="0" w:line="67" w:lineRule="exact"/>
        <w:rPr>
          <w:sz w:val="20"/>
          <w:szCs w:val="20"/>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indebtedness ranking senior to the debt securities being offered;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340" w:hanging="424"/>
        <w:spacing w:after="0" w:line="282"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if any, on payments to the holders of the debt securities being offered while a default with respect to the senior indebtedness is continuing; and</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requiring holders of the debt securities being offered to remit some payments to the holders of senior indebtedness.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If specified in the applicable prospectus supplement, we may redeem the debt securities of any series, as a whole or in part, at our option on and after the dates and in accordance with the terms established for such series, if any, in the applicable prospectus supplement. If we redeem the debt securities of any series, we also must pay accrued and unpaid interest, if any, to the date of redemption on such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Selection and Notice</w:t>
      </w:r>
    </w:p>
    <w:p>
      <w:pPr>
        <w:spacing w:after="0" w:line="121"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If less than all of the debt securities of a series are to be redeemed at any time, the trustee will select the debt securities of such series for redemption by lot, based on the applicable procedures of The Depository Trust Company (“DTC”).</w:t>
      </w:r>
    </w:p>
    <w:p>
      <w:pPr>
        <w:spacing w:after="0" w:line="162"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No debt securities in principal amount of $1,000 or less can be redeemed in part. Notices of redemption will be mailed by first-class mail (in case of notes held in book-entry form, by electronic transmission) at least 10 but not more than 60 days before the redemption date to each holder of debt securities of such series to be redeemed at its registered address, except that redemption notices may be mailed more than 60 days prior to a redemption date if the notice is issued in connection with a defeasance of the debt securities of such series or a satisfaction and discharge of the indenture.</w:t>
      </w:r>
    </w:p>
    <w:p>
      <w:pPr>
        <w:spacing w:after="0" w:line="164"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If any debt security is to be redeemed in part only, the notice of redemption that relates to that debt security will state the portion of the principal amount of that debt security that is to be redeemed. For debt securities issued in certificated form, a new certificate in principal amount equal to the unredeemed portion of the original debt security will be issued in the name of the holder of the original debt security upon cancellation of the original debt security. Debt securities called for redemption become due on the date fixed for redemption. Unless we default in payment of the redemption price, on and after the redemption date, interest will cease to accrue on the debt securities or portions of the debt securities called for redemption.</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trustee will not be liable for selections made by it as contemplated in this section. For any debt securities which are represented by global securities held on behalf of DTC, the Euroclear System (“Euroclear”) or Clearstream Banking S.A. (“Clearstream”), notices may be given by delivery of the relevant notices to DTC, Euroclear or Clearstream for communication to entitled account holders in substitution for the aforesaid mailing.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Reports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Whether or not required by the rules and regulations of the SEC, so long as any debt securities are outstanding, we shall file with the trustee, within 15 days after we are required to file the same with the SEC, copies of the annual reports and of the information, documents and other reports (or copies of such portions of any of the foregoing as the SEC may from time to time by rules and regulations prescribe) that we would be required to file with the SEC pursuant to Section 13 or Section 15(d) of the Exchange Act.</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shall be deemed to have complied with the previous sentence to the extent that such information, documents and reports are filed with the SEC via EDGAR or any successor electronic delivery procedure. Delivery of such reports, information and documents to the trustee is for informational purposes only, and the trustee’s receipt of such shall not constitute constructive notice of any information contained therein or determinable from information contained therein, including our compliance with any covenants under the indenture (as to which the trustee is entitled to rely exclusively on officers’ certificates).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121"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The following will be “Events of Default” with respect to debt securities of a particular series, except to the extent provided in the supplemental indenture, officers’ certificate or resolution of our board of directors pursuant to which a series of debt securities is issued:</w:t>
      </w:r>
    </w:p>
    <w:p>
      <w:pPr>
        <w:spacing w:after="0" w:line="67" w:lineRule="exact"/>
        <w:rPr>
          <w:sz w:val="20"/>
          <w:szCs w:val="20"/>
          <w:color w:val="auto"/>
        </w:rPr>
      </w:pPr>
    </w:p>
    <w:p>
      <w:pPr>
        <w:ind w:left="540" w:right="400" w:hanging="424"/>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paying interest on any of the debt securities of such series when it becomes due and the default continues for a period of 30 days or more;</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paying principal, or premium, if any, on any of the debt securities of such series when due;</w:t>
      </w:r>
    </w:p>
    <w:p>
      <w:pPr>
        <w:spacing w:after="0" w:line="130" w:lineRule="exact"/>
        <w:rPr>
          <w:rFonts w:ascii="Times New Roman" w:cs="Times New Roman" w:eastAsia="Times New Roman" w:hAnsi="Times New Roman"/>
          <w:sz w:val="18"/>
          <w:szCs w:val="18"/>
          <w:color w:val="auto"/>
        </w:rPr>
      </w:pPr>
    </w:p>
    <w:p>
      <w:pPr>
        <w:ind w:left="540" w:right="300" w:hanging="424"/>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sinking or purchase fund or analogous obligation when the same becomes due, and such default continues for 30 days or more;</w:t>
      </w:r>
    </w:p>
    <w:p>
      <w:pPr>
        <w:spacing w:after="0" w:line="67" w:lineRule="exact"/>
        <w:rPr>
          <w:rFonts w:ascii="Times New Roman" w:cs="Times New Roman" w:eastAsia="Times New Roman" w:hAnsi="Times New Roman"/>
          <w:sz w:val="18"/>
          <w:szCs w:val="18"/>
          <w:color w:val="auto"/>
        </w:rPr>
      </w:pPr>
    </w:p>
    <w:p>
      <w:pPr>
        <w:jc w:val="both"/>
        <w:ind w:left="540" w:hanging="424"/>
        <w:spacing w:after="0" w:line="266"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covenant in the indenture (other than defaults specified above) and the default or breach continues for a period of 90 days or more after we receive written notice from the trustee or we and the trustee receive notice from the holders of at least 25% in aggregate principal amount of the outstanding debt securities of such series;</w:t>
      </w:r>
    </w:p>
    <w:p>
      <w:pPr>
        <w:spacing w:after="0" w:line="8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reorganization, administration or similar proceedings; or</w:t>
      </w:r>
    </w:p>
    <w:p>
      <w:pPr>
        <w:spacing w:after="0" w:line="130" w:lineRule="exact"/>
        <w:rPr>
          <w:rFonts w:ascii="Times New Roman" w:cs="Times New Roman" w:eastAsia="Times New Roman" w:hAnsi="Times New Roman"/>
          <w:sz w:val="18"/>
          <w:szCs w:val="18"/>
          <w:color w:val="auto"/>
        </w:rPr>
      </w:pPr>
    </w:p>
    <w:p>
      <w:pPr>
        <w:ind w:left="540" w:right="260" w:hanging="424"/>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in the supplemental indenture, officers’ certificate or resolution of our board of directors under which such series of debt securities is issued or in the form of security for such series.</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an Event of Default (other than an Event of Default specified in the fifth bullet point above) under the indenture occurs with respect to the notes and is continuing, then the trustee or the holders of at least 25% in principal amount of the outstanding debt securities of the affected series may by written notice require us to repay immediately the entire principal amount of the outstanding notes of that series, together with all accrued and unpaid interest and premium, if any.</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under the indenture specified in the fifth bullet point above occurs and is continuing, then the entire principal amount of the outstanding debt securities of the affected series will automatically become due and payable immediately without any declaration or other act on the part of the trustee or any holder.</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After a declaration of acceleration, the holders of a majority in principal amount of outstanding debt securities of the affected series may rescind this accelerated payment requirement if (i) all existing Events of Default, except for nonpayment of the principal and interest on the debt securities of that series that has become due solely as a result of the accelerated payment requirement, have been cured or waived, (ii) the rescission of acceleration would not conflict with any judgment or decree and (iii) we have paid or deposited with the trustee a sum sufficient to pay all sums paid or advanced by the trustee and the reasonable and duly documented compensation, expenses, disbursements and advances of the trustee, its agents and counsel. The holders of a majority in principal amount of the outstanding debt securities of the affected series also have the right to waive past defaults, except a default in paying principal or interest on any outstanding note of that series, and except in respect of a covenant or a provision that cannot be modified or amended without the consent of all holders of the debt securities of that series.</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Holders of at least 25% in principal amount of the outstanding debt securities of the affected series may seek to institute a proceeding only after they have notified the trustee of a continuing Event of Default in writing and made a written request, and offered reasonable indemnity, to the trustee to institute a proceeding and the trustee has failed to do so within 60 days after it received this notice. In addition, within this 60-day period the trustee must not have received directions inconsistent with this written request by holders of a majority in principal amount of the notes of that series. These limitations do not apply, however, to a suit instituted by a holder of a note for the enforcement of the payment of principal, interest or any premium on or after the due dates for such payment.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During the existence of an Event of Default, the trustee is required to exercise the rights and powers vested in it under the indenture and to use the same degree of care and skill in its exercise as a prudent person would use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reasonable security or indemnity. Subject to certain provisions, the holders of a majority in principal amount of the outstanding debt securities of the affected series have the right to direct the time, method and place of conducting any proceeding for any remedy available to the trustee, or exercising any trust or power conferred on the trustee.</w:t>
      </w:r>
    </w:p>
    <w:p>
      <w:pPr>
        <w:spacing w:after="0" w:line="187"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trustee will, within 90 days after any default occurs, give notice of the default to the holders of the notes of the affected series, unless the default was already cured or waived. Unless there is a default in paying principal, interest or any premium when due, the trustee can withhold giving notice to the holders if it determines in good faith that the withholding of notice is in the interest of the holders.</w:t>
      </w:r>
    </w:p>
    <w:p>
      <w:pPr>
        <w:spacing w:after="0" w:line="176"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The trustee is not to be charged with knowledge of any Event of Default or knowledge of any cure of any Event of Default unless either (i) an authorized officer or agent of the trustee with direct responsibility for the administration of the indenture has actual knowledge of such Event of Default or (ii) written notice of such Event of Default has been given to such authorized officer of the trustee by the Issuer or any holder of the debt securities.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Although the indentures generally do not contain financial or similar restrictive covenants, unless otherwise specified in the applicable prospectus supplement, the debt securities will contain the additional covenants described below that are not contained in the indentures.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Repurchase Upon Change of Control Triggering Event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 change of control requiring us to repurchase all, or part, of the debt securities as described below will be triggered in the event that the debt securities notes cease to be rated equal to or higher than BBB- (or the equivalent) by Fitch Inc. (“Fitch”), Baa3 (or the equivalent) by Moody’s Investors Service, Inc. (“Moody’s”) or BBB- (or the equivalent) by Standard &amp; Poor’s Rating Services (“S&amp;P”), and the equivalent investment grade credit rating from any replacement rating agency or rating agencies selected by us on any date during the 60-day period commencing upon the earlier of (1) the first public announcement of the Change of Control or our intention to effect a Change of Control and (2) the consummation of such Change of Control, which period will be extended following consummation of a Change of Control for so long as the rating of the debt securities is under publicly announced consideration for possible downgrade by any of the rating agencies. Unless at least one rating agency is providing a rating for the notes at the commencement of any such period, the notes will be deemed to have ceased to be rated as described above during such period. Notwithstanding the foregoing, no event triggering a change of control will be deemed to have occurred in connection with any particular Change of Control unless and until such Change of Control has actually been consummated.</w:t>
      </w:r>
    </w:p>
    <w:p>
      <w:pPr>
        <w:spacing w:after="0" w:line="194"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If an event triggering a change of control occurs, unless we have exercised our right to redeem the debt securities of a series pursuant to the terms of such series, we will be required to make an offer to repurchase all or, at the holder’s option, any part (equal to $2,000 or any multiple of $1,000 in excess thereof) of each holder’s debt securities on the terms set forth in the debt securities. In such offer, we will be required to offer payment in cash equal to 101% of the aggregate principal amount of the debt securities repurchased plus accrued and unpaid interest, if any, on the debt securities repurchased, to, but not including, the date of purchase.</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Within 30 days following any event triggering a change of control or, at our option, prior to any change of control, but after public announcement of the transaction that constitutes or may constitute the change of control, a notice will be mailed to holders of the notes (with a copy mailed to the trustee) describing the transaction that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constitutes or may constitute the change of control triggering event and offering to repurchase such notes on the date specified in the notice, which date will be no earlier than 30 days and no later than 60 days from the date such notice is mailed. The notice, if mailed prior to the date of consummation of the change of control, will state that the change of control offer is conditioned on the change of control triggering event occurring on or prior to such payment date.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such payment date, we will be required, to the extent lawful, to:</w:t>
      </w:r>
    </w:p>
    <w:p>
      <w:pPr>
        <w:spacing w:after="0" w:line="131" w:lineRule="exact"/>
        <w:rPr>
          <w:sz w:val="20"/>
          <w:szCs w:val="20"/>
          <w:color w:val="auto"/>
        </w:rPr>
      </w:pPr>
    </w:p>
    <w:p>
      <w:pPr>
        <w:ind w:left="540" w:hanging="424"/>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debt securities or portions of debt securities properly tendered pursuant to the offer described in the first paragraph above;</w:t>
      </w:r>
    </w:p>
    <w:p>
      <w:pPr>
        <w:spacing w:after="0" w:line="130" w:lineRule="exact"/>
        <w:rPr>
          <w:rFonts w:ascii="Times New Roman" w:cs="Times New Roman" w:eastAsia="Times New Roman" w:hAnsi="Times New Roman"/>
          <w:sz w:val="18"/>
          <w:szCs w:val="18"/>
          <w:color w:val="auto"/>
        </w:rPr>
      </w:pPr>
    </w:p>
    <w:p>
      <w:pPr>
        <w:ind w:left="540" w:right="40" w:hanging="424"/>
        <w:spacing w:after="0" w:line="282"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required payment in respect of all debt securities or portions of notes debt securities properly tendered; and</w:t>
      </w:r>
    </w:p>
    <w:p>
      <w:pPr>
        <w:spacing w:after="0" w:line="67" w:lineRule="exact"/>
        <w:rPr>
          <w:rFonts w:ascii="Times New Roman" w:cs="Times New Roman" w:eastAsia="Times New Roman" w:hAnsi="Times New Roman"/>
          <w:sz w:val="18"/>
          <w:szCs w:val="18"/>
          <w:color w:val="auto"/>
        </w:rPr>
      </w:pPr>
    </w:p>
    <w:p>
      <w:pPr>
        <w:ind w:left="540" w:right="520" w:hanging="424"/>
        <w:spacing w:after="0" w:line="282"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debt securities properly accepted together with an officer’s certificate stating the aggregate principal amount of debt securities or portions of debt securities being purchased by us.</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paying agent will be required to promptly mail to each holder who properly tendered debt securities the purchase price for such debt securities, and the trustee will be required to promptly authenticate and mail (or cause to be transferred by book entry) to each such holder a new debt security equal in principal amount to any unpurchased portion of the debt securities surrendered, if any; provided that each new debt security will be in a principal amount of $2,000 or a multiple of $1,000 in excess thereof.</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will not be required to make an offer upon an event triggering a change of control if a third party makes such an offer in the manner, at the times and otherwise in compliance with the requirements for an offer made by us and such third party purchases all debt securities properly tendered and not withdrawn under its offer. In the event that such third party terminates or defaults its offer, we will be required to make an offer treating the date of such termination or default as though it were the date of such change of control triggering event.</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In addition, we will not repurchase any debt securities if there has occurred and is continuing on the relevant payment date an event of default under the indenture, other than a default in the payment of the change of control payment upon a change of control triggering event.</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To the extent that we are required to offer to repurchase the debt securities upon the occurrence of a change of control triggering event, we may not have sufficient funds to repurchase the debt securities in cash at such time. In addition, our ability to repurchase the debt securities for cash may be limited by law or the terms of other agreements relating to our indebtedness outstanding at the time. The failure to make such repurchase would result in a default under the debt securities.</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will comply with the requirements of Rule 14e-1 under the Exchange Act, and any other securities laws and regulations thereunder to the extent those laws and regulations are applicable in connection with the repurchase of the debt securities as a result of a change of control triggering event. To the extent that the provision of any such securities laws or regulations conflicts with the offer provisions in respect of a change of control of the debt securities, we will comply with those securities laws and regulations and will not be deemed to have breached our obligations under such offer provisions by virtue of any such conflict.</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definition of Change of Control includes a phrase relating to the direct or indirect sale, lease, transfer, conveyance or other disposition of “all or substantially all” of our properties or assets and those of our subsidiaries taken as a whole. Although there is a limited body of case law interpreting the phrase “substantially all,” there is no precise established definition of the phrase under applicable law. Accordingly, the ability of a holder of notes to require us to repurchase its notes as a result of a sale, lease, transfer, conveyance or other disposition of less than all of our assets and those of our subsidiaries, taken as a whole, to another person or group may be uncertain. In such case, holders of the notes may not be able to resolve this uncertainty without resorting to legal action.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the foregoing, the following term will be applicable:</w:t>
      </w:r>
    </w:p>
    <w:p>
      <w:pPr>
        <w:spacing w:after="0" w:line="223"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means the occurrence of any one of the following: (1) the direct or indirect sale, lease, transfer, conveyance or other disposition (other than by way of merger, amalgamation, arrangement or consolidation), in one or a series of related transactions, of all or substantially all of our properties or assets and those of our subsidiaries, taken as a whole, to one or more persons, other than to us or one of our subsidiaries; (2) the first day on which a majority of the members of our board of directors is not composed of directors who (a) were members of our board of directors on the issue date or (b) were nominated for election, elected or appointed to our board of directors with the approval of a majority of the directors who were members of our board of directors at the time of such nomination, election or appointment (either by a specific vote or by approval by such directors of our proxy statement in which such member was named as a nominee for election as a director); (3) the consummation of any transaction including, without limitation, any merger, amalgamation, arrangement or consolidation the result of which is that any person becomes the beneficial owner, directly or indirectly, of more than 50% of our voting stock; (4) we consolidate with, or merge with or into, any person, or any person consolidates with, or merges with or into, us, in any such event pursuant to a transaction in which any of the outstanding Voting Stock of us or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immediately after giving effect to such transaction; or (5) the adoption of a plan relating to our liquidation or dissolution (other than our liquidation into a newly formed holding company). Notwithstanding the foregoing, a transaction described in clause (3) above will not be deemed to involve a Change of Control if (1) the Company becomes a direct or indirect wholly-owned subsidiary of a holding company (which shall include a parent company) and</w:t>
      </w: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(2)(A) the direct or indirect holders of the voting stock of such holding company immediately following that transaction are substantially the same as, and hold in substantially the same proportions as, the holders of the Company’s voting stock immediately prior to that transaction or (B) immediately following that transaction no person (other than a holding company satisfying the requirements of this sentence) is the beneficial owner, directly or indirectly, of more than 50% of the then outstanding voting stock, measured by voting power, of such holding company. Following any such transaction, references in this definition to the Company shall be deemed to refer to such holding company. For the purposes of this definition, “person” and “beneficial owner” have the meanings used in Section 13(d) of the Exchange Act.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Covenants</w:t>
      </w:r>
    </w:p>
    <w:p>
      <w:pPr>
        <w:spacing w:after="0" w:line="121" w:lineRule="exact"/>
        <w:rPr>
          <w:sz w:val="20"/>
          <w:szCs w:val="20"/>
          <w:color w:val="auto"/>
        </w:rPr>
      </w:pPr>
    </w:p>
    <w:p>
      <w:pPr>
        <w:jc w:val="both"/>
        <w:ind w:left="120" w:right="640" w:firstLine="440"/>
        <w:spacing w:after="0" w:line="266" w:lineRule="auto"/>
        <w:rPr>
          <w:sz w:val="20"/>
          <w:szCs w:val="20"/>
          <w:color w:val="auto"/>
        </w:rPr>
      </w:pPr>
      <w:r>
        <w:rPr>
          <w:rFonts w:ascii="Times New Roman" w:cs="Times New Roman" w:eastAsia="Times New Roman" w:hAnsi="Times New Roman"/>
          <w:sz w:val="18"/>
          <w:szCs w:val="18"/>
          <w:color w:val="auto"/>
        </w:rPr>
        <w:t>Unless we indicate otherwise in the applicable prospectus supplement, the debt securities will not contain any financial covenants or other restrictive provisions designed to protect holders of the debt securities in the event of a highly leveraged transaction. The indentures contain the following covenants: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Liens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will not, and we will not permit any of our restricted subsidiaries to, incur, suffer to exist or guarantee any debt secured by a lien on any principal property or on any shares of stock of (or other interests in) any of our restricted subsidiaries unless we or such restricted subsidiary secures or we cause such restricted subsidiary to secure the debt securities (and any of its or such restricted subsidiary’s other debt, at its option or such restricted subsidiary’s option, as the case may be, not subordinate to the debt securities), equally and ratably with (or prior to) such secured debt, for as long as such secured debt will be so secured.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restrictions will not, however, apply to debt secured by:</w:t>
      </w:r>
    </w:p>
    <w:p>
      <w:pPr>
        <w:spacing w:after="0" w:line="131" w:lineRule="exact"/>
        <w:rPr>
          <w:sz w:val="20"/>
          <w:szCs w:val="20"/>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liens existing prior to the issuance of the debt securities;</w:t>
      </w:r>
    </w:p>
    <w:p>
      <w:pPr>
        <w:spacing w:after="0" w:line="130" w:lineRule="exact"/>
        <w:rPr>
          <w:rFonts w:ascii="Times New Roman" w:cs="Times New Roman" w:eastAsia="Times New Roman" w:hAnsi="Times New Roman"/>
          <w:sz w:val="18"/>
          <w:szCs w:val="18"/>
          <w:color w:val="auto"/>
        </w:rPr>
      </w:pPr>
    </w:p>
    <w:p>
      <w:pPr>
        <w:ind w:left="540" w:right="620" w:hanging="424"/>
        <w:spacing w:after="0" w:line="282"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 on property of or shares of stock of (or other interests in) or debt of any entity existing at the time such entity becomes a restricted subsidiary;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55"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line="256"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liens on property, shares of stock (or other interests in) or debt of any entity (i) existing at the time of acquisition of such property or shares (or other interests) (including acquisition through merger or consolidation), (ii) to secure the payment of all or any part of the purchase price of such property or shares (or other interests) or the costs of construction or improvement of such property or (iii) to secure any debt incurred prior to, at the time of, or within 180 days after the later of the acquisition, the completion of construction or the commencement of full operation of such property or within 180 days after the acquisition of such shares (or other interests) for the purpose of financing all or any part of the purchase price of such property or shares (or other interests) or the costs of construction thereon;</w:t>
      </w:r>
    </w:p>
    <w:p>
      <w:pPr>
        <w:spacing w:after="0" w:line="9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liens in favor of us or any of our restricted subsidiaries;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liens in favor of, or required by contracts with, governmental entities; or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or refunding of liens referred to in any of the preceding clauses.</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we or any of our restricted subsidiaries may incur, suffer to exist or guarantee any debt secured by a lien on any principal property or on any shares of stock of (or other interests in) any of our restricted subsidiaries if, after giving effect thereto and together with the value of attributable debt outstanding pursuant to the second paragraph of the “—Limitation on Sale and Lease-Back Transactions” covenant below, the aggregate amount of such debt does not exceed 15% of our consolidated net tangible assets.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indenture does not restrict the transfer by us of a principal property to any of our unrestricted subsidiaries or our ability to change the designation of a subsidiary owning principal property from a restricted subsidiary to an unrestricted subsidiary and, if we were to do so, any such unrestricted subsidiary would not be restricted from incurring secured debt nor would we be required, upon such incurrence, to secure the debt securities equally and ratably with such secured debt.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 on Sale and Lease-Back Transactions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will not enter into any sale and lease-back transaction with respect to any principal property, other than any such sale and lease-back transaction involving a lease for a term of not more than three years or any such sale and lease-back transaction between us and one of our restricted subsidiaries or between our restricted subsidiaries, unless: (i) we or such restricted subsidiary would be entitled to incur debt secured by a lien on the principal property involved in such sale and lease-back transaction at least equal in amount to the attributable debt with respect to such sale and lease-back transaction, without equally and ratably securing the debt securities, pursuant to the covenant described above under the caption “—Limitation on Liens”; or (ii) the proceeds of such sale and lease-back transaction are at least equal to the fair market value of the affected principal property (as determined in good faith by our board of directors) and we apply an amount equal to the net proceeds of such sale and lease-back transaction within 180 days of such sale and lease-back transaction to any (or a combination) of (a) the prepayment or retirement of the debt securities, (b) the prepayment or retirement (other than any mandatory retirement, mandatory prepayment or sinking fund payment or by payment at maturity) of other debt of us or of one of our restricted subsidiaries (other than debt that is subordinated to the debt securities or debt owed to us or one of our restricted subsidiaries) that matures more than 12 months after its creation or matures less than 12 months after its creation but by its terms being renewable or extendible, at the option of the obligor in respect thereof, beyond 12 months from its creation or (c) the purchase, construction, development, expansion or improvement of other comparable property.</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restrictions in the preceding paragraph, we will be permitted to enter into sale and lease-back transactions otherwise prohibited by this covenant, the attributable debt with respect to which, together with all debt outstanding pursuant to the third paragraph of the “— Limitation on Liens” covenant above, without duplication, do not exceed 15% of consolidated net tangible assets measured at the closing date of the sale and lease-back transaction.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are definitions of some terms used in the above description. We refer you to the indenture for a full description of all of these terms, as well as any other terms used herein for which no definition is provided.</w:t>
      </w:r>
    </w:p>
    <w:p>
      <w:pPr>
        <w:spacing w:after="0" w:line="160"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attributable debt</w:t>
      </w:r>
      <w:r>
        <w:rPr>
          <w:rFonts w:ascii="Times New Roman" w:cs="Times New Roman" w:eastAsia="Times New Roman" w:hAnsi="Times New Roman"/>
          <w:sz w:val="18"/>
          <w:szCs w:val="18"/>
          <w:color w:val="auto"/>
        </w:rPr>
        <w:t>” with regard to a sale and lease-back transaction with respect to any principal property means, at the time of determination, the present value of the total net amount of rent required to be paid under such lease during the remaining term thereof (including any period for which such lease has been extended), discounted at the rate of interest set forth or implicit in the terms of such lease (or, if not practicable to determine such rate, the weighted average interest rate per annum borne by the notes then outstanding under the indenture) compounded semi-annually. In the case of any lease which is terminable by the lessee upon the payment of a penalty, such net amount shall be the lesser of (x) the net amount determined assuming termination upon the first date such lease may be terminated (in which case the net amount shall also include the amount of the penalty, but shall not include any rent that would be required to be paid under such lease subsequent to the first date upon which it may be so terminated) or (y) the net amount determined assuming no such termination.</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tangible assets</w:t>
      </w:r>
      <w:r>
        <w:rPr>
          <w:rFonts w:ascii="Times New Roman" w:cs="Times New Roman" w:eastAsia="Times New Roman" w:hAnsi="Times New Roman"/>
          <w:sz w:val="18"/>
          <w:szCs w:val="18"/>
          <w:color w:val="auto"/>
        </w:rPr>
        <w:t>” means the total amount of our assets and our restricted subsidiaries’ assets minus:</w:t>
      </w:r>
    </w:p>
    <w:p>
      <w:pPr>
        <w:spacing w:after="0" w:line="133" w:lineRule="exact"/>
        <w:rPr>
          <w:sz w:val="20"/>
          <w:szCs w:val="20"/>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applicable depreciation, amortization and other valuation reserves;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liabilities of ours and our restricted subsidiaries (excluding any intercompany liabilities); and</w:t>
      </w:r>
    </w:p>
    <w:p>
      <w:pPr>
        <w:spacing w:after="0" w:line="130" w:lineRule="exact"/>
        <w:rPr>
          <w:rFonts w:ascii="Times New Roman" w:cs="Times New Roman" w:eastAsia="Times New Roman" w:hAnsi="Times New Roman"/>
          <w:sz w:val="18"/>
          <w:szCs w:val="18"/>
          <w:color w:val="auto"/>
        </w:rPr>
      </w:pPr>
    </w:p>
    <w:p>
      <w:pPr>
        <w:ind w:left="540" w:right="200" w:hanging="424"/>
        <w:spacing w:after="0" w:line="282"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goodwill, trade names, trademarks, patents, unamortized debt discount and expenses and other like intangibles, all as set forth on our and our restricted subsidiaries’ latest consolidated balance sheets prepared in accordance with U.S. GAAP.</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means any indebtedness for borrowed money.</w:t>
      </w:r>
    </w:p>
    <w:p>
      <w:pPr>
        <w:spacing w:after="0" w:line="225"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property</w:t>
      </w:r>
      <w:r>
        <w:rPr>
          <w:rFonts w:ascii="Times New Roman" w:cs="Times New Roman" w:eastAsia="Times New Roman" w:hAnsi="Times New Roman"/>
          <w:sz w:val="18"/>
          <w:szCs w:val="18"/>
          <w:color w:val="auto"/>
        </w:rPr>
        <w:t>” means any single manufacturing or processing plant, office building or warehouse owned or leased by us or any of our restricted subsidiaries which has a gross book value in excess of 2% of our consolidated net tangible assets other than a plant, warehouse, office building or portion thereof which, in the opinion of our Board of Directors, is not of material importance to the business conducted by the Company and its restricted subsidiaries as an entirety.</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restricted subsidiary</w:t>
      </w:r>
      <w:r>
        <w:rPr>
          <w:rFonts w:ascii="Times New Roman" w:cs="Times New Roman" w:eastAsia="Times New Roman" w:hAnsi="Times New Roman"/>
          <w:sz w:val="18"/>
          <w:szCs w:val="18"/>
          <w:color w:val="auto"/>
        </w:rPr>
        <w:t>” means, at any time, any subsidiary which at the time is not an unrestricted subsidiary of ours.</w:t>
      </w:r>
    </w:p>
    <w:p>
      <w:pPr>
        <w:spacing w:after="0" w:line="225" w:lineRule="exact"/>
        <w:rPr>
          <w:sz w:val="20"/>
          <w:szCs w:val="20"/>
          <w:color w:val="auto"/>
        </w:rPr>
      </w:pPr>
    </w:p>
    <w:p>
      <w:pPr>
        <w:ind w:left="120" w:right="1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any entity, at least a majority of the outstanding voting stock of which shall at the time be owned, directly or indirectly, by us or by one or more of our subsidiaries, or both.</w:t>
      </w:r>
    </w:p>
    <w:p>
      <w:pPr>
        <w:spacing w:after="0" w:line="15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unrestricted subsidiary</w:t>
      </w:r>
      <w:r>
        <w:rPr>
          <w:rFonts w:ascii="Times New Roman" w:cs="Times New Roman" w:eastAsia="Times New Roman" w:hAnsi="Times New Roman"/>
          <w:sz w:val="18"/>
          <w:szCs w:val="18"/>
          <w:color w:val="auto"/>
        </w:rPr>
        <w:t>” means any subsidiary of ours (not at the time designated as our restricted subsidiary) (1) the major part of whose business consists of finance, banking, credit, leasing, insurance, financial services or other similar operations, or any combination thereof, (2) substantially all the assets of which consist of the capital stock of one or more subsidiaries engaged in the operations referred to in the preceding clause (1), or (3) designated as an unrestricted subsidiary by our Board of Directors and which, in the opinion of our Board of Directors, is not of material importance to the business conducted by the Company and its restricted subsidiaries as an entity.</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Consolidation, Merger or Sale of Assets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may consolidate or merge with or into, or convey or transfer all or substantially all of our assets to, any entity (including, without limitation, a limited partnership or a limited liability company); provided that:</w:t>
      </w:r>
    </w:p>
    <w:p>
      <w:pPr>
        <w:spacing w:after="0" w:line="67" w:lineRule="exact"/>
        <w:rPr>
          <w:sz w:val="20"/>
          <w:szCs w:val="20"/>
          <w:color w:val="auto"/>
        </w:rPr>
      </w:pPr>
    </w:p>
    <w:p>
      <w:pPr>
        <w:jc w:val="both"/>
        <w:ind w:left="540" w:right="60" w:hanging="424"/>
        <w:spacing w:after="0" w:line="266"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the surviving corporation or, if not, that the successor will be a corporation that is organized and validly existing under the laws of any state of the United States of America or the District of Columbia and will expressly assume by a supplemental indenture our obligations under the indenture and the debt securities;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100" w:hanging="424"/>
        <w:spacing w:after="0" w:line="282"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event of default, and no default or other event which, after notice or lapse of time, or both, would become an event of default, will have happened and be continuing; and</w:t>
      </w:r>
    </w:p>
    <w:p>
      <w:pPr>
        <w:spacing w:after="0" w:line="67" w:lineRule="exact"/>
        <w:rPr>
          <w:rFonts w:ascii="Times New Roman" w:cs="Times New Roman" w:eastAsia="Times New Roman" w:hAnsi="Times New Roman"/>
          <w:sz w:val="18"/>
          <w:szCs w:val="18"/>
          <w:color w:val="auto"/>
        </w:rPr>
      </w:pPr>
    </w:p>
    <w:p>
      <w:pPr>
        <w:ind w:left="540" w:right="40" w:hanging="424"/>
        <w:spacing w:after="0" w:line="282"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delivered to the trustee an opinion of counsel, stating that such consolidation, merger, conveyance or transfer and such supplemental indenture, if any, complies with the indenture.</w:t>
      </w:r>
    </w:p>
    <w:p>
      <w:pPr>
        <w:spacing w:after="0" w:line="16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In the event of any such consolidation, merger, conveyance, transfer or lease, any such successor will succeed to and be substituted for us as obligor on the notes with the same effect as if it had been named in the indenture as obligor.</w:t>
      </w:r>
    </w:p>
    <w:p>
      <w:pPr>
        <w:spacing w:after="0" w:line="162"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 trustee will be entitled to conclusively rely on and will accept such opinion as sufficient evidence of the satisfaction of the conditions precedent set forth in the third clause above, in which event it shall be conclusive and binding on the holders of the debt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Modification and Waiver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indenture may be amended or modified without the consent of any holder of the debt securities of any series in order to:</w:t>
      </w:r>
    </w:p>
    <w:p>
      <w:pPr>
        <w:spacing w:after="0" w:line="131" w:lineRule="exact"/>
        <w:rPr>
          <w:sz w:val="20"/>
          <w:szCs w:val="20"/>
          <w:color w:val="auto"/>
        </w:rPr>
      </w:pPr>
    </w:p>
    <w:p>
      <w:pPr>
        <w:ind w:left="540" w:hanging="424"/>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a succession to the trustee;</w:t>
      </w:r>
    </w:p>
    <w:p>
      <w:pPr>
        <w:spacing w:after="0" w:line="130" w:lineRule="exact"/>
        <w:rPr>
          <w:rFonts w:ascii="Times New Roman" w:cs="Times New Roman" w:eastAsia="Times New Roman" w:hAnsi="Times New Roman"/>
          <w:sz w:val="18"/>
          <w:szCs w:val="18"/>
          <w:color w:val="auto"/>
        </w:rPr>
      </w:pPr>
    </w:p>
    <w:p>
      <w:pPr>
        <w:ind w:left="540" w:right="260" w:hanging="424"/>
        <w:spacing w:after="0" w:line="282"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ambiguities, defects or inconsistencies or make any other change that does not adversely affect in any material respect the interests of any holder;</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assumption of our obligations in the case of a merger or consolidation or transfer of all or substantially all of our assets;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would provide any additional rights or benefits to the holders of the debt securities of any series;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guarantors with respect to the debt securities of any series;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debt securities of any series;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the form or forms of the debt securities of any series; or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qualification of the indenture under the Trust Indenture Act.</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Other amendments to and modifications of the indenture or the debt securities of any series issued may be made with the consent of the holders of not less than a majority of the aggregate principal amount of the outstanding series affected by the amendment or modification. However, no modification or amendment may, without the consent of the holder of each affected outstanding debt security:</w:t>
      </w:r>
    </w:p>
    <w:p>
      <w:pPr>
        <w:spacing w:after="0" w:line="81" w:lineRule="exact"/>
        <w:rPr>
          <w:sz w:val="20"/>
          <w:szCs w:val="20"/>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or extend the fixed maturity, of the debt securities of any series;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 or waive the redemption provisions of the debt securities of any series;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currency in which principal, any premium or interest is paid;</w:t>
      </w:r>
    </w:p>
    <w:p>
      <w:pPr>
        <w:spacing w:after="0" w:line="130" w:lineRule="exact"/>
        <w:rPr>
          <w:rFonts w:ascii="Times New Roman" w:cs="Times New Roman" w:eastAsia="Times New Roman" w:hAnsi="Times New Roman"/>
          <w:sz w:val="18"/>
          <w:szCs w:val="18"/>
          <w:color w:val="auto"/>
        </w:rPr>
      </w:pPr>
    </w:p>
    <w:p>
      <w:pPr>
        <w:ind w:left="540" w:right="260" w:hanging="424"/>
        <w:spacing w:after="0" w:line="282" w:lineRule="auto"/>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outstanding of the debt securities of any series which must consent to an amendment, supplement or waiver or consent to take any action;</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the debt securities of any series;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payment default with respect to the debt securities of any series;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interest rate or extend the time for payment of interest on the debt securities of any series; or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ranking of the debt securities of any series.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80"/>
          </w:cols>
          <w:pgMar w:left="320" w:top="455"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Concerning the Trustee</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If an Event of Default occurs and is continuing, the trustee will be required to use the degree of care and skill of a prudent person in the conduct of his or her own affairs. The trustee will become obligated to exercise any of its powers under the indenture at the request of any of the holders of any debt securities issued under the indenture only after those holders have furnished the trustee reasonable security or indemnity against the costs, expenses and liabilities which might be incurred by it in compliance with such request or direction.</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If the trustee becomes a creditor of ours, it will be subject to limitations in the indenture on its rights to obtain payment of claims or to realize on certain property received for any such claim, as security or otherwise. The trustee is permitted to engage in other transactions with us. If, however, it acquires any conflicting interest, it must eliminate such conflict, resign or obtain an order from the SEC permitting it to remain as trustee.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Paying Agent and Security Registrar</w:t>
      </w:r>
    </w:p>
    <w:p>
      <w:pPr>
        <w:spacing w:after="0" w:line="121"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will maintain one or more paying agents (each, a “Paying Agent”) for any debt securities we issue in New York, New York. We, upon written notice to the trustee accompanied by an officers’ certificate, may appoint one or more Paying Agents, other than the trustee, for all or any series of such debt securities. If we fail to appoint or maintain another entity as Paying Agent, the trustee shall act as such. We or any of our subsidiaries, upon notice to the trustee, may act as Paying Agent.</w:t>
      </w:r>
    </w:p>
    <w:p>
      <w:pPr>
        <w:spacing w:after="0" w:line="180" w:lineRule="exact"/>
        <w:rPr>
          <w:sz w:val="20"/>
          <w:szCs w:val="20"/>
          <w:color w:val="auto"/>
        </w:rPr>
      </w:pPr>
    </w:p>
    <w:p>
      <w:pPr>
        <w:jc w:val="both"/>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We will also maintain one or more security registrars (each, a “Security Registrar”) with an office in New York, New York. We, upon written notice to the trustee accompanied by an officers’ certificate, may appoint one or more registrars, other than the trustee, for all or any series of debt securities. If we fail to appoint or maintain another entity as registrar, the trustee shall act as such. We or any of our subsidiaries, upon notice to the trustee, may act as registrar.</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Security Registrar will maintain a register reflecting ownership of debt securities outstanding from time to time, and the Paying Agents will make payments on and facilitate transfer of debt securities on our behalf. We may change any Paying Agents or Security Registrars without prior notice to the holders of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indenture and any debt securities issued thereunder shall be deemed to be a contract made under the internal laws of the State of New York, and for all purposes shall be construed in accordance with the laws of the State of New York without regard to conflicts of laws principles that would require the application of any other law. The indenture is subject to the provisions of the Trust Indenture Act that are required to be part of the indenture and shall, to the extent applicable, be governed by such provisions.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Satisfaction, Discharge and Defeasance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terminate our obligations with respect to the debt securities of any series under the indenture when:</w:t>
      </w:r>
    </w:p>
    <w:p>
      <w:pPr>
        <w:spacing w:after="0" w:line="131" w:lineRule="exact"/>
        <w:rPr>
          <w:sz w:val="20"/>
          <w:szCs w:val="20"/>
          <w:color w:val="auto"/>
        </w:rPr>
      </w:pPr>
    </w:p>
    <w:p>
      <w:pPr>
        <w:ind w:left="540" w:hanging="424"/>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debt securities of any series issued that have been authenticated have been delivered to the trustee for cancellation; or</w:t>
      </w:r>
    </w:p>
    <w:p>
      <w:pPr>
        <w:spacing w:after="0" w:line="130" w:lineRule="exact"/>
        <w:rPr>
          <w:rFonts w:ascii="Times New Roman" w:cs="Times New Roman" w:eastAsia="Times New Roman" w:hAnsi="Times New Roman"/>
          <w:sz w:val="18"/>
          <w:szCs w:val="18"/>
          <w:color w:val="auto"/>
        </w:rPr>
      </w:pPr>
    </w:p>
    <w:p>
      <w:pPr>
        <w:ind w:left="540" w:right="20" w:hanging="424"/>
        <w:spacing w:after="0" w:line="258"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debt securities of any series issued that have not been delivered to the trustee for cancellation have become due and payable, will become due and payable within one year, or are to be called for redemption within one year and we have made arrangements satisfactory to the trustee for the giving of notice of redemption by such trustee in our name and at our expense, and in each case, we have irrevocably deposited or caused to be deposited with the trustee sufficient funds to pay and discharge the entire indebtedness on the notes to pay principal, interest and any premium; and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then due and payable under the indenture; and</w:t>
      </w:r>
    </w:p>
    <w:p>
      <w:pPr>
        <w:spacing w:after="0" w:line="130" w:lineRule="exact"/>
        <w:rPr>
          <w:rFonts w:ascii="Times New Roman" w:cs="Times New Roman" w:eastAsia="Times New Roman" w:hAnsi="Times New Roman"/>
          <w:sz w:val="18"/>
          <w:szCs w:val="18"/>
          <w:color w:val="auto"/>
        </w:rPr>
      </w:pPr>
    </w:p>
    <w:p>
      <w:pPr>
        <w:ind w:left="540" w:right="280" w:hanging="424"/>
        <w:spacing w:after="0" w:line="282"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each stating that all conditions precedent under the indenture relating to the satisfaction and discharge of the indenture have been complied with.</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may elect to have our obligations under the indenture discharged with respect to the outstanding debt securities of any series (“legal defeasance”). Legal defeasance means that we will be deemed to have paid and discharged the entire indebtedness represented by the outstanding debt securities of such series under the indenture, except for:</w:t>
      </w:r>
    </w:p>
    <w:p>
      <w:pPr>
        <w:spacing w:after="0" w:line="81" w:lineRule="exact"/>
        <w:rPr>
          <w:sz w:val="20"/>
          <w:szCs w:val="20"/>
          <w:color w:val="auto"/>
        </w:rPr>
      </w:pPr>
    </w:p>
    <w:p>
      <w:pPr>
        <w:ind w:left="540" w:hanging="424"/>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 of the debt securities to receive principal, interest and any premium when due;</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mutilated, destroyed, lost or stolen debt securities and the maintenance of an office or agency for payment for security payments held in trust;</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and</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provisions of the indenture.</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we may elect to have our obligations released with respect to certain covenants in the indenture (“covenant defeasance”). Any omission to comply with these obligations will not constitute a default or an event of default with respect to the debt securities of any series. In the event covenant defeasance occurs, certain events, not including non-payment, bankruptcy and insolvency events, described under “—Events of Default” will no longer constitute an event of default for that series.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order to exercise either legal defeasance or covenant defeasance with respect to the outstanding debt securities of any series:</w:t>
      </w:r>
    </w:p>
    <w:p>
      <w:pPr>
        <w:spacing w:after="0" w:line="131" w:lineRule="exact"/>
        <w:rPr>
          <w:sz w:val="20"/>
          <w:szCs w:val="20"/>
          <w:color w:val="auto"/>
        </w:rPr>
      </w:pPr>
    </w:p>
    <w:p>
      <w:pPr>
        <w:ind w:left="540" w:right="260" w:hanging="424"/>
        <w:spacing w:after="0" w:line="282"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irrevocably have deposited or caused to be deposited with the trustee as trust funds for the purpose of making the following payments, specifically pledged as security for, and dedicated solely to the benefits of the holders of the debt securities of a series:</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in an amount;</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obligations that will provide, not later than one day before the due date of any payment, money in an amount; or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money and U.S. government obligations (or equivalent government obligations, as applicable),</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 each case sufficient, in the written opinion of a nationally recognized firm of independent registered public accountants to pay and discharge, and which shall be applied by the trustee to pay and discharge, all of the principal (including mandatory sinking fund payments), interest and any premium at due date or maturity;</w:t>
      </w:r>
    </w:p>
    <w:p>
      <w:pPr>
        <w:spacing w:after="0" w:line="81" w:lineRule="exact"/>
        <w:rPr>
          <w:sz w:val="20"/>
          <w:szCs w:val="20"/>
          <w:color w:val="auto"/>
        </w:rPr>
      </w:pPr>
    </w:p>
    <w:p>
      <w:pPr>
        <w:ind w:left="540" w:right="40" w:hanging="424"/>
        <w:spacing w:after="0" w:line="258"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we have delivered to the trustee an opinion of counsel stating that (i) we have received from, or there has been published by, the U.S. Internal Revenue Service, a ruling, or (ii) since the issuance of the debt securities, there has been a change in applicable U.S. federal income tax law, in either case to the effect that the holders of the debt securities of that series will not recognize income, gain or loss for U.S. federal income tax purposes as a result of the deposit, defeasance and discharge to be effected and will be subject to the same U.S. federal income tax as would be the case if the deposit, defeasance and discharge did not occur;</w:t>
      </w:r>
    </w:p>
    <w:p>
      <w:pPr>
        <w:spacing w:after="0" w:line="88" w:lineRule="exact"/>
        <w:rPr>
          <w:rFonts w:ascii="Times New Roman" w:cs="Times New Roman" w:eastAsia="Times New Roman" w:hAnsi="Times New Roman"/>
          <w:sz w:val="18"/>
          <w:szCs w:val="18"/>
          <w:color w:val="auto"/>
        </w:rPr>
      </w:pPr>
    </w:p>
    <w:p>
      <w:pPr>
        <w:jc w:val="both"/>
        <w:ind w:left="540" w:hanging="424"/>
        <w:spacing w:after="0" w:line="266"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have delivered to the trustee an opinion of counsel to the effect that the holders of the debt securities of that series will not recognize income, gain or loss for U.S. federal income tax purposes as a result of the deposit and covenant defeasance to be effected and will be subject to the same U.S. federal income tax as would be the case if the deposit and covenant defeasance did not occur;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20" w:hanging="424"/>
        <w:spacing w:after="0" w:line="261"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default with respect to the outstanding debt securities of that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it being understood that this condition is not deemed satisfied until after the 91st day;</w:t>
      </w:r>
    </w:p>
    <w:p>
      <w:pPr>
        <w:spacing w:after="0" w:line="85" w:lineRule="exact"/>
        <w:rPr>
          <w:rFonts w:ascii="Times New Roman" w:cs="Times New Roman" w:eastAsia="Times New Roman" w:hAnsi="Times New Roman"/>
          <w:sz w:val="18"/>
          <w:szCs w:val="18"/>
          <w:color w:val="auto"/>
        </w:rPr>
      </w:pPr>
    </w:p>
    <w:p>
      <w:pPr>
        <w:ind w:left="540" w:right="100" w:hanging="424"/>
        <w:spacing w:after="0" w:line="282"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cause the trustee to have a conflicting interest within the meaning of the Trust Indenture Act, assuming all debt securities of that series were in default within the meaning of such Act;</w:t>
      </w:r>
    </w:p>
    <w:p>
      <w:pPr>
        <w:spacing w:after="0" w:line="67" w:lineRule="exact"/>
        <w:rPr>
          <w:rFonts w:ascii="Times New Roman" w:cs="Times New Roman" w:eastAsia="Times New Roman" w:hAnsi="Times New Roman"/>
          <w:sz w:val="18"/>
          <w:szCs w:val="18"/>
          <w:color w:val="auto"/>
        </w:rPr>
      </w:pPr>
    </w:p>
    <w:p>
      <w:pPr>
        <w:ind w:left="540" w:right="620" w:hanging="424"/>
        <w:spacing w:after="0" w:line="282"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or covenant defeasance will not result in a breach or violation of, or constitute a default under, any other agreement or instrument to which we are a party;</w:t>
      </w:r>
    </w:p>
    <w:p>
      <w:pPr>
        <w:spacing w:after="0" w:line="67" w:lineRule="exact"/>
        <w:rPr>
          <w:rFonts w:ascii="Times New Roman" w:cs="Times New Roman" w:eastAsia="Times New Roman" w:hAnsi="Times New Roman"/>
          <w:sz w:val="18"/>
          <w:szCs w:val="18"/>
          <w:color w:val="auto"/>
        </w:rPr>
      </w:pPr>
    </w:p>
    <w:p>
      <w:pPr>
        <w:ind w:left="540" w:right="280" w:hanging="424"/>
        <w:spacing w:after="0" w:line="312" w:lineRule="auto"/>
        <w:tabs>
          <w:tab w:leader="none" w:pos="5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spacing w:after="0" w:line="45" w:lineRule="exact"/>
        <w:rPr>
          <w:rFonts w:ascii="Times New Roman" w:cs="Times New Roman" w:eastAsia="Times New Roman" w:hAnsi="Times New Roman"/>
          <w:sz w:val="17"/>
          <w:szCs w:val="17"/>
          <w:color w:val="auto"/>
        </w:rPr>
      </w:pPr>
    </w:p>
    <w:p>
      <w:pPr>
        <w:ind w:left="540" w:right="800" w:hanging="424"/>
        <w:spacing w:after="0" w:line="282" w:lineRule="auto"/>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stating that all conditions precedent with respect to the defeasance or covenant defeasance have been complied with.</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Book-Entry, Delivery and Form</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debt securities of a series may be issued in whole or in part in the form of one or more global securities that will be deposited with, or on behalf of, a depository identified in the applicable prospectus supplement. Global securities may be issued in either registered or bearer form and in either temporary or permanent form. Unless otherwise provided in such prospectus supplement, debt securities that are represented by a global security will be issued in denominations of $2,000 or any integral multiple of $1,000 in excess thereof and will be issued in registered form only, without coupons.</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anticipate that any global securities will be deposited with, or on behalf of, DTC, and that such global securities will be registered in the name of Cede &amp; Co., DTC’s nominee. We further anticipate that the following provisions will apply to the depository arrangements with respect to any such global securities. Any additional or differing terms of the depository arrangements will be described in the prospectus supplement relating to a particular series of debt securities issued in the form of global securities.</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Beneficial interests in the global securities will be represented through book-entry accounts of financial institutions acting on behalf of beneficial owners as direct or indirect participants in DTC.</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Investors may elect to hold their interests in the global securities through either DTC (in the United States) or (in Europe) through Clearstream or through Euroclear. Investors may hold their interests in the global securities directly, if they are participants of such systems, or indirectly through organizations that are participants in these systems. Clearstream and Euroclear will hold interests on behalf of their participants through customers’ securities accounts in Clearstream’s and Euroclear’s names on the books of their respective U.S. depositaries, which in turn will hold these interests in customers’ securities accounts in the depositaries’ names on the books of DTC. Beneficial interests in the global securities will be held in denominations of $2,000 and multiples of $1,000 in excess thereof. Except as set forth below, the global securities may be transferred, in whole and not in part, only to another nominee of DTC or to a successor of DTC or its nominee.</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Debt securities represented by a global security can be exchanged for definitive securities in registered form only if:</w:t>
      </w:r>
    </w:p>
    <w:p>
      <w:pPr>
        <w:spacing w:after="0" w:line="252" w:lineRule="exact"/>
        <w:rPr>
          <w:sz w:val="20"/>
          <w:szCs w:val="20"/>
          <w:color w:val="auto"/>
        </w:rPr>
      </w:pPr>
    </w:p>
    <w:p>
      <w:pPr>
        <w:ind w:left="540" w:hanging="424"/>
        <w:spacing w:after="0" w:line="282"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depositary for that global security, and we do not appoint a successor depositary within 90 days after receiving that notice;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55"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540" w:right="60" w:hanging="424"/>
        <w:spacing w:after="0" w:line="266"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DTC ceases to be a clearing agency registered or in good standing under the Exchange Act, as amended, or other applicable statute or regulation, and we do not appoint a successor depositary within 90 days after becoming aware that DTC has ceased to be registered as a clearing agency; or</w:t>
      </w:r>
    </w:p>
    <w:p>
      <w:pPr>
        <w:spacing w:after="0" w:line="8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that that global security will be exchangeable for definitive securities in registered form and we notify the trustee of our decision.</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 global security that can be exchanged as described in the preceding sentence will be exchanged for definitive securities issued in authorized denominations in registered form for the same aggregate amount. The definitive securities will be registered in the names of the owners of the beneficial interests in the global security as directed by DTC.</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will make principal and interest payments on all debt securities represented by a global security to the Paying Agent which in turn will make payment to DTC or its nominee, as the case may be, as the sole registered owner and the sole holder of the debt securities represented by a global security for all purposes under the indenture. Accordingly, we, the trustee and any Paying Agent will have no responsibility or liability for:</w:t>
      </w:r>
    </w:p>
    <w:p>
      <w:pPr>
        <w:spacing w:after="0" w:line="81" w:lineRule="exact"/>
        <w:rPr>
          <w:sz w:val="20"/>
          <w:szCs w:val="20"/>
          <w:color w:val="auto"/>
        </w:rPr>
      </w:pPr>
    </w:p>
    <w:p>
      <w:pPr>
        <w:ind w:left="540" w:right="40" w:hanging="424"/>
        <w:spacing w:after="0" w:line="282"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aspect of DTC’s records relating to, or payments made on account of, beneficial ownership interests in a debt security represented by a global security; or</w:t>
      </w:r>
    </w:p>
    <w:p>
      <w:pPr>
        <w:spacing w:after="0" w:line="67" w:lineRule="exact"/>
        <w:rPr>
          <w:rFonts w:ascii="Times New Roman" w:cs="Times New Roman" w:eastAsia="Times New Roman" w:hAnsi="Times New Roman"/>
          <w:sz w:val="18"/>
          <w:szCs w:val="18"/>
          <w:color w:val="auto"/>
        </w:rPr>
      </w:pPr>
    </w:p>
    <w:p>
      <w:pPr>
        <w:jc w:val="both"/>
        <w:ind w:left="540" w:right="140" w:hanging="424"/>
        <w:spacing w:after="0" w:line="266"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aspect of the relationship between DTC and its participants or the relationship between those participants and the owners of beneficial interests in a global security held through those participants; or the maintenance, supervision or review of any of DTC’s records relating to those beneficial ownership interests.</w:t>
      </w:r>
    </w:p>
    <w:p>
      <w:pPr>
        <w:spacing w:after="0" w:line="176"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DTC has advised us that its current practice is to credit participants’ accounts on each payment date with payments in amounts proportionate to their respective beneficial interests in the principal amount of such global security as shown on DTC’s records, upon DTC’s receipt of funds and corresponding detail information. The underwriters or agents for the debt securities represented by a global security will initially designate the accounts to be credited. Payments by participants to owners of beneficial interests in a global security will be governed by standing instructions and customary practices, as is the case with securities held for customer accounts registered in “street name,” and will be the sole responsibility of those participants. Book-entry notes may be more difficult to pledge because of the lack of a physical note. So long as DTC or its nominee is the registered owner of a global security, DTC or its nominee, as the case may be, will be considered the sole owner and holder of the debt securities represented by that global security for all purposes of the debt securities. Owners of beneficial interests in the debt securities will not be entitled to have debt securities registered in their names, will not receive or be entitled to receive physical delivery of the debt securities in definitive form and will not be considered owners or holders of debt securities under the indenture. Accordingly, each person owning a beneficial interest in a global security must rely on the procedures of DTC and, if that person is not a DTC participant, on the procedures of the participant through which that person owns its interest, to exercise any rights of a holder of debt securities. The laws of some jurisdictions require that certain purchasers of securities take physical delivery of the securities in certificated form. These laws may impair the ability to transfer beneficial interests in a global security. Beneficial owners may experience delays in receiving distributions on their debt securities since distributions will initially be made to DTC and must then be transferred through the chain of intermediaries to the beneficial owner’s account.</w:t>
      </w:r>
    </w:p>
    <w:p>
      <w:pPr>
        <w:spacing w:after="0" w:line="19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understand that, under existing industry practices, if we request holders to take any action, or if an owner of a beneficial interest in a global security desires to take any action which a holder is entitled to take under the indenture, then DTC would authorize the participants holding the relevant beneficial interests to take that action and those participants would authorize the beneficial owners owning through such participants to take that action or would otherwise act upon the instructions of beneficial owners owning through them.</w:t>
      </w:r>
    </w:p>
    <w:p>
      <w:pPr>
        <w:spacing w:after="0" w:line="180"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Beneficial interests in a global security will be shown on, and transfers of those ownership interests will be effected only through, records maintained by DTC and its participants for that global security. The conveyance of</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55" w:right="4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notices and other communications by DTC to its participants and by its participants to owners of beneficial interests in the debt securities will be governed by arrangements among them, subject to any statutory or regulatory requirements in effect.</w:t>
      </w:r>
    </w:p>
    <w:p>
      <w:pPr>
        <w:spacing w:after="0" w:line="16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DTC has advised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Section 17A of the Exchange Act.</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DTC holds the securities of its participants and facilitates the clearance and settlement of securities transactions among its participants in such securities through electronic book-entry changes in accounts of its participants. The electronic book-entry system eliminates the need for physical certificates. DTC’s participants include both U.S. and non-U.S. securities brokers and dealers, including underwriters, banks, trust companies, clearing corporations and certain other organizations. DTC is a wholly 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participant, either directly or indirectly. The rules applicable to DTC and its participants are on file with the SEC.</w:t>
      </w:r>
    </w:p>
    <w:p>
      <w:pPr>
        <w:spacing w:after="0" w:line="19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this section concerning DTC and DTC’s book-entry system has been obtained from sources that we believe to be reliable, but we take no responsibility for the accuracy thereof.</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Clearstream</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Clearstream has advised us that it is incorporated under the laws of Luxembourg as a professional depositary. Clearstream holds securities for its participating organizations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Clearstream Participants, among other things, services for safekeeping, administration, clearance and settlement of internationally traded securities and securities lending and borrowing. Clearstream interfaces with domestic securities markets in several countries. As a registered bank in Luxembourg,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and clearing corporations. In the U.S., Clearstream Participants are limited to securities brokers and dealers and banks. Indirect access to Clearstream is also available to others, such as banks, brokers, dealers and trust companies that clear through or maintain a custodial relationship with a Clearstream Participant either directly or indirectly. Clearstream is an indirect participant in DTC.</w:t>
      </w:r>
    </w:p>
    <w:p>
      <w:pPr>
        <w:spacing w:after="0" w:line="19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Distributions with respect to debt securities held beneficially through Clearstream will be credited to cash accounts of Clearstream Participants in accordance with its rules and procedures, to the extent received by the U.S. Depositary for Clearstream.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Euroclear</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Euroclear has advised us that it was created in 1968 to hold securities for participants of Euroclear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performs various other services, including securities lending and borrowing, and interacts with domestic markets in several countries. The Euroclear System is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owned by Euroclear Clearance System Public Limited Company (ECSplc) and operated through Euroclear Bank S.A/N.V. (the “Euroclear Operator”), a bank incorporated under the laws of the Kingdom of Belgium, under contract with Euroclear Clearance Systems S.C., a Belgian cooperative corporation (the “Cooperative”).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w:t>
      </w:r>
    </w:p>
    <w:p>
      <w:pPr>
        <w:spacing w:after="0" w:line="18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Euroclear Operator advises us that it is regulated and examined by the Belgian banking and Finance Commission and the National Bank of Belgium.</w:t>
      </w:r>
    </w:p>
    <w:p>
      <w:pPr>
        <w:spacing w:after="0" w:line="162"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Securities clearance accounts and cash accounts with the Euroclear Operator are governed by the Terms and Conditions Governing Use of Euroclear and the related Operating Procedures of the Euroclear System, and applicable Belgian law, herein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through Euroclear Participants.</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Distributions with respect to debt securities held beneficially through Euroclear will be credited to the cash accounts of Euroclear Participants in accordance with the Terms and Conditions, to the extent received by the U.S. Depositary for Euroclear.</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Euroclear has further advised us that investors that acquire, hold and transfer interests in the debt securities by book-entry through accounts with the Euroclear Operator or any other securities intermediary are subject to the laws and contractual provisions governing their relationship with their intermediary, as well as the laws and contractual provisions governing the relationship between such an intermediary and each other intermediary, if any, standing between themselves and the global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Global Clearance and Settlement Procedures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Initial settlement for the debt securities will be made in immediately available funds. Secondary market trading between DTC participants will occur in the ordinary way in accordance with DTC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and Euroclear and will be settled using the procedures applicable to conventional eurobonds in immediately available funds.</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debt securities through DTC, and making or receiving payment in accordance with normal procedures for same-day funds settlement applicable to DTC. Clearstream Participants and Euroclear Participants may not deliver instructions directly to their respective U.S. Depositaries.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Because of time-zone differences, credits of debt securities received through Clearstream or Euroclear as a result of a transaction with a DTC participant will be made during subsequent securities settlement processing and dated the business day following the DTC settlement date. Such credits or any transactions in such debt securities settled during such processing will be reported to the relevant Euroclear Participants or Clearstream Participants on such business day. Cash received in Clearstream or Euroclear as a result of sales of debt securities by or through a Clearstream Participant or a Euroclear Participant to a DTC participant will be received with value on the DTC settlement date but will be available in the relevant Clearstream or Euroclear cash account only as of the business day following settlement in DTC.</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If the debt securities are cleared only through Euroclear and Clearstream (and not DTC), you will be able to make and receive through Euroclear and Clearstream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In addition, because of time-zone differences, U.S. investors who hold their interests in the securities through these systems and wish to transfer their interests, or to receive or make a payment or delivery or exercise any other right with respect to their interests, on a particular day may find that the transaction will not be effected until the next business day in Luxembourg or Brussels, as applicable. Thus, U.S. investors who wish to exercise rights that expire on a particular day may need to act before the expiration date.</w:t>
      </w:r>
    </w:p>
    <w:p>
      <w:pPr>
        <w:spacing w:after="0" w:line="18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Although DTC, Clearstream and Euroclear have agreed to the foregoing procedures in order to facilitate transfers of debt securities among participants of DTC, Clearstream and Euroclear, they are under no obligation to perform or continue to perform such procedures and such procedures may be modified or discontinued at any time. Neither we nor any paying agent will have any responsibility for the performance by DTC, Euroclear or Clearstream or their respective direct or indirect participants of their obligations under the rules and procedures governing their operations.</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320" w:top="455" w:right="5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are authorized to issue 750,000,000 shares of common stock, par value $0.01 per share, and 50,000,000 shares of preferred stock, having no stated par value. No shares of preferred stock are currently outstanding. All outstanding shares of common stock are validly issued, fully paid and nonassessable.</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terms of our common stock is not complete and is qualified in its entirety by reference to our fourth amended and restated articles of incorporation and our fourth amended and restated by-laws, each of which is incorporated by reference into this prospectus as exhibits.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holders of our common stock are entitled to one vote per share on all matters to be voted on by shareholders. There is no provision for cumulative voting with regard to the election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and Liquidation Rights</w:t>
      </w:r>
    </w:p>
    <w:p>
      <w:pPr>
        <w:spacing w:after="0" w:line="121"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Subject to all the rights of the holders of the preferred stock, the holders of shares of common stock shall be entitled to receive, when, as and if declared by the board of directors, out of funds legally available for the payment thereof, dividends payable in cash, stock or otherwise. Upon any liquidation, dissolution or winding up, whether voluntary or involuntary, and subject to the rights of the holders of the preferred stock, the remaining assets of Xylem Inc. available for distribution shall be distributed to the holders of the common stock ratably according to the number of shares of common stock held by such holder.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Rights</w:t>
      </w:r>
    </w:p>
    <w:p>
      <w:pPr>
        <w:spacing w:after="0" w:line="121"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The holders of our common stock have no preemptive rights and no rights to convert their common stock into any other securities, and our common stock is not subject to any redemption or sinking fund provisions.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of our Articles of Incorporation, our By-laws and Indiana Law</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Various provisions contained in our articles of incorporation, our by-laws and Indiana law could delay or discourage some transactions involving an actual or potential change in control of Xylem Inc. and may limit the ability of our shareholders to remove current management or approve transactions that our shareholders may deem to be in their best interests. Provisions in our articles of incorporation and our by-laws:</w:t>
      </w:r>
    </w:p>
    <w:p>
      <w:pPr>
        <w:spacing w:after="0" w:line="81" w:lineRule="exact"/>
        <w:rPr>
          <w:sz w:val="20"/>
          <w:szCs w:val="20"/>
          <w:color w:val="auto"/>
        </w:rPr>
      </w:pPr>
    </w:p>
    <w:p>
      <w:pPr>
        <w:ind w:left="540" w:hanging="424"/>
        <w:spacing w:after="0" w:line="282"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establish one or more series of undesignated preferred stock, the terms of which can be determined by the board of directors at the time of issuance;</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authorize cumulative voting;</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board of directors to supplement, amend, or repeal the by-laws and to adopt new by-laws;</w:t>
      </w:r>
    </w:p>
    <w:p>
      <w:pPr>
        <w:spacing w:after="0" w:line="130" w:lineRule="exact"/>
        <w:rPr>
          <w:rFonts w:ascii="Times New Roman" w:cs="Times New Roman" w:eastAsia="Times New Roman" w:hAnsi="Times New Roman"/>
          <w:sz w:val="18"/>
          <w:szCs w:val="18"/>
          <w:color w:val="auto"/>
        </w:rPr>
      </w:pPr>
    </w:p>
    <w:p>
      <w:pPr>
        <w:ind w:left="540" w:right="120" w:hanging="424"/>
        <w:spacing w:after="0" w:line="266"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 special meeting of the shareholders may be called by (i) the board of directors, (ii) the chair of the board of directors, or (iii) the secretary upon the request of at least 25 percent of the outstanding shares of common stock entitled to vote on the matter or matters to be brought before the proposed special meeting;</w:t>
      </w:r>
    </w:p>
    <w:p>
      <w:pPr>
        <w:spacing w:after="0" w:line="81" w:lineRule="exact"/>
        <w:rPr>
          <w:rFonts w:ascii="Times New Roman" w:cs="Times New Roman" w:eastAsia="Times New Roman" w:hAnsi="Times New Roman"/>
          <w:sz w:val="18"/>
          <w:szCs w:val="18"/>
          <w:color w:val="auto"/>
        </w:rPr>
      </w:pPr>
    </w:p>
    <w:p>
      <w:pPr>
        <w:ind w:left="540" w:right="280" w:hanging="424"/>
        <w:spacing w:after="0" w:line="282"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shareholder meetings, provide an advance written notice procedure with respect to shareholder nomination for directors and bringing other business; and</w:t>
      </w:r>
    </w:p>
    <w:p>
      <w:pPr>
        <w:spacing w:after="0" w:line="67" w:lineRule="exact"/>
        <w:rPr>
          <w:rFonts w:ascii="Times New Roman" w:cs="Times New Roman" w:eastAsia="Times New Roman" w:hAnsi="Times New Roman"/>
          <w:sz w:val="18"/>
          <w:szCs w:val="18"/>
          <w:color w:val="auto"/>
        </w:rPr>
      </w:pPr>
    </w:p>
    <w:p>
      <w:pPr>
        <w:ind w:left="540" w:right="220" w:hanging="424"/>
        <w:spacing w:after="0" w:line="282" w:lineRule="auto"/>
        <w:tabs>
          <w:tab w:leader="none" w:pos="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fill any vacancies on our board of directors, including newly created board seats resulting from an increase in the authorized number of directors and vacancies resulting from death, retirement, resignation, or removal.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DESCRIPTION OF OTHER SECURITIES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will set forth in the applicable prospectus supplement a description of any preferred stock, depositary shares, purchase contracts, warrants or units that may be offered pursuant to this prospectus.</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40"/>
          </w:cols>
          <w:pgMar w:left="320" w:top="455" w:right="6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may sell the offered securities through agents, through underwriters or dealers, directly to one or more purchasers, through a combination of any of these methods of sale or through any other methods described in a prospectus supplement. 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dealers may be paid compensation for offering and selling the securities. That compensation may be in the form of discounts, concessions or commissions to be received from us or from the purchasers of the securities. We will identify the specific plan of distribution, including any underwriters, dealers, agents or direct purchasers and their compensation in a prospectus supplement.</w:t>
      </w:r>
    </w:p>
    <w:p>
      <w:pPr>
        <w:spacing w:after="0" w:line="192"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set forth whether or not an underwriter may engage in stabilizing transactions, over-allotment transactions, syndicate covering transactions and penalty bids.</w:t>
      </w:r>
    </w:p>
    <w:p>
      <w:pPr>
        <w:spacing w:after="0" w:line="162"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compliance with the guidelines of the Financial Industry Regulatory Authority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60"/>
          </w:cols>
          <w:pgMar w:left="320" w:top="455" w:right="5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Gibson, Dunn &amp; Crutcher LLP will pass upon the validity of any securities issued under this prospectus as to matters governed by the laws of the State of New York; Barnes &amp; Thornburg LLP will pass upon the validity of any securities issued under this prospectus as to all matters governed by the laws of the State of Indiana. Any underwriters will be represented by their own legal counsel.</w:t>
      </w:r>
    </w:p>
    <w:p>
      <w:pPr>
        <w:spacing w:after="0" w:line="39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Xylem Inc. incorporated by reference in this Prospectus, and the effectiveness of Xylem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of Evoqua Water Technologies Corp. appearing in Evoqua Water Technologies Corp.’s Annual Report (Form 10-K) for the year ended September 30, 2022, and the effectiveness of Evoqua Water Technologies Corp.’s internal control over financial reporting as of September 30, 2022 (excluding the internal control over financial reporting of the Mar Cor Business and Smith Engineering), have been audited by Ernst &amp; Young LLP, independent registered public accounting firm, as set forth in its reports thereon, which as to the report on the effectiveness of Evoqua Water Technologies Corp.’s internal control over financial reporting contains an explanatory paragraph describing the above referenced exclusion of the Mar Cor Business and Smith Engineering from the scope of such firm’s audit of internal control over financial reporting included therein, and incorporated herein by reference. Such financial statements have been incorporated herein by reference in reliance upon such reports given on the authority of such firm as experts in accounting and auditing.</w:t>
      </w:r>
    </w:p>
    <w:p>
      <w:pPr>
        <w:spacing w:after="0" w:line="1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320" w:top="455" w:right="5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43"/>
          <w:szCs w:val="43"/>
          <w:b w:val="1"/>
          <w:bCs w:val="1"/>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815975</wp:posOffset>
            </wp:positionV>
            <wp:extent cx="1491615" cy="5911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1491615"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43"/>
          <w:szCs w:val="43"/>
          <w:b w:val="1"/>
          <w:bCs w:val="1"/>
          <w:color w:val="auto"/>
        </w:rPr>
        <w:t>Xylem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9"/>
          <w:szCs w:val="29"/>
          <w:b w:val="1"/>
          <w:bCs w:val="1"/>
          <w:color w:val="auto"/>
        </w:rPr>
        <w:t>$                       % Senior Notes due 20</w:t>
      </w:r>
    </w:p>
    <w:p>
      <w:pPr>
        <w:spacing w:after="0" w:line="4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9"/>
          <w:szCs w:val="29"/>
          <w:b w:val="1"/>
          <w:bCs w:val="1"/>
          <w:color w:val="2399BF"/>
        </w:rPr>
        <w:t>$                % Senior Blue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851535</wp:posOffset>
            </wp:positionV>
            <wp:extent cx="14744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245110</wp:posOffset>
            </wp:positionV>
            <wp:extent cx="14744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88"/>
        </w:trPr>
        <w:tc>
          <w:tcPr>
            <w:tcW w:w="1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920" w:type="dxa"/>
            <w:vAlign w:val="bottom"/>
            <w:gridSpan w:val="4"/>
          </w:tcPr>
          <w:p>
            <w:pPr>
              <w:ind w:left="600"/>
              <w:spacing w:after="0"/>
              <w:rPr>
                <w:sz w:val="20"/>
                <w:szCs w:val="20"/>
                <w:color w:val="auto"/>
              </w:rPr>
            </w:pPr>
            <w:r>
              <w:rPr>
                <w:rFonts w:ascii="Times New Roman" w:cs="Times New Roman" w:eastAsia="Times New Roman" w:hAnsi="Times New Roman"/>
                <w:sz w:val="22"/>
                <w:szCs w:val="22"/>
                <w:b w:val="1"/>
                <w:bCs w:val="1"/>
                <w:i w:val="1"/>
                <w:iCs w:val="1"/>
                <w:color w:val="auto"/>
              </w:rPr>
              <w:t>Joint Book-Running Managers</w:t>
            </w:r>
          </w:p>
        </w:tc>
        <w:tc>
          <w:tcPr>
            <w:tcW w:w="2580" w:type="dxa"/>
            <w:vAlign w:val="bottom"/>
          </w:tcPr>
          <w:p>
            <w:pPr>
              <w:spacing w:after="0"/>
              <w:rPr>
                <w:sz w:val="24"/>
                <w:szCs w:val="24"/>
                <w:color w:val="auto"/>
              </w:rPr>
            </w:pPr>
          </w:p>
        </w:tc>
      </w:tr>
      <w:tr>
        <w:trPr>
          <w:trHeight w:val="486"/>
        </w:trPr>
        <w:tc>
          <w:tcPr>
            <w:tcW w:w="17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BNP PARIBAS</w:t>
            </w:r>
          </w:p>
        </w:tc>
        <w:tc>
          <w:tcPr>
            <w:tcW w:w="18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Citigroup</w:t>
            </w:r>
          </w:p>
        </w:tc>
        <w:tc>
          <w:tcPr>
            <w:tcW w:w="1520" w:type="dxa"/>
            <w:vAlign w:val="bottom"/>
            <w:gridSpan w:val="2"/>
          </w:tcPr>
          <w:p>
            <w:pPr>
              <w:ind w:left="600"/>
              <w:spacing w:after="0"/>
              <w:rPr>
                <w:sz w:val="20"/>
                <w:szCs w:val="20"/>
                <w:color w:val="auto"/>
              </w:rPr>
            </w:pPr>
            <w:r>
              <w:rPr>
                <w:rFonts w:ascii="Times New Roman" w:cs="Times New Roman" w:eastAsia="Times New Roman" w:hAnsi="Times New Roman"/>
                <w:sz w:val="22"/>
                <w:szCs w:val="22"/>
                <w:b w:val="1"/>
                <w:bCs w:val="1"/>
                <w:color w:val="auto"/>
              </w:rPr>
              <w:t>ING</w:t>
            </w:r>
          </w:p>
        </w:tc>
        <w:tc>
          <w:tcPr>
            <w:tcW w:w="2400" w:type="dxa"/>
            <w:vAlign w:val="bottom"/>
            <w:gridSpan w:val="2"/>
          </w:tcPr>
          <w:p>
            <w:pPr>
              <w:ind w:left="500"/>
              <w:spacing w:after="0"/>
              <w:rPr>
                <w:sz w:val="20"/>
                <w:szCs w:val="20"/>
                <w:color w:val="auto"/>
              </w:rPr>
            </w:pPr>
            <w:r>
              <w:rPr>
                <w:rFonts w:ascii="Times New Roman" w:cs="Times New Roman" w:eastAsia="Times New Roman" w:hAnsi="Times New Roman"/>
                <w:sz w:val="22"/>
                <w:szCs w:val="22"/>
                <w:b w:val="1"/>
                <w:bCs w:val="1"/>
                <w:color w:val="auto"/>
              </w:rPr>
              <w:t>J.P. Morgan</w:t>
            </w:r>
          </w:p>
        </w:tc>
        <w:tc>
          <w:tcPr>
            <w:tcW w:w="258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w w:val="96"/>
              </w:rPr>
              <w:t>Wells Fargo Securities</w:t>
            </w:r>
          </w:p>
        </w:tc>
      </w:tr>
      <w:tr>
        <w:trPr>
          <w:trHeight w:val="339"/>
        </w:trPr>
        <w:tc>
          <w:tcPr>
            <w:tcW w:w="1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pacing w:after="0" w:line="200" w:lineRule="exact"/>
        <w:rPr>
          <w:sz w:val="20"/>
          <w:szCs w:val="20"/>
          <w:color w:val="auto"/>
        </w:rPr>
      </w:pPr>
    </w:p>
    <w:p>
      <w:pPr>
        <w:spacing w:after="0" w:line="21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662940</wp:posOffset>
            </wp:positionV>
            <wp:extent cx="69951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731520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lvl w:ilvl="1">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jpe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jpe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5" Type="http://schemas.openxmlformats.org/officeDocument/2006/relationships/hyperlink" Target="http://www.sec.gov/ix?doc=/Archives/edgar/data/1524472/000152447226000012/xyl-20251231.htm" TargetMode="External"/><Relationship Id="rId16" Type="http://schemas.openxmlformats.org/officeDocument/2006/relationships/hyperlink" Target="http://www.sec.gov/ix?doc=/Archives/edgar/data/1524472/000110465926036678/xyl-20260514xdef14a.htm" TargetMode="External"/><Relationship Id="rId17" Type="http://schemas.openxmlformats.org/officeDocument/2006/relationships/hyperlink" Target="http://www.sec.gov/ix?doc=/Archives/edgar/data/1524472/000152447226000068/xyl-20260331.htm" TargetMode="External"/><Relationship Id="rId18" Type="http://schemas.openxmlformats.org/officeDocument/2006/relationships/hyperlink" Target="http://www.sec.gov/ix?doc=/Archives/edgar/data/1524472/000152447226000014/xyl-20260225.htm" TargetMode="External"/><Relationship Id="rId64" Type="http://schemas.openxmlformats.org/officeDocument/2006/relationships/hyperlink" Target="http://www.sec.gov/Archives/edgar/data/1524472/000152447223000009/xyl-20221231.htm" TargetMode="External"/><Relationship Id="rId65" Type="http://schemas.openxmlformats.org/officeDocument/2006/relationships/hyperlink" Target="http://www.sec.gov/Archives/edgar/data/1524472/000156459023005209/xyl-def14a_20230518.htm" TargetMode="External"/><Relationship Id="rId66" Type="http://schemas.openxmlformats.org/officeDocument/2006/relationships/hyperlink" Target="http://www.sec.gov/ix?doc=/Archives/edgar/data/1524472/000152447223000018/xyl-20230331.htm" TargetMode="External"/><Relationship Id="rId67" Type="http://schemas.openxmlformats.org/officeDocument/2006/relationships/hyperlink" Target="http://www.sec.gov/Archives/edgar/data/1524472/000119312523012563/d441004d8k.htm" TargetMode="External"/><Relationship Id="rId68" Type="http://schemas.openxmlformats.org/officeDocument/2006/relationships/hyperlink" Target="http://www.sec.gov/Archives/edgar/data/1524472/000152447223000012/xyl-20230224.htm" TargetMode="External"/><Relationship Id="rId69" Type="http://schemas.openxmlformats.org/officeDocument/2006/relationships/hyperlink" Target="http://www.sec.gov/ix?doc=/Archives/edgar/data/1524472/000119312523142138/d355851d8k.htm" TargetMode="External"/><Relationship Id="rId70" Type="http://schemas.openxmlformats.org/officeDocument/2006/relationships/hyperlink" Target="http://www.sec.gov/ix?doc=/Archives/edgar/data/1524472/000119312523152550/d506226d8k.htm" TargetMode="External"/><Relationship Id="rId71" Type="http://schemas.openxmlformats.org/officeDocument/2006/relationships/hyperlink" Target="http://www.sec.gov/ix?doc=/Archives/edgar/data/0001524472/000119312523202870/d510680d8ka.htm" TargetMode="External"/><Relationship Id="rId72" Type="http://schemas.openxmlformats.org/officeDocument/2006/relationships/hyperlink" Target="http://www.sec.gov/Archives/edgar/data/1524472/000152447223000009/xyl12312022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2026-05-19T07:47:57Z</dcterms:created>
  <dcterms:modified xsi:type="dcterms:W3CDTF">2026-05-19T07:47:57Z</dcterms:modified>
</cp:coreProperties>
</file>