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333-273653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Preliminary Prospectus Supplement dated May 19, 2026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Prospectus dated August 3, 2023</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60" w:type="dxa"/>
            <w:vAlign w:val="bottom"/>
            <w:gridSpan w:val="2"/>
          </w:tcPr>
          <w:p>
            <w:pPr>
              <w:jc w:val="center"/>
              <w:ind w:right="4700"/>
              <w:spacing w:after="0"/>
              <w:rPr>
                <w:sz w:val="20"/>
                <w:szCs w:val="20"/>
                <w:color w:val="auto"/>
              </w:rPr>
            </w:pPr>
            <w:r>
              <w:rPr>
                <w:rFonts w:ascii="Times New Roman" w:cs="Times New Roman" w:eastAsia="Times New Roman" w:hAnsi="Times New Roman"/>
                <w:sz w:val="18"/>
                <w:szCs w:val="18"/>
                <w:color w:val="auto"/>
                <w:w w:val="98"/>
              </w:rPr>
              <w:t>Xylem Inc.</w:t>
            </w:r>
          </w:p>
        </w:tc>
      </w:tr>
      <w:tr>
        <w:trPr>
          <w:trHeight w:val="283"/>
        </w:trPr>
        <w:tc>
          <w:tcPr>
            <w:tcW w:w="2820" w:type="dxa"/>
            <w:vAlign w:val="bottom"/>
          </w:tcPr>
          <w:p>
            <w:pPr>
              <w:spacing w:after="0"/>
              <w:rPr>
                <w:sz w:val="24"/>
                <w:szCs w:val="24"/>
                <w:color w:val="auto"/>
              </w:rPr>
            </w:pPr>
          </w:p>
        </w:tc>
        <w:tc>
          <w:tcPr>
            <w:tcW w:w="8060" w:type="dxa"/>
            <w:vAlign w:val="bottom"/>
            <w:gridSpan w:val="3"/>
          </w:tcPr>
          <w:p>
            <w:pPr>
              <w:jc w:val="center"/>
              <w:ind w:right="2680"/>
              <w:spacing w:after="0"/>
              <w:rPr>
                <w:sz w:val="20"/>
                <w:szCs w:val="20"/>
                <w:color w:val="auto"/>
              </w:rPr>
            </w:pPr>
            <w:r>
              <w:rPr>
                <w:rFonts w:ascii="Times New Roman" w:cs="Times New Roman" w:eastAsia="Times New Roman" w:hAnsi="Times New Roman"/>
                <w:sz w:val="18"/>
                <w:szCs w:val="18"/>
                <w:color w:val="auto"/>
                <w:w w:val="98"/>
              </w:rPr>
              <w:t>Pricing Term Sheet</w:t>
            </w:r>
          </w:p>
        </w:tc>
      </w:tr>
      <w:tr>
        <w:trPr>
          <w:trHeight w:val="345"/>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4680" w:type="dxa"/>
            <w:vAlign w:val="bottom"/>
          </w:tcPr>
          <w:p>
            <w:pPr>
              <w:spacing w:after="0"/>
              <w:rPr>
                <w:sz w:val="24"/>
                <w:szCs w:val="24"/>
                <w:color w:val="auto"/>
              </w:rPr>
            </w:pPr>
          </w:p>
        </w:tc>
      </w:tr>
      <w:tr>
        <w:trPr>
          <w:trHeight w:val="306"/>
        </w:trPr>
        <w:tc>
          <w:tcPr>
            <w:tcW w:w="2820" w:type="dxa"/>
            <w:vAlign w:val="bottom"/>
          </w:tcPr>
          <w:p>
            <w:pPr>
              <w:spacing w:after="0"/>
              <w:rPr>
                <w:sz w:val="24"/>
                <w:szCs w:val="24"/>
                <w:color w:val="auto"/>
              </w:rPr>
            </w:pPr>
          </w:p>
        </w:tc>
        <w:tc>
          <w:tcPr>
            <w:tcW w:w="8060" w:type="dxa"/>
            <w:vAlign w:val="bottom"/>
            <w:gridSpan w:val="3"/>
          </w:tcPr>
          <w:p>
            <w:pPr>
              <w:jc w:val="center"/>
              <w:ind w:right="2700"/>
              <w:spacing w:after="0"/>
              <w:rPr>
                <w:sz w:val="20"/>
                <w:szCs w:val="20"/>
                <w:color w:val="auto"/>
              </w:rPr>
            </w:pPr>
            <w:r>
              <w:rPr>
                <w:rFonts w:ascii="Times New Roman" w:cs="Times New Roman" w:eastAsia="Times New Roman" w:hAnsi="Times New Roman"/>
                <w:sz w:val="18"/>
                <w:szCs w:val="18"/>
                <w:color w:val="auto"/>
                <w:w w:val="99"/>
              </w:rPr>
              <w:t>$500,000,000 5.200% Senior Notes due 2033</w:t>
            </w:r>
          </w:p>
        </w:tc>
      </w:tr>
      <w:tr>
        <w:trPr>
          <w:trHeight w:val="234"/>
        </w:trPr>
        <w:tc>
          <w:tcPr>
            <w:tcW w:w="2820" w:type="dxa"/>
            <w:vAlign w:val="bottom"/>
          </w:tcPr>
          <w:p>
            <w:pPr>
              <w:spacing w:after="0"/>
              <w:rPr>
                <w:sz w:val="20"/>
                <w:szCs w:val="20"/>
                <w:color w:val="auto"/>
              </w:rPr>
            </w:pPr>
          </w:p>
        </w:tc>
        <w:tc>
          <w:tcPr>
            <w:tcW w:w="8060" w:type="dxa"/>
            <w:vAlign w:val="bottom"/>
            <w:gridSpan w:val="3"/>
          </w:tcPr>
          <w:p>
            <w:pPr>
              <w:jc w:val="center"/>
              <w:ind w:right="2700"/>
              <w:spacing w:after="0"/>
              <w:rPr>
                <w:sz w:val="20"/>
                <w:szCs w:val="20"/>
                <w:color w:val="auto"/>
              </w:rPr>
            </w:pPr>
            <w:r>
              <w:rPr>
                <w:rFonts w:ascii="Times New Roman" w:cs="Times New Roman" w:eastAsia="Times New Roman" w:hAnsi="Times New Roman"/>
                <w:sz w:val="18"/>
                <w:szCs w:val="18"/>
                <w:color w:val="auto"/>
                <w:w w:val="99"/>
              </w:rPr>
              <w:t>$500,000,000 5.450% Senior Notes due 2036</w:t>
            </w:r>
          </w:p>
        </w:tc>
      </w:tr>
      <w:tr>
        <w:trPr>
          <w:trHeight w:val="324"/>
        </w:trPr>
        <w:tc>
          <w:tcPr>
            <w:tcW w:w="2820" w:type="dxa"/>
            <w:vAlign w:val="bottom"/>
          </w:tcPr>
          <w:p>
            <w:pPr>
              <w:spacing w:after="0"/>
              <w:rPr>
                <w:sz w:val="24"/>
                <w:szCs w:val="24"/>
                <w:color w:val="auto"/>
              </w:rPr>
            </w:pPr>
          </w:p>
        </w:tc>
        <w:tc>
          <w:tcPr>
            <w:tcW w:w="8060" w:type="dxa"/>
            <w:vAlign w:val="bottom"/>
            <w:gridSpan w:val="3"/>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Terms Applicable to Both Series of Notes</w:t>
            </w:r>
          </w:p>
        </w:tc>
      </w:tr>
      <w:tr>
        <w:trPr>
          <w:trHeight w:val="45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Xylem Inc.</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 (Moody’s / S&amp;P)*:</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Baa2 / BBB</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of the Notes:</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Format:</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May 19, 2026</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May 29, 2026 (T+7)</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0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Xylem intends to use the net proceeds from the 2033 notes to repay or redeem $500 million aggregate</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principal amount of its 3.250% Senior Notes maturing on November 1, 2026 at or prior to maturity and for</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general corporate purposes. Xylem intends to allocate an amount equal to the net proceeds from the sale of</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2036 notes to finance and/or refinance, in whole or in part, a portfolio of Eligible Blue Projects as</w:t>
            </w:r>
          </w:p>
        </w:tc>
      </w:tr>
      <w:tr>
        <w:trPr>
          <w:trHeight w:val="234"/>
        </w:trPr>
        <w:tc>
          <w:tcPr>
            <w:tcW w:w="2820" w:type="dxa"/>
            <w:vAlign w:val="bottom"/>
          </w:tcPr>
          <w:p>
            <w:pPr>
              <w:spacing w:after="0"/>
              <w:rPr>
                <w:sz w:val="20"/>
                <w:szCs w:val="20"/>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defined in “Use of Proceeds” in the prospectus supplement.</w:t>
            </w:r>
          </w:p>
        </w:tc>
      </w:tr>
      <w:tr>
        <w:trPr>
          <w:trHeight w:val="30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34"/>
        </w:trPr>
        <w:tc>
          <w:tcPr>
            <w:tcW w:w="2820" w:type="dxa"/>
            <w:vAlign w:val="bottom"/>
          </w:tcPr>
          <w:p>
            <w:pPr>
              <w:spacing w:after="0"/>
              <w:rPr>
                <w:sz w:val="20"/>
                <w:szCs w:val="20"/>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30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ANZ Securities, Inc.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SEB Securities, Inc.</w:t>
            </w:r>
          </w:p>
        </w:tc>
      </w:tr>
      <w:tr>
        <w:trPr>
          <w:trHeight w:val="216"/>
        </w:trPr>
        <w:tc>
          <w:tcPr>
            <w:tcW w:w="2820" w:type="dxa"/>
            <w:vAlign w:val="bottom"/>
          </w:tcPr>
          <w:p>
            <w:pPr>
              <w:spacing w:after="0"/>
              <w:rPr>
                <w:sz w:val="18"/>
                <w:szCs w:val="18"/>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234"/>
        </w:trPr>
        <w:tc>
          <w:tcPr>
            <w:tcW w:w="2820" w:type="dxa"/>
            <w:vAlign w:val="bottom"/>
          </w:tcPr>
          <w:p>
            <w:pPr>
              <w:spacing w:after="0"/>
              <w:rPr>
                <w:sz w:val="20"/>
                <w:szCs w:val="20"/>
                <w:color w:val="auto"/>
              </w:rPr>
            </w:pP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Academy Securities, Inc.</w:t>
            </w:r>
          </w:p>
        </w:tc>
      </w:tr>
    </w:tbl>
    <w:p>
      <w:pPr>
        <w:sectPr>
          <w:pgSz w:w="11900" w:h="16838" w:orient="portrait"/>
          <w:cols w:equalWidth="0" w:num="1">
            <w:col w:w="11020"/>
          </w:cols>
          <w:pgMar w:left="440" w:top="225" w:right="439" w:bottom="1440" w:gutter="0" w:footer="0" w:header="0"/>
        </w:sectPr>
      </w:pPr>
    </w:p>
    <w:bookmarkStart w:id="1" w:name="page2"/>
    <w:bookmarkEnd w:id="1"/>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t>Terms Applicable to the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5.200% Senior Notes due 2033</w:t>
      </w:r>
    </w:p>
    <w:p>
      <w:pPr>
        <w:sectPr>
          <w:pgSz w:w="11900" w:h="16838" w:orient="portrait"/>
          <w:cols w:equalWidth="0" w:num="1">
            <w:col w:w="10019"/>
          </w:cols>
          <w:pgMar w:left="440" w:top="603" w:right="1440"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99.808% of the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4.125% due April 30,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97-28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 4.483%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December 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April 1, 2033 at +15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April 1,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Puttable at 101% of principal plus accrued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98419M AN0 / US98419MAN02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248920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80"/>
            <w:col w:w="6819"/>
          </w:cols>
          <w:pgMar w:left="440" w:top="603" w:right="1440" w:bottom="1440" w:gutter="0" w:footer="0" w:header="0"/>
          <w:type w:val="continuous"/>
        </w:sectPr>
      </w:pPr>
    </w:p>
    <w:p>
      <w:pPr>
        <w:spacing w:after="0" w:line="39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5.450% Senior Notes due 2036</w:t>
      </w:r>
    </w:p>
    <w:p>
      <w:pPr>
        <w:sectPr>
          <w:pgSz w:w="11900" w:h="16838" w:orient="portrait"/>
          <w:cols w:equalWidth="0" w:num="1">
            <w:col w:w="10019"/>
          </w:cols>
          <w:pgMar w:left="440" w:top="603" w:right="1440"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99.977% of the principal amount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4.375% due May 15,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97-25+; 4.653%</w:t>
      </w:r>
    </w:p>
    <w:p>
      <w:pPr>
        <w:sectPr>
          <w:pgSz w:w="11900" w:h="16838" w:orient="portrait"/>
          <w:cols w:equalWidth="0" w:num="2">
            <w:col w:w="2920" w:space="280"/>
            <w:col w:w="6819"/>
          </w:cols>
          <w:pgMar w:left="440" w:top="60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December 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 2036 at +15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March 1,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Puttable at 101% of principal plus accrued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98419M AP5 / US98419MAP59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7780"/>
          </w:cols>
          <w:pgMar w:left="440" w:top="266" w:right="4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BNP Paribas Securities Corp. toll-free at (800) 854-5674, Citigroup Global Markets Inc. toll-free at (800) 831-9146, ING Financial Markets LLC toll-free at (877) 446-4930, J.P. Morgan Securities LLC collect at (212) 834-4533 or Wells Fargo Securities, LLC toll-free at (800) 645-3751.</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80"/>
      </w:cols>
      <w:pgMar w:left="440" w:top="26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2026-05-19T16:42:30Z</dcterms:created>
  <dcterms:modified xsi:type="dcterms:W3CDTF">2026-05-19T16:42:30Z</dcterms:modified>
</cp:coreProperties>
</file>