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color w:val="000000"/>
          <w:sz w:val="24"/>
        </w:rPr>
      </w:pPr>
      <w:r>
        <w:rPr>
          <w:rFonts w:ascii="Arial;sans-serif" w:hAnsi="Arial;sans-serif"/>
          <w:b/>
          <w:color w:val="000000"/>
          <w:sz w:val="24"/>
        </w:rPr>
        <w:t>UNITED STATES</w:t>
      </w:r>
    </w:p>
    <w:p>
      <w:pPr>
        <w:pStyle w:val="TextBody"/>
        <w:bidi w:val="0"/>
        <w:spacing w:lineRule="auto" w:line="288" w:before="60" w:after="283"/>
        <w:jc w:val="center"/>
        <w:rPr>
          <w:rFonts w:ascii="Arial;sans-serif" w:hAnsi="Arial;sans-serif"/>
          <w:b/>
          <w:color w:val="000000"/>
          <w:sz w:val="24"/>
        </w:rPr>
      </w:pPr>
      <w:r>
        <w:rPr>
          <w:rFonts w:ascii="Arial;sans-serif" w:hAnsi="Arial;sans-serif"/>
          <w:b/>
          <w:color w:val="000000"/>
          <w:sz w:val="24"/>
        </w:rPr>
        <w:t>SECURITIES AND EXCHANGE COMMISSION</w:t>
      </w:r>
    </w:p>
    <w:p>
      <w:pPr>
        <w:pStyle w:val="TextBody"/>
        <w:bidi w:val="0"/>
        <w:spacing w:lineRule="auto" w:line="288" w:before="60" w:after="283"/>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100" w:after="283"/>
        <w:jc w:val="center"/>
        <w:rPr>
          <w:rFonts w:ascii="Arial;sans-serif" w:hAnsi="Arial;sans-serif"/>
          <w:b/>
          <w:color w:val="000000"/>
          <w:sz w:val="36"/>
        </w:rPr>
      </w:pPr>
      <w:r>
        <w:rPr>
          <w:rFonts w:ascii="Arial;sans-serif" w:hAnsi="Arial;sans-serif"/>
          <w:b/>
          <w:color w:val="000000"/>
          <w:sz w:val="36"/>
        </w:rPr>
        <w:t xml:space="preserve">FORM 10-Q </w:t>
      </w:r>
    </w:p>
    <w:p>
      <w:pPr>
        <w:pStyle w:val="TextBody"/>
        <w:bidi w:val="0"/>
        <w:spacing w:lineRule="auto" w:line="288" w:before="100" w:after="283"/>
        <w:jc w:val="left"/>
        <w:rPr>
          <w:rFonts w:ascii="Arial;sans-serif" w:hAnsi="Arial;sans-serif"/>
          <w:b w:val="false"/>
          <w:color w:val="000000"/>
          <w:sz w:val="16"/>
        </w:rPr>
      </w:pPr>
      <w:r>
        <w:rPr>
          <w:rFonts w:ascii="Arial;sans-serif" w:hAnsi="Arial;sans-serif"/>
          <w:b w:val="false"/>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QUARTERLY REPORT PURSUANT TO SECTION 13 OR 15(d) OF THE SECURITIES EXCHANGE ACT OF 1934</w:t>
            </w:r>
          </w:p>
        </w:tc>
      </w:tr>
    </w:tbl>
    <w:p>
      <w:pPr>
        <w:pStyle w:val="TextBody"/>
        <w:bidi w:val="0"/>
        <w:spacing w:lineRule="auto" w:line="288" w:before="100" w:after="283"/>
        <w:jc w:val="center"/>
        <w:rPr/>
      </w:pPr>
      <w:r>
        <w:rPr>
          <w:rFonts w:ascii="Arial;sans-serif" w:hAnsi="Arial;sans-serif"/>
          <w:b/>
          <w:color w:val="000000"/>
          <w:sz w:val="20"/>
        </w:rPr>
        <w:t>For the quarterly period ended June 30, 2026</w:t>
      </w:r>
      <w:r>
        <w:rPr>
          <w:color w:val="000000"/>
        </w:rPr>
        <w:t xml:space="preserve"> </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For the transition period from             to             </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 xml:space="preserve">Commission file number: 1-35229 </w:t>
      </w:r>
    </w:p>
    <w:p>
      <w:pPr>
        <w:pStyle w:val="TextBody"/>
        <w:bidi w:val="0"/>
        <w:spacing w:lineRule="auto" w:line="288" w:before="180" w:after="283"/>
        <w:jc w:val="center"/>
        <w:rPr>
          <w:rFonts w:ascii="Arial;sans-serif" w:hAnsi="Arial;sans-serif"/>
          <w:b/>
          <w:color w:val="000000"/>
          <w:sz w:val="36"/>
        </w:rPr>
      </w:pPr>
      <w:r>
        <w:rPr>
          <w:rFonts w:ascii="Arial;sans-serif" w:hAnsi="Arial;sans-serif"/>
          <w:b/>
          <w:color w:val="000000"/>
          <w:sz w:val="36"/>
        </w:rPr>
        <w:t xml:space="preserve">Xylem Inc. </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6326" w:type="dxa"/>
        <w:jc w:val="center"/>
        <w:tblInd w:w="0" w:type="dxa"/>
        <w:tblLayout w:type="fixed"/>
        <w:tblCellMar>
          <w:top w:w="28" w:type="dxa"/>
          <w:left w:w="28" w:type="dxa"/>
          <w:bottom w:w="28" w:type="dxa"/>
          <w:right w:w="28" w:type="dxa"/>
        </w:tblCellMar>
      </w:tblPr>
      <w:tblGrid>
        <w:gridCol w:w="1211"/>
        <w:gridCol w:w="1064"/>
        <w:gridCol w:w="1070"/>
        <w:gridCol w:w="109"/>
        <w:gridCol w:w="109"/>
        <w:gridCol w:w="109"/>
        <w:gridCol w:w="775"/>
        <w:gridCol w:w="775"/>
        <w:gridCol w:w="1104"/>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Indiana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45-2080495</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(State or other jurisdiction of incorporation or</w:t>
              <w:br/>
              <w:t>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(I.R.S. Employer Identification No.)</w:t>
            </w:r>
          </w:p>
        </w:tc>
      </w:tr>
    </w:tbl>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 xml:space="preserve">301 Water Street SE, Washington, DC 20003 </w:t>
      </w:r>
    </w:p>
    <w:p>
      <w:pPr>
        <w:pStyle w:val="TextBody"/>
        <w:bidi w:val="0"/>
        <w:spacing w:lineRule="auto" w:line="288" w:before="0" w:after="0"/>
        <w:jc w:val="center"/>
        <w:rPr>
          <w:rFonts w:ascii="Arial;sans-serif" w:hAnsi="Arial;sans-serif"/>
          <w:b w:val="false"/>
          <w:i/>
          <w:color w:val="000000"/>
          <w:sz w:val="16"/>
        </w:rPr>
      </w:pPr>
      <w:r>
        <w:rPr>
          <w:rFonts w:ascii="Arial;sans-serif" w:hAnsi="Arial;sans-serif"/>
          <w:b w:val="false"/>
          <w:i/>
          <w:color w:val="000000"/>
          <w:sz w:val="16"/>
        </w:rPr>
        <w:t>(Address of principal executive offices) (Zip code)</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 xml:space="preserve">(202) 869-9150 </w:t>
      </w:r>
    </w:p>
    <w:p>
      <w:pPr>
        <w:pStyle w:val="TextBody"/>
        <w:bidi w:val="0"/>
        <w:spacing w:lineRule="auto" w:line="288" w:before="0" w:after="0"/>
        <w:jc w:val="center"/>
        <w:rPr>
          <w:rFonts w:ascii="Arial;sans-serif" w:hAnsi="Arial;sans-serif"/>
          <w:b w:val="false"/>
          <w:i/>
          <w:color w:val="000000"/>
          <w:sz w:val="16"/>
        </w:rPr>
      </w:pPr>
      <w:r>
        <w:rPr>
          <w:rFonts w:ascii="Arial;sans-serif" w:hAnsi="Arial;sans-serif"/>
          <w:b w:val="false"/>
          <w:i/>
          <w:color w:val="000000"/>
          <w:sz w:val="16"/>
        </w:rPr>
        <w:t>(Registrant's telephone number, including area code)</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329"/>
        <w:gridCol w:w="1158"/>
        <w:gridCol w:w="1169"/>
        <w:gridCol w:w="109"/>
        <w:gridCol w:w="109"/>
        <w:gridCol w:w="109"/>
        <w:gridCol w:w="594"/>
        <w:gridCol w:w="594"/>
        <w:gridCol w:w="596"/>
        <w:gridCol w:w="109"/>
        <w:gridCol w:w="109"/>
        <w:gridCol w:w="109"/>
        <w:gridCol w:w="1201"/>
        <w:gridCol w:w="1201"/>
        <w:gridCol w:w="1709"/>
      </w:tblGrid>
      <w:tr>
        <w:trPr/>
        <w:tc>
          <w:tcPr>
            <w:tcW w:w="1329"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 xml:space="preserve">Name of each exchange of which registered </w:t>
            </w:r>
          </w:p>
        </w:tc>
      </w:tr>
      <w:tr>
        <w:trPr/>
        <w:tc>
          <w:tcPr>
            <w:tcW w:w="3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XYL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New York Stock Exchange</w:t>
            </w:r>
          </w:p>
        </w:tc>
      </w:tr>
      <w:tr>
        <w:trPr/>
        <w:tc>
          <w:tcPr>
            <w:tcW w:w="3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Arial;sans-serif" w:hAnsi="Arial;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20"/>
        </w:rPr>
        <w:t>No  </w:t>
      </w:r>
      <w:r>
        <w:rPr>
          <w:color w:val="000000"/>
        </w:rPr>
        <w:t>☐</w:t>
      </w:r>
    </w:p>
    <w:p>
      <w:pPr>
        <w:pStyle w:val="TextBody"/>
        <w:bidi w:val="0"/>
        <w:spacing w:lineRule="auto" w:line="288" w:before="180" w:after="283"/>
        <w:jc w:val="left"/>
        <w:rPr/>
      </w:pPr>
      <w:r>
        <w:rPr>
          <w:rFonts w:ascii="Arial;sans-serif" w:hAnsi="Arial;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20"/>
        </w:rPr>
        <w:t>No  </w:t>
      </w:r>
      <w:r>
        <w:rPr>
          <w:color w:val="000000"/>
        </w:rPr>
        <w:t>☐</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150" w:type="dxa"/>
        <w:jc w:val="left"/>
        <w:tblInd w:w="0" w:type="dxa"/>
        <w:tblLayout w:type="fixed"/>
        <w:tblCellMar>
          <w:top w:w="28" w:type="dxa"/>
          <w:left w:w="28" w:type="dxa"/>
          <w:bottom w:w="28" w:type="dxa"/>
          <w:right w:w="28" w:type="dxa"/>
        </w:tblCellMar>
      </w:tblPr>
      <w:tblGrid>
        <w:gridCol w:w="739"/>
        <w:gridCol w:w="648"/>
        <w:gridCol w:w="652"/>
        <w:gridCol w:w="109"/>
        <w:gridCol w:w="109"/>
        <w:gridCol w:w="109"/>
        <w:gridCol w:w="109"/>
        <w:gridCol w:w="109"/>
        <w:gridCol w:w="109"/>
        <w:gridCol w:w="109"/>
        <w:gridCol w:w="109"/>
        <w:gridCol w:w="109"/>
        <w:gridCol w:w="809"/>
        <w:gridCol w:w="809"/>
        <w:gridCol w:w="813"/>
        <w:gridCol w:w="109"/>
        <w:gridCol w:w="109"/>
        <w:gridCol w:w="109"/>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TextBody"/>
        <w:bidi w:val="0"/>
        <w:spacing w:lineRule="auto" w:line="288" w:before="180" w:after="283"/>
        <w:jc w:val="left"/>
        <w:rPr/>
      </w:pPr>
      <w:r>
        <w:rPr>
          <w:rFonts w:ascii="Arial;sans-serif" w:hAnsi="Arial;sans-serif"/>
          <w:b w:val="false"/>
          <w:color w:val="000000"/>
          <w:sz w:val="20"/>
        </w:rPr>
        <w:t>Indicate by check mark whether the registrant is a shell company (as defined in Rule 12b-2 of the Exchange Act).     Yes  </w:t>
      </w:r>
      <w:r>
        <w:rPr>
          <w:color w:val="000000"/>
        </w:rPr>
        <w:t>☐    </w:t>
      </w:r>
      <w:r>
        <w:rPr>
          <w:rFonts w:ascii="Arial;sans-serif" w:hAnsi="Arial;sans-serif"/>
          <w:b w:val="false"/>
          <w:color w:val="000000"/>
          <w:sz w:val="20"/>
        </w:rPr>
        <w:t>No  </w:t>
      </w:r>
      <w:r>
        <w:rPr>
          <w:color w:val="000000"/>
        </w:rPr>
        <w:t>☑</w:t>
      </w:r>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As of July 24, 2026, there were 233,486,812 outstanding shares of the registrant’s common stock, par value $0.01 per share.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Xylem Inc.</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479"/>
        <w:gridCol w:w="346"/>
        <w:gridCol w:w="350"/>
        <w:gridCol w:w="197"/>
        <w:gridCol w:w="197"/>
        <w:gridCol w:w="197"/>
        <w:gridCol w:w="2668"/>
        <w:gridCol w:w="2527"/>
        <w:gridCol w:w="2534"/>
        <w:gridCol w:w="206"/>
        <w:gridCol w:w="206"/>
        <w:gridCol w:w="298"/>
      </w:tblGrid>
      <w:tr>
        <w:trPr/>
        <w:tc>
          <w:tcPr>
            <w:tcW w:w="4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c>
          <w:tcPr>
            <w:tcW w:w="2527" w:type="dxa"/>
            <w:tcBorders/>
            <w:vAlign w:val="center"/>
          </w:tcPr>
          <w:p>
            <w:pPr>
              <w:pStyle w:val="TableContents"/>
              <w:bidi w:val="0"/>
              <w:spacing w:before="0" w:after="283"/>
              <w:jc w:val="left"/>
              <w:rPr>
                <w:sz w:val="4"/>
                <w:szCs w:val="4"/>
              </w:rPr>
            </w:pPr>
            <w:r>
              <w:rPr>
                <w:sz w:val="4"/>
                <w:szCs w:val="4"/>
              </w:rPr>
            </w:r>
          </w:p>
        </w:tc>
        <w:tc>
          <w:tcPr>
            <w:tcW w:w="253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11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w:t>
            </w:r>
          </w:p>
        </w:tc>
        <w:tc>
          <w:tcPr>
            <w:tcW w:w="591"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77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color w:val="000000"/>
              </w:rPr>
            </w:pPr>
            <w:r>
              <w:rPr>
                <w:color w:val="000000"/>
              </w:rPr>
              <w:t>  </w:t>
            </w:r>
          </w:p>
        </w:tc>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PAGE</w:t>
            </w:r>
          </w:p>
        </w:tc>
      </w:tr>
      <w:tr>
        <w:trPr/>
        <w:tc>
          <w:tcPr>
            <w:tcW w:w="94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PART I – Financial Information</w:t>
            </w:r>
          </w:p>
        </w:tc>
        <w:tc>
          <w:tcPr>
            <w:tcW w:w="7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7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11c0a80d3a4a6e8d938c3541dc7c9d_10">
              <w:r>
                <w:rPr>
                  <w:rStyle w:val="InternetLink"/>
                  <w:rFonts w:ascii="Arial;sans-serif" w:hAnsi="Arial;sans-serif"/>
                  <w:b w:val="false"/>
                  <w:color w:val="0000FF"/>
                  <w:sz w:val="20"/>
                  <w:u w:val="single"/>
                </w:rPr>
                <w:t>Financial Statements:</w:t>
              </w:r>
            </w:hyperlink>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11c0a80d3a4a6e8d938c3541dc7c9d_16">
              <w:r>
                <w:rPr>
                  <w:rStyle w:val="InternetLink"/>
                  <w:rFonts w:ascii="Arial;sans-serif" w:hAnsi="Arial;sans-serif"/>
                  <w:b w:val="false"/>
                  <w:color w:val="0000FF"/>
                  <w:sz w:val="20"/>
                  <w:u w:val="single"/>
                </w:rPr>
                <w:t>Condensed Consolidated Income Statements for the Three and Six Months Ended June 30, 2026 and 2025 (Unaudited)</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11c0a80d3a4a6e8d938c3541dc7c9d_16">
              <w:r>
                <w:rPr>
                  <w:rStyle w:val="InternetLink"/>
                  <w:rFonts w:ascii="Arial;sans-serif" w:hAnsi="Arial;sans-serif"/>
                  <w:b w:val="false"/>
                  <w:color w:val="0000FF"/>
                  <w:sz w:val="20"/>
                  <w:u w:val="single"/>
                </w:rPr>
                <w:t>3</w:t>
              </w:r>
            </w:hyperlink>
          </w:p>
        </w:tc>
      </w:tr>
      <w:tr>
        <w:trPr/>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11c0a80d3a4a6e8d938c3541dc7c9d_19">
              <w:r>
                <w:rPr>
                  <w:rStyle w:val="InternetLink"/>
                  <w:rFonts w:ascii="Arial;sans-serif" w:hAnsi="Arial;sans-serif"/>
                  <w:b w:val="false"/>
                  <w:color w:val="0000FF"/>
                  <w:sz w:val="20"/>
                  <w:u w:val="single"/>
                </w:rPr>
                <w:t>Condensed Consolidated Statements of Comprehensive Income for the Three and Six Months Ended June 30, 2026 and 2025 (Unaudited)</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11c0a80d3a4a6e8d938c3541dc7c9d_19">
              <w:r>
                <w:rPr>
                  <w:rStyle w:val="InternetLink"/>
                  <w:rFonts w:ascii="Arial;sans-serif" w:hAnsi="Arial;sans-serif"/>
                  <w:b w:val="false"/>
                  <w:color w:val="0000FF"/>
                  <w:sz w:val="20"/>
                  <w:u w:val="single"/>
                </w:rPr>
                <w:t>4</w:t>
              </w:r>
            </w:hyperlink>
          </w:p>
        </w:tc>
      </w:tr>
      <w:tr>
        <w:trPr/>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11c0a80d3a4a6e8d938c3541dc7c9d_22">
              <w:r>
                <w:rPr>
                  <w:rStyle w:val="InternetLink"/>
                  <w:rFonts w:ascii="Arial;sans-serif" w:hAnsi="Arial;sans-serif"/>
                  <w:b w:val="false"/>
                  <w:color w:val="0000FF"/>
                  <w:sz w:val="20"/>
                  <w:u w:val="single"/>
                </w:rPr>
                <w:t>Condensed Consolidated Balance Sheets as of June 30, 2026 and December 31, 2025 (Unaudited)</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11c0a80d3a4a6e8d938c3541dc7c9d_22">
              <w:r>
                <w:rPr>
                  <w:rStyle w:val="InternetLink"/>
                  <w:rFonts w:ascii="Arial;sans-serif" w:hAnsi="Arial;sans-serif"/>
                  <w:b w:val="false"/>
                  <w:color w:val="0000FF"/>
                  <w:sz w:val="20"/>
                  <w:u w:val="single"/>
                </w:rPr>
                <w:t>5</w:t>
              </w:r>
            </w:hyperlink>
          </w:p>
        </w:tc>
      </w:tr>
      <w:tr>
        <w:trPr/>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11c0a80d3a4a6e8d938c3541dc7c9d_25">
              <w:r>
                <w:rPr>
                  <w:rStyle w:val="InternetLink"/>
                  <w:rFonts w:ascii="Arial;sans-serif" w:hAnsi="Arial;sans-serif"/>
                  <w:b w:val="false"/>
                  <w:color w:val="000080"/>
                  <w:sz w:val="20"/>
                  <w:u w:val="single"/>
                </w:rPr>
                <w:t>Condensed Consolidated Statements of Cash Flows for the</w:t>
              </w:r>
            </w:hyperlink>
            <w:hyperlink w:anchor="i6411c0a80d3a4a6e8d938c3541dc7c9d_25">
              <w:r>
                <w:rPr>
                  <w:rStyle w:val="InternetLink"/>
                  <w:rFonts w:ascii="Arial;sans-serif" w:hAnsi="Arial;sans-serif"/>
                  <w:b w:val="false"/>
                  <w:color w:val="000080"/>
                  <w:sz w:val="20"/>
                  <w:u w:val="single"/>
                </w:rPr>
                <w:t xml:space="preserve"> Six Months Ended June 30, 2026 and 2025 (Unaudited)</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11c0a80d3a4a6e8d938c3541dc7c9d_25">
              <w:r>
                <w:rPr>
                  <w:rStyle w:val="InternetLink"/>
                  <w:rFonts w:ascii="Arial;sans-serif" w:hAnsi="Arial;sans-serif"/>
                  <w:b w:val="false"/>
                  <w:color w:val="0000FF"/>
                  <w:sz w:val="20"/>
                  <w:u w:val="single"/>
                </w:rPr>
                <w:t>6</w:t>
              </w:r>
            </w:hyperlink>
          </w:p>
        </w:tc>
      </w:tr>
      <w:tr>
        <w:trPr/>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11c0a80d3a4a6e8d938c3541dc7c9d_28">
              <w:r>
                <w:rPr>
                  <w:rStyle w:val="InternetLink"/>
                  <w:rFonts w:ascii="Arial;sans-serif" w:hAnsi="Arial;sans-serif"/>
                  <w:b w:val="false"/>
                  <w:color w:val="0000FF"/>
                  <w:sz w:val="20"/>
                  <w:u w:val="single"/>
                </w:rPr>
                <w:t>Notes to the Condensed Consolidated Financial Statements (Unaudited)</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11c0a80d3a4a6e8d938c3541dc7c9d_28">
              <w:r>
                <w:rPr>
                  <w:rStyle w:val="InternetLink"/>
                  <w:rFonts w:ascii="Arial;sans-serif" w:hAnsi="Arial;sans-serif"/>
                  <w:b w:val="false"/>
                  <w:color w:val="0000FF"/>
                  <w:sz w:val="20"/>
                  <w:u w:val="single"/>
                </w:rPr>
                <w:t>7</w:t>
              </w:r>
            </w:hyperlink>
          </w:p>
        </w:tc>
      </w:tr>
      <w:tr>
        <w:trPr/>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7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11c0a80d3a4a6e8d938c3541dc7c9d_100">
              <w:r>
                <w:rPr>
                  <w:rStyle w:val="InternetLink"/>
                  <w:rFonts w:ascii="Arial;sans-serif" w:hAnsi="Arial;sans-serif"/>
                  <w:b w:val="false"/>
                  <w:color w:val="0000FF"/>
                  <w:sz w:val="20"/>
                  <w:u w:val="single"/>
                </w:rPr>
                <w:t>Management’s Discussion and Analysis of Financial Condition and Results of Operations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11c0a80d3a4a6e8d938c3541dc7c9d_100">
              <w:r>
                <w:rPr>
                  <w:rStyle w:val="InternetLink"/>
                  <w:rFonts w:ascii="Arial;sans-serif" w:hAnsi="Arial;sans-serif"/>
                  <w:b w:val="false"/>
                  <w:color w:val="0000FF"/>
                  <w:sz w:val="20"/>
                  <w:u w:val="single"/>
                </w:rPr>
                <w:t>40</w:t>
              </w:r>
            </w:hyperlink>
          </w:p>
        </w:tc>
      </w:tr>
      <w:tr>
        <w:trPr/>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7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11c0a80d3a4a6e8d938c3541dc7c9d_109">
              <w:r>
                <w:rPr>
                  <w:rStyle w:val="InternetLink"/>
                  <w:rFonts w:ascii="Arial;sans-serif" w:hAnsi="Arial;sans-serif"/>
                  <w:b w:val="false"/>
                  <w:color w:val="0000FF"/>
                  <w:sz w:val="20"/>
                  <w:u w:val="single"/>
                </w:rPr>
                <w:t>Quantitative and Qualitative Disclosures About Market Risk</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11c0a80d3a4a6e8d938c3541dc7c9d_109">
              <w:r>
                <w:rPr>
                  <w:rStyle w:val="InternetLink"/>
                  <w:rFonts w:ascii="Arial;sans-serif" w:hAnsi="Arial;sans-serif"/>
                  <w:b w:val="false"/>
                  <w:color w:val="0000FF"/>
                  <w:sz w:val="20"/>
                  <w:u w:val="single"/>
                </w:rPr>
                <w:t>61</w:t>
              </w:r>
            </w:hyperlink>
          </w:p>
        </w:tc>
      </w:tr>
      <w:tr>
        <w:trPr/>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7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11c0a80d3a4a6e8d938c3541dc7c9d_112">
              <w:r>
                <w:rPr>
                  <w:rStyle w:val="InternetLink"/>
                  <w:rFonts w:ascii="Arial;sans-serif" w:hAnsi="Arial;sans-serif"/>
                  <w:b w:val="false"/>
                  <w:color w:val="0000FF"/>
                  <w:sz w:val="20"/>
                  <w:u w:val="single"/>
                </w:rPr>
                <w:t>Controls and Procedures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11c0a80d3a4a6e8d938c3541dc7c9d_112">
              <w:r>
                <w:rPr>
                  <w:rStyle w:val="InternetLink"/>
                  <w:rFonts w:ascii="Arial;sans-serif" w:hAnsi="Arial;sans-serif"/>
                  <w:b w:val="false"/>
                  <w:color w:val="0000FF"/>
                  <w:sz w:val="20"/>
                  <w:u w:val="single"/>
                </w:rPr>
                <w:t>61</w:t>
              </w:r>
            </w:hyperlink>
          </w:p>
        </w:tc>
      </w:tr>
      <w:tr>
        <w:trPr/>
        <w:tc>
          <w:tcPr>
            <w:tcW w:w="94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PART II – Other Information</w:t>
            </w:r>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7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11c0a80d3a4a6e8d938c3541dc7c9d_118">
              <w:r>
                <w:rPr>
                  <w:rStyle w:val="InternetLink"/>
                  <w:rFonts w:ascii="Arial;sans-serif" w:hAnsi="Arial;sans-serif"/>
                  <w:b w:val="false"/>
                  <w:color w:val="0000FF"/>
                  <w:sz w:val="20"/>
                  <w:u w:val="single"/>
                </w:rPr>
                <w:t>Legal Proceedings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11c0a80d3a4a6e8d938c3541dc7c9d_118">
              <w:r>
                <w:rPr>
                  <w:rStyle w:val="InternetLink"/>
                  <w:rFonts w:ascii="Arial;sans-serif" w:hAnsi="Arial;sans-serif"/>
                  <w:b w:val="false"/>
                  <w:color w:val="0000FF"/>
                  <w:sz w:val="20"/>
                  <w:u w:val="single"/>
                </w:rPr>
                <w:t>62</w:t>
              </w:r>
            </w:hyperlink>
          </w:p>
        </w:tc>
      </w:tr>
      <w:tr>
        <w:trPr/>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7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11c0a80d3a4a6e8d938c3541dc7c9d_121">
              <w:r>
                <w:rPr>
                  <w:rStyle w:val="InternetLink"/>
                  <w:rFonts w:ascii="Arial;sans-serif" w:hAnsi="Arial;sans-serif"/>
                  <w:b w:val="false"/>
                  <w:color w:val="0000FF"/>
                  <w:sz w:val="20"/>
                  <w:u w:val="single"/>
                </w:rPr>
                <w:t>Risk Factors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11c0a80d3a4a6e8d938c3541dc7c9d_121">
              <w:r>
                <w:rPr>
                  <w:rStyle w:val="InternetLink"/>
                  <w:rFonts w:ascii="Arial;sans-serif" w:hAnsi="Arial;sans-serif"/>
                  <w:b w:val="false"/>
                  <w:color w:val="0000FF"/>
                  <w:sz w:val="20"/>
                  <w:u w:val="single"/>
                </w:rPr>
                <w:t>62</w:t>
              </w:r>
            </w:hyperlink>
          </w:p>
        </w:tc>
      </w:tr>
      <w:tr>
        <w:trPr/>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7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11c0a80d3a4a6e8d938c3541dc7c9d_124">
              <w:r>
                <w:rPr>
                  <w:rStyle w:val="InternetLink"/>
                  <w:rFonts w:ascii="Arial;sans-serif" w:hAnsi="Arial;sans-serif"/>
                  <w:b w:val="false"/>
                  <w:color w:val="0000FF"/>
                  <w:sz w:val="20"/>
                  <w:u w:val="single"/>
                </w:rPr>
                <w:t>Unregistered Sales of Equity Securities and Use of Proceeds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11c0a80d3a4a6e8d938c3541dc7c9d_124">
              <w:r>
                <w:rPr>
                  <w:rStyle w:val="InternetLink"/>
                  <w:rFonts w:ascii="Arial;sans-serif" w:hAnsi="Arial;sans-serif"/>
                  <w:b w:val="false"/>
                  <w:color w:val="0000FF"/>
                  <w:sz w:val="20"/>
                  <w:u w:val="single"/>
                </w:rPr>
                <w:t>62</w:t>
              </w:r>
            </w:hyperlink>
          </w:p>
        </w:tc>
      </w:tr>
      <w:tr>
        <w:trPr/>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7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11c0a80d3a4a6e8d938c3541dc7c9d_127">
              <w:r>
                <w:rPr>
                  <w:rStyle w:val="InternetLink"/>
                  <w:rFonts w:ascii="Arial;sans-serif" w:hAnsi="Arial;sans-serif"/>
                  <w:b w:val="false"/>
                  <w:color w:val="0000FF"/>
                  <w:sz w:val="20"/>
                  <w:u w:val="single"/>
                </w:rPr>
                <w:t>Defaults Upon Senior Securities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11c0a80d3a4a6e8d938c3541dc7c9d_127">
              <w:r>
                <w:rPr>
                  <w:rStyle w:val="InternetLink"/>
                  <w:rFonts w:ascii="Arial;sans-serif" w:hAnsi="Arial;sans-serif"/>
                  <w:b w:val="false"/>
                  <w:color w:val="0000FF"/>
                  <w:sz w:val="20"/>
                  <w:u w:val="single"/>
                </w:rPr>
                <w:t>62</w:t>
              </w:r>
            </w:hyperlink>
          </w:p>
        </w:tc>
      </w:tr>
      <w:tr>
        <w:trPr/>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7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11c0a80d3a4a6e8d938c3541dc7c9d_130">
              <w:r>
                <w:rPr>
                  <w:rStyle w:val="InternetLink"/>
                  <w:rFonts w:ascii="Arial;sans-serif" w:hAnsi="Arial;sans-serif"/>
                  <w:b w:val="false"/>
                  <w:color w:val="000080"/>
                  <w:sz w:val="20"/>
                  <w:u w:val="single"/>
                </w:rPr>
                <w:t>Mine Safety Disclosure</w:t>
              </w:r>
            </w:hyperlink>
            <w:r>
              <w:rPr>
                <w:rFonts w:ascii="Arial;sans-serif" w:hAnsi="Arial;sans-serif"/>
                <w:b w:val="false"/>
                <w:color w:val="0000FF"/>
                <w:sz w:val="20"/>
                <w:u w:val="single"/>
              </w:rPr>
              <w:t>s</w:t>
            </w:r>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11c0a80d3a4a6e8d938c3541dc7c9d_130">
              <w:r>
                <w:rPr>
                  <w:rStyle w:val="InternetLink"/>
                  <w:rFonts w:ascii="Arial;sans-serif" w:hAnsi="Arial;sans-serif"/>
                  <w:b w:val="false"/>
                  <w:color w:val="0000FF"/>
                  <w:sz w:val="20"/>
                  <w:u w:val="single"/>
                </w:rPr>
                <w:t>62</w:t>
              </w:r>
            </w:hyperlink>
          </w:p>
        </w:tc>
      </w:tr>
      <w:tr>
        <w:trPr/>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7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11c0a80d3a4a6e8d938c3541dc7c9d_133">
              <w:r>
                <w:rPr>
                  <w:rStyle w:val="InternetLink"/>
                  <w:rFonts w:ascii="Arial;sans-serif" w:hAnsi="Arial;sans-serif"/>
                  <w:b w:val="false"/>
                  <w:color w:val="0000FF"/>
                  <w:sz w:val="20"/>
                  <w:u w:val="single"/>
                </w:rPr>
                <w:t>Other Information</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11c0a80d3a4a6e8d938c3541dc7c9d_133">
              <w:r>
                <w:rPr>
                  <w:rStyle w:val="InternetLink"/>
                  <w:rFonts w:ascii="Arial;sans-serif" w:hAnsi="Arial;sans-serif"/>
                  <w:b w:val="false"/>
                  <w:color w:val="0000FF"/>
                  <w:sz w:val="20"/>
                  <w:u w:val="single"/>
                </w:rPr>
                <w:t>62</w:t>
              </w:r>
            </w:hyperlink>
          </w:p>
        </w:tc>
      </w:tr>
      <w:tr>
        <w:trPr/>
        <w:tc>
          <w:tcPr>
            <w:tcW w:w="1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7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11c0a80d3a4a6e8d938c3541dc7c9d_136">
              <w:r>
                <w:rPr>
                  <w:rStyle w:val="InternetLink"/>
                  <w:rFonts w:ascii="Arial;sans-serif" w:hAnsi="Arial;sans-serif"/>
                  <w:b w:val="false"/>
                  <w:color w:val="0000FF"/>
                  <w:sz w:val="20"/>
                  <w:u w:val="single"/>
                </w:rPr>
                <w:t>Exhibits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11c0a80d3a4a6e8d938c3541dc7c9d_136">
              <w:r>
                <w:rPr>
                  <w:rStyle w:val="InternetLink"/>
                  <w:rFonts w:ascii="Arial;sans-serif" w:hAnsi="Arial;sans-serif"/>
                  <w:b w:val="false"/>
                  <w:color w:val="0000FF"/>
                  <w:sz w:val="20"/>
                  <w:u w:val="single"/>
                </w:rPr>
                <w:t>62</w:t>
              </w:r>
            </w:hyperlink>
          </w:p>
        </w:tc>
      </w:tr>
      <w:tr>
        <w:trPr/>
        <w:tc>
          <w:tcPr>
            <w:tcW w:w="1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411c0a80d3a4a6e8d938c3541dc7c9d_142">
              <w:r>
                <w:rPr>
                  <w:rStyle w:val="InternetLink"/>
                  <w:rFonts w:ascii="Arial;sans-serif" w:hAnsi="Arial;sans-serif"/>
                  <w:b w:val="false"/>
                  <w:color w:val="0000FF"/>
                  <w:sz w:val="20"/>
                  <w:u w:val="single"/>
                </w:rPr>
                <w:t>Signatures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11c0a80d3a4a6e8d938c3541dc7c9d_142">
              <w:r>
                <w:rPr>
                  <w:rStyle w:val="InternetLink"/>
                  <w:rFonts w:ascii="Arial;sans-serif" w:hAnsi="Arial;sans-serif"/>
                  <w:b w:val="false"/>
                  <w:color w:val="0000FF"/>
                  <w:sz w:val="20"/>
                  <w:u w:val="single"/>
                </w:rPr>
                <w:t>64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PART I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XYLEM INC. AND SUBSIDIARIES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CONDENSED CONSOLIDATED INCOME STATEMENTS (Unaudited)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millions, except per share data) </w:t>
      </w:r>
    </w:p>
    <w:p>
      <w:pPr>
        <w:pStyle w:val="TextBody"/>
        <w:bidi w:val="0"/>
        <w:spacing w:before="0" w:after="0"/>
        <w:jc w:val="left"/>
        <w:rPr/>
      </w:pPr>
      <w:r>
        <w:rPr/>
      </w:r>
    </w:p>
    <w:tbl>
      <w:tblPr>
        <w:tblW w:w="9104" w:type="dxa"/>
        <w:jc w:val="left"/>
        <w:tblInd w:w="0" w:type="dxa"/>
        <w:tblLayout w:type="fixed"/>
        <w:tblCellMar>
          <w:top w:w="28" w:type="dxa"/>
          <w:left w:w="28" w:type="dxa"/>
          <w:bottom w:w="28" w:type="dxa"/>
          <w:right w:w="28" w:type="dxa"/>
        </w:tblCellMar>
      </w:tblPr>
      <w:tblGrid>
        <w:gridCol w:w="1526"/>
        <w:gridCol w:w="1342"/>
        <w:gridCol w:w="1346"/>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152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For the periods ended June 30,</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r>
      <w:tr>
        <w:trPr/>
        <w:tc>
          <w:tcPr>
            <w:tcW w:w="42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from products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1,953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3,710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from services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2,336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4,461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 from products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 from services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1,373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2,695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963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1,766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and asset impairment charges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non-operating (expense)/income,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sale of businesses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taxes</w:t>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608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attributable to non-controlling interests</w:t>
            </w:r>
          </w:p>
        </w:tc>
        <w:tc>
          <w:tcPr>
            <w:tcW w:w="85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w:t>
            </w: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Xylem</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per share:</w:t>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number of shares: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540" w:after="283"/>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pStyle w:val="TextBody"/>
        <w:bidi w:val="0"/>
        <w:spacing w:before="5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XYLEM INC. AND SUBSIDIARIES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CONDENSED CONSOLIDATED STATEMENTS OF COMPREHENSIVE INCOME (Unaudited)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millions)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359"/>
        <w:gridCol w:w="1805"/>
        <w:gridCol w:w="1810"/>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11"/>
        <w:gridCol w:w="481"/>
        <w:gridCol w:w="155"/>
      </w:tblGrid>
      <w:tr>
        <w:trPr/>
        <w:tc>
          <w:tcPr>
            <w:tcW w:w="2359"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97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2302" w:type="dxa"/>
            <w:gridSpan w:val="12"/>
            <w:tcBorders/>
          </w:tcPr>
          <w:p>
            <w:pPr>
              <w:pStyle w:val="TableContents"/>
              <w:bidi w:val="0"/>
              <w:spacing w:before="0" w:after="283"/>
              <w:jc w:val="left"/>
              <w:rPr>
                <w:sz w:val="4"/>
                <w:szCs w:val="4"/>
              </w:rPr>
            </w:pPr>
            <w:r>
              <w:rPr>
                <w:sz w:val="4"/>
                <w:szCs w:val="4"/>
              </w:rPr>
            </w:r>
          </w:p>
        </w:tc>
      </w:tr>
      <w:tr>
        <w:trPr/>
        <w:tc>
          <w:tcPr>
            <w:tcW w:w="5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w:t>
            </w:r>
          </w:p>
        </w:tc>
      </w:tr>
      <w:tr>
        <w:trPr/>
        <w:tc>
          <w:tcPr>
            <w:tcW w:w="5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For the periods ended June 30,</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r>
      <w:tr>
        <w:trPr/>
        <w:tc>
          <w:tcPr>
            <w:tcW w:w="59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 income, before tax:</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of currency translation adjustment relating to divestiture of foreign subsidiaries reclassified into net income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derivative hedge agreements: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(loss) gain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of (gain) loss reclassified into net income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post-retirement benefit plans: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597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597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net actuarial gain into net income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of gain recognized relating to divestiture of foreign subsidiaries reclassified into net income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 income, before tax</w:t>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 (benefit) related to items of other comprehensive income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 income, net of tax</w:t>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loss attributable to non-controlling interest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 attributable to Xylem</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608 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XYLEM INC. AND SUBSIDIARIES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CONDENSED CONSOLIDATED BALANCE SHEETS (Unaudited)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millions) </w:t>
      </w:r>
    </w:p>
    <w:tbl>
      <w:tblPr>
        <w:tblW w:w="10205" w:type="dxa"/>
        <w:jc w:val="left"/>
        <w:tblInd w:w="0" w:type="dxa"/>
        <w:tblLayout w:type="fixed"/>
        <w:tblCellMar>
          <w:top w:w="28" w:type="dxa"/>
          <w:left w:w="28" w:type="dxa"/>
          <w:bottom w:w="28" w:type="dxa"/>
          <w:right w:w="28" w:type="dxa"/>
        </w:tblCellMar>
      </w:tblPr>
      <w:tblGrid>
        <w:gridCol w:w="2853"/>
        <w:gridCol w:w="2325"/>
        <w:gridCol w:w="2340"/>
        <w:gridCol w:w="211"/>
        <w:gridCol w:w="751"/>
        <w:gridCol w:w="109"/>
        <w:gridCol w:w="109"/>
        <w:gridCol w:w="109"/>
        <w:gridCol w:w="109"/>
        <w:gridCol w:w="243"/>
        <w:gridCol w:w="866"/>
        <w:gridCol w:w="180"/>
      </w:tblGrid>
      <w:tr>
        <w:trPr/>
        <w:tc>
          <w:tcPr>
            <w:tcW w:w="2853"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31,</w:t>
              <w:br/>
              <w:t>2025</w:t>
            </w:r>
          </w:p>
        </w:tc>
      </w:tr>
      <w:tr>
        <w:trPr/>
        <w:tc>
          <w:tcPr>
            <w:tcW w:w="7518"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751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Receivables, less allowances for discounts, returns and credit losses of $54 and $68 in 2026 and 2025, respectively</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and other current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held for sale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4,394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4,641 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8,332 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intangible assets,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17,342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17,634 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REDEEMABLE NON-CONTROLLING INTEREST, AND STOCKHOLDERS’ EQUITY</w:t>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and other current liabilities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borrowings and current maturities of long-term debt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 held for sale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2,724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2,856 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post-retirement benefit obligations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 liabilities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accrued liabilities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w:t>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6,676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5,885 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 (Note 18)</w:t>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Redeemable non-controlling interest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w:t>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 par value $0.01 per share:</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Authorized 750.0 shares, issued 260.3 shares and 259.9 shares in 2026 and 2025, respectively</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in excess of par value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8,787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8,759 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Treasury stock – at cost 26.8 shares and 16.3 shares in 2026 and 2025, respectively</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(768)</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stockholders’ equity</w:t>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10,421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11,480 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interests</w:t>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equity</w:t>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10,424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11,491 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redeemable non-controlling interest,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17,342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17,634 </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XYLEM INC. AND SUBSIDIARIES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CONDENSED CONSOLIDATED STATEMENTS OF CASH FLOWS (Unaudited) (in millions)</w:t>
      </w:r>
    </w:p>
    <w:tbl>
      <w:tblPr>
        <w:tblW w:w="7794" w:type="dxa"/>
        <w:jc w:val="left"/>
        <w:tblInd w:w="0" w:type="dxa"/>
        <w:tblLayout w:type="fixed"/>
        <w:tblCellMar>
          <w:top w:w="28" w:type="dxa"/>
          <w:left w:w="28" w:type="dxa"/>
          <w:bottom w:w="28" w:type="dxa"/>
          <w:right w:w="28" w:type="dxa"/>
        </w:tblCellMar>
      </w:tblPr>
      <w:tblGrid>
        <w:gridCol w:w="2056"/>
        <w:gridCol w:w="1806"/>
        <w:gridCol w:w="1823"/>
        <w:gridCol w:w="196"/>
        <w:gridCol w:w="571"/>
        <w:gridCol w:w="109"/>
        <w:gridCol w:w="109"/>
        <w:gridCol w:w="109"/>
        <w:gridCol w:w="109"/>
        <w:gridCol w:w="196"/>
        <w:gridCol w:w="556"/>
        <w:gridCol w:w="154"/>
      </w:tblGrid>
      <w:tr>
        <w:trPr/>
        <w:tc>
          <w:tcPr>
            <w:tcW w:w="2056"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For the six months ended June 30,</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2025</w:t>
            </w:r>
          </w:p>
        </w:tc>
      </w:tr>
      <w:tr>
        <w:trPr/>
        <w:tc>
          <w:tcPr>
            <w:tcW w:w="56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Operating Activities</w:t>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450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Adjustments to reconcile net income to net cash provided by operating activities:</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Depreciation</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Amortization</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Share-based compensation</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Restructuring and asset impairment charges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Loss from sale of businesses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Other, net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Payments for restructuring</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Changes in assets and liabilities (net of acquisitions):</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Changes in receivables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Changes in inventories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Changes in accrued expenses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Changes in accrued and deferred taxes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Changes in long term receivables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Other, net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Net Cash – Operating activities</w:t>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398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338 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Investing Activities</w:t>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Capital expenditures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 xml:space="preserve">Acquisitions of businesses, net of cash acquired </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Proceeds from sale of businesses, net of cash disposed</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Proceeds from the sale of property, plant and equipment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Cash paid for investments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Cash paid for asset acquisition</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Cash received from cross-currency swaps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Net Cash – Investing activities</w:t>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(98)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Financing Activities</w:t>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Short-term debt issued, net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Long-term debt issued, net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990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Long-term debt repaid</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Repurchase of common stock</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(1,243)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Proceeds from exercise of employee stock options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Dividends paid</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Other, net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Net Cash – Financing activities</w:t>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(484)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(244)</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Effect of exchange rate changes on cash</w:t>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(31)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Increase in cash classified within assets held for sale</w:t>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Decrease in cash classified within assets held for sale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Changes in cash classified within assets held for sale</w:t>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Net change in cash and cash equivalents</w:t>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5"/>
              </w:rPr>
            </w:pPr>
            <w:r>
              <w:rPr>
                <w:rFonts w:ascii="Arial;sans-serif" w:hAnsi="Arial;sans-serif"/>
                <w:b/>
                <w:color w:val="000000"/>
                <w:sz w:val="15"/>
              </w:rPr>
              <w:t>(203)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Cash and cash equivalents at beginning of year</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1,479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Cash and cash equivalents at end of period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1,276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1,170 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Supplemental disclosure of cash flow information:</w:t>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Cash paid during the period for:</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Income taxes (net of refunds received)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5"/>
              </w:rPr>
              <w:t>157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XYLEM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1. Background and Basis of Presentation</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Background</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Xylem Inc. (“Xylem” or the “Company”) is a leading equipment and service provider for water and wastewater applications with a broad portfolio of products and services addressing the full cycle of water, from collection, distribution and use to the return of water to the environment.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Xylem operates in four segments, Water Infrastructure, Applied Water, Measurement and Control Solutions and Water Solutions and Services. See Note 19, "Segment Information," to the condensed consolidated financial statements for further segment background information.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Except as otherwise indicated or unless the context otherwise requires, "Xylem," "we," "us," "our" and the "Company" refer to Xylem Inc. and its subsidiaries.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Basis of Presentation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interim condensed consolidated financial statements reflect our financial position and results of operations in conformity with accounting principles generally accepted in the United States of America ("GAAP"). All intercompany transactions between our businesses have been eliminated.</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unaudited interim condensed consolidated financial statements have been prepared pursuant to the rules and regulations of the Securities and Exchange Commission ("SEC") and, in the opinion of management, reflect all adjustments (which include normal recurring adjustments) considered necessary for a fair statement of the financial position and results of operations for the periods presented. Certain information and note disclosures normally included in financial statements prepared in accordance with GAAP have been condensed or omitted pursuant to such SEC rules. We believe that the disclosures made are adequate to make the information presented not misleading. We consistently applied the accounting policies described in our Annual Report on Form 10-K for the year ended December 31, 2025 ("2025 Annual Report") in preparing these unaudited condensed consolidated financial statements. These condensed consolidated financial statements should be read in conjunction with the audited consolidated financial statements and the notes included in our 2025 Annual Report.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preparation of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 and expenses during the reporting period. Estimates are revised as additional information becomes available. Estimates and assumptions are used for, but not limited to, valuation results associated with purchase accounting, post-retirement obligations and assets, revenue recognition, income taxes, valuation of intangible assets, valuation of assets and liabilities classified as held for sale, goodwill and indefinite-lived intangible impairment testing and contingent liabilities. Actual results could differ from these estimates.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quarterly financial periods end on the Saturday closest to the last day of the calendar quarter, except for the fourth quarter which ends on December 31. For ease of presentation, the condensed consolidated financial statements included herein are described as ending on the last day of the calendar quarter.</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Tariff Developments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 February 2026, the U.S. Supreme Court ruled that certain tariffs previously imposed under the International Emergency Economic Powers Act (“IEEPA”) were unlawful. As a result of that ruling and related Court-ordered actions by the Court of International Trade (“CIT”), the Company has evaluated the recoverability of IEEPA tariffs previously paid on imported goods.</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The Company previously recognized amounts paid for such tariffs within cost of revenue from products and services. During the second quarter of 2026, the Company received $4 million of refunds and also recognized a $12 million receivable within prepaid and other current assets in the condensed consolidated balance sheets, with a corresponding reduction to cost of revenue from products. The amount of receivable recognized was based on the Company’s determination of the portion of tariff refunds that are probable of recovery and reasonably estimable.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 continues to assess its ongoing submissions for refunds of IEEPA tariffs and expects to record additional recoveries as uncertainties around the refund process are resolved. To the extent there are changes in amounts that become recoverable, including any associated interest, such amounts will be recognized in the period in which information about the probable and reasonably estimable amounts becomes known to the Company.</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2. Recently Issued Accounting Pronouncements</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Pronouncements Not Yet Adopted</w:t>
      </w:r>
    </w:p>
    <w:p>
      <w:pPr>
        <w:pStyle w:val="TextBody"/>
        <w:bidi w:val="0"/>
        <w:spacing w:lineRule="auto" w:line="288" w:before="120" w:after="120"/>
        <w:jc w:val="left"/>
        <w:rPr/>
      </w:pPr>
      <w:r>
        <w:rPr>
          <w:rFonts w:ascii="Arial;sans-serif" w:hAnsi="Arial;sans-serif"/>
          <w:b w:val="false"/>
          <w:color w:val="000000"/>
          <w:sz w:val="20"/>
        </w:rPr>
        <w:t xml:space="preserve">In September 2025, the Financial Accounting Standards Board ("FASB") issued Accounting Standards Update ("ASU") No. 2025-06, “Intangibles—Goodwill and Other—Internal-Use Software (Subtopic 350-40): Targeted Improvements to the Accounting for Internal-Use Software”. This ASU amends the capitalization criteria for internal-use software and requires entities to make certain disclosure of costs capitalized under this subtopic. This ASU also supersedes existing guidance on web site development costs. The standard is effective for annual reporting periods beginning after December 15, 2027, and interim reporting periods within those annual reporting periods, with early adoption permitted. Prospective, retrospective, or modified transition adoption methods are all permitted under this ASU. </w:t>
      </w:r>
      <w:r>
        <w:rPr>
          <w:rFonts w:ascii="Arial;sans-serif" w:hAnsi="Arial;sans-serif"/>
          <w:b w:val="false"/>
          <w:color w:val="000000"/>
          <w:sz w:val="20"/>
          <w:shd w:fill="FFFFFF" w:val="clear"/>
        </w:rPr>
        <w:t>We are currently evaluating the impact and method of adoption of this amendment.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 November 2024, the FASB issued ASU No. 2024-03, "Expense Disaggregation Disclosures (Subtopic 220-40): Disaggregation of Income Statement Expenses". This ASU requires a footnote disclosure to disaggregate each relevant expense caption on the face of the income statement that includes specific natural expense categories. In addition, the standard requires disclosure of selling expenses on an annual and interim basis. The standard is effective in annual reporting periods beginning after December 15, 2026, and interim periods within annual reporting periods beginning after December 15, 2027. Early adoption is permitted. The standard is required to be adopted prospectively, but retrospective adoption is permitted. The Company is currently evaluating the method of adoption and the impact of the guidance on our disclosures in future periods.</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Recently Adopted Pronouncements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 July 2025, the FASB issued ASU 2025-05, Financial Instruments—Credit Losses (Topic 326): "Measurement of Credit Losses for Accounts Receivable and Contract Assets". This update provides a practical expedient that allows entities to assume current conditions as of the balance sheet date remain unchanged over the remaining life of certain current trade receivables and current contract assets when developing reasonable and supportable forecasts in estimating expected credit losses. The Company adopted ASU 2025-05 effective January 1, 2026, and elected the practical expedient for applicable trade receivables and contract assets on a prospective basis. Adoption of the standard did not have a material impact on the Company’s consolidated financial statements.</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3. Acquisitions and Divestitures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2026 Business Combination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On July 24, 2026, the Company entered into a definitive agreement to acquire 100% ownership in WaterFleet Intermediate Holdings, Inc. ("WaterFleet"), a company specializing in mobile water and wastewater utility services, and workforce relief solutions. The purchase price is approximately $200 million subject to customary adjustments for working capital and other matters. The acquisition will be included in the Water Solutions and Services segment and is expected to close in 2026.</w:t>
      </w:r>
    </w:p>
    <w:p>
      <w:pPr>
        <w:pStyle w:val="TextBody"/>
        <w:bidi w:val="0"/>
        <w:spacing w:lineRule="auto" w:line="288" w:before="120" w:after="120"/>
        <w:jc w:val="left"/>
        <w:rPr/>
      </w:pPr>
      <w:r>
        <w:rPr>
          <w:rFonts w:ascii="Arial;sans-serif" w:hAnsi="Arial;sans-serif"/>
          <w:b w:val="false"/>
          <w:color w:val="000000"/>
          <w:sz w:val="20"/>
        </w:rPr>
        <w:t>On July 1, 2026, the Company acquired 100% ownership in TriOS Mess- und Datentechnik GmbH and its subsidiaries ("TriOS") for approximately €190 million (</w:t>
      </w:r>
      <w:r>
        <w:rPr>
          <w:rFonts w:ascii="Arial;sans-serif" w:hAnsi="Arial;sans-serif"/>
          <w:b w:val="false"/>
          <w:color w:val="000000"/>
          <w:sz w:val="20"/>
          <w:shd w:fill="FFFFFF" w:val="clear"/>
        </w:rPr>
        <w:t>$216 million</w:t>
      </w:r>
      <w:r>
        <w:rPr>
          <w:rFonts w:ascii="Arial;sans-serif" w:hAnsi="Arial;sans-serif"/>
          <w:b w:val="false"/>
          <w:color w:val="000000"/>
          <w:sz w:val="20"/>
        </w:rPr>
        <w:t xml:space="preserve">), subject to customary adjustments for working capital and other matters. TriOS is headquartered in Rastede, Germany, and specializes in optical sensing and measurement systems for water quality monitoring. The acquisition will be included in the financial results for the Measurement and Control Solutions segment beginning in the third quarter of 2026. </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2025 Business Combination</w:t>
      </w:r>
    </w:p>
    <w:p>
      <w:pPr>
        <w:pStyle w:val="TextBody"/>
        <w:bidi w:val="0"/>
        <w:spacing w:lineRule="auto" w:line="288" w:before="120" w:after="12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Pac Machine</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On December 2, 2025, the Company acquired Pac Machine Company ("Pac Machine"), a leading distributor specializing in the sale, rental and service of pumps, generators, and other dewatering equipment for mining,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construction, agriculture, energy and marine sectors. The acquisition strengthens the Company's presence in Northern California and Nevada, while providing synergy opportunities. Our condensed consolidated financial statements include Pac Machine's results of operations within the Water Solutions and Services segment. </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Total fair value of consideration transferred was $66 million ($62 million, net of cash acquired), of which $54 million ($50 million, net of cash acquired) was paid at closing. The consideration transferred includes $3 million related to the non-cash settlement of a preexisting receivable owed by the acquiree to the Company. The remaining consideration of $9 million will be paid over the next four years, subject to working capital and other customary adjustments. </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As of June 30, 2026, preliminary purchase accounting includes intangible assets totaling $27 million, consisting of customer relationships valued using the multi-period excess earnings method ("MEEM"), and goodwill totaling $32 million. The amount of goodwill recognized in the acquisition is not deductible for U.S. income tax purposes and is primarily attributable to costs and revenue synergies expected from combining the operations of Pac Machine with Xylem.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final determination of the fair value of certain assets and liabilities will be completed as soon as the necessary information becomes available but no later than one year from the acquisition date.</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EMX Holdings, Inc.</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On July 23, 2025, the Company acquired 100% ownership interest in EMX Holdings, Inc. and its subsidiary ("EnviroMix"). EnviroMix is headquartered in South Carolina, U.S., and provides mixing and process control products and services to municipal and industrial customers. This acquisition expands the Company's treatment offerings and provides synergy opportunities. The operating results of EnviroMix have been included in the Company's results of operations since the acquisition date within the Water Infrastructure segment.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total fair value of consideration transferred was $106 million, which was paid in cash on closing date. The fair value of assets and liabilities acquired resulting from the purchase price allocation consisted primarily of $76 million in goodwill and $34 million for customer relationships and other identifiable intangible assets. The identifiable intangible assets were valued using the MEEM method, the relief from royalty ("RFR") method, or the with and without method, all of which are forms of the income approach. The goodwill recognized in the acquisition is not deductible for U.S. income tax purposes and is primarily attributable to management know-how and the costs and revenue synergies expected from combining the operations of EnviroMix with Xylem. </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Simply Clean Air and Water, Inc.</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On January 31, 2025, we acquired Simply Clean Air and Water, Inc. ("Simply Clean"), a water service company that specializes in high-purity water systems for life sciences and pharmaceutical markets, for the net cash acquisition price of $7 million. The company is headquartered in Connecticut, U.S. with 20 employees. Our condensed consolidated financial statements include Simply Clean's results of operations within the Water Solutions and Services segment.</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2025 Asset Acquisition</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Vacom Systems, LLC</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On April 1, 2025, we acquired Vacom Systems, LLC ("Vacom"), a wastewater treatment company that specializes in non-fouling, non-scaling evaporator and crystallizer systems, headquartered in Utah, U.S. The transaction had a total cash consideration of $42 million, of which $37 million was paid at closing, with the rest expected to be paid during the year ended December 31, 2026. Additionally, the transaction consideration contained an earn out of 5% royalty on future revenue generated in connection with Vacom's proprietary technologies during the first five years following the acquisition. The earn out has a maximum pay out of $25 million.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Vacom transaction was accounted for as an asset acquisition because substantially all of the fair value of gross assets acquired were concentrated in its developed technology. On the acquisition date, the developed technology recognized in the condensed consolidated balance sheet was $49 million. The developed technology has a useful life of 15 years and it is being amortized over its useful life on a straight-line basis within the Water Solutions and Services segment.</w:t>
      </w:r>
    </w:p>
    <w:p>
      <w:pPr>
        <w:pStyle w:val="TextBody"/>
        <w:bidi w:val="0"/>
        <w:spacing w:lineRule="auto" w:line="288" w:before="120" w:after="120"/>
        <w:jc w:val="left"/>
        <w:rPr>
          <w:rFonts w:ascii="Arial;sans-serif" w:hAnsi="Arial;sans-serif"/>
          <w:b/>
          <w:i/>
          <w:color w:val="000000"/>
          <w:sz w:val="20"/>
          <w:shd w:fill="FFFFFF" w:val="clear"/>
        </w:rPr>
      </w:pPr>
      <w:r>
        <w:rPr>
          <w:rFonts w:ascii="Arial;sans-serif" w:hAnsi="Arial;sans-serif"/>
          <w:b/>
          <w:i/>
          <w:color w:val="000000"/>
          <w:sz w:val="20"/>
          <w:shd w:fill="FFFFFF" w:val="clear"/>
        </w:rPr>
        <w:t>2026 Divestiture</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On May 26, 2026, we completed the divestiture of our previously held-for-sale international metering business, part of the Measurement and Control Solutions segment, for total fair value consideration of approximately $80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million ($75 million, net of cash transferred). Total consideration includes $63 million in cash ($52 million net of cash transferred and pending settlements as of June 30, 2026), a $10 million note receivable, and a receivable for an estimated $7 million post-closing working capital adjustment.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As a result of the sale, the Company recognized a cumulative loss of $37 million, of which $23 million was recognized during the year ended December 31, 2025, and the remaining $14 million was recognized during 2026. The loss is presented within "Loss on sale of businesses" in the condensed consolidated income statements.</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company also completed certain other divestitures, which generated aggregate cash proceeds of approximately $7 million and resulted in a net gain of $2 million during 2026. </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2025 Divestiture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On February 7, 2025, we completed the divestiture of our previously held-for-sale Evoqua Magneto business, which was part of the Water Infrastructure segment, for a cash selling price of $61 million ($48 million, net of cash transferred). As a result of the sale, we recorded a loss of $10 million in the first quarter of the prior year, partially offset by a $2 million favorable final working capital adjustment recorded in the third quarter of the prior year, resulting in a total loss of $8 million. The loss is presented on the condensed consolidated income statement within "Loss on sale of businesses".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 also completed certain other divestitures, which generated aggregate cash proceeds of approximately $2 million.</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4. Revenue</w:t>
      </w:r>
    </w:p>
    <w:p>
      <w:pPr>
        <w:pStyle w:val="TextBody"/>
        <w:bidi w:val="0"/>
        <w:spacing w:lineRule="auto" w:line="417" w:before="180" w:after="140"/>
        <w:jc w:val="left"/>
        <w:rPr>
          <w:rFonts w:ascii="Arial;sans-serif" w:hAnsi="Arial;sans-serif"/>
          <w:b w:val="false"/>
          <w:i/>
          <w:color w:val="000000"/>
          <w:sz w:val="20"/>
        </w:rPr>
      </w:pPr>
      <w:r>
        <w:rPr>
          <w:rFonts w:ascii="Arial;sans-serif" w:hAnsi="Arial;sans-serif"/>
          <w:b w:val="false"/>
          <w:i/>
          <w:color w:val="000000"/>
          <w:sz w:val="20"/>
        </w:rPr>
        <w:t>Disaggregation of Revenue</w:t>
      </w:r>
    </w:p>
    <w:p>
      <w:pPr>
        <w:pStyle w:val="TextBody"/>
        <w:bidi w:val="0"/>
        <w:spacing w:lineRule="auto" w:line="288" w:before="120" w:after="140"/>
        <w:jc w:val="left"/>
        <w:rPr>
          <w:rFonts w:ascii="Arial;sans-serif" w:hAnsi="Arial;sans-serif"/>
          <w:b w:val="false"/>
          <w:color w:val="000000"/>
          <w:sz w:val="20"/>
        </w:rPr>
      </w:pPr>
      <w:r>
        <w:rPr>
          <w:rFonts w:ascii="Arial;sans-serif" w:hAnsi="Arial;sans-serif"/>
          <w:b w:val="false"/>
          <w:color w:val="000000"/>
          <w:sz w:val="20"/>
        </w:rPr>
        <w:t>The following table illustrates the sources of revenue:</w:t>
      </w:r>
    </w:p>
    <w:tbl>
      <w:tblPr>
        <w:tblW w:w="8475" w:type="dxa"/>
        <w:jc w:val="left"/>
        <w:tblInd w:w="0" w:type="dxa"/>
        <w:tblLayout w:type="fixed"/>
        <w:tblCellMar>
          <w:top w:w="28" w:type="dxa"/>
          <w:left w:w="28" w:type="dxa"/>
          <w:bottom w:w="28" w:type="dxa"/>
          <w:right w:w="28" w:type="dxa"/>
        </w:tblCellMar>
      </w:tblPr>
      <w:tblGrid>
        <w:gridCol w:w="1298"/>
        <w:gridCol w:w="1135"/>
        <w:gridCol w:w="1152"/>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from contracts with customers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2,262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4,321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 Revenue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2,336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4,461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140"/>
        <w:jc w:val="left"/>
        <w:rPr/>
      </w:pPr>
      <w:r>
        <w:rPr/>
      </w:r>
    </w:p>
    <w:p>
      <w:pPr>
        <w:pStyle w:val="TextBody"/>
        <w:bidi w:val="0"/>
        <w:spacing w:lineRule="auto" w:line="288" w:before="120" w:after="140"/>
        <w:jc w:val="left"/>
        <w:rPr>
          <w:rFonts w:ascii="Arial;sans-serif" w:hAnsi="Arial;sans-serif"/>
          <w:b w:val="false"/>
          <w:color w:val="000000"/>
          <w:sz w:val="20"/>
        </w:rPr>
      </w:pPr>
      <w:r>
        <w:rPr>
          <w:rFonts w:ascii="Arial;sans-serif" w:hAnsi="Arial;sans-serif"/>
          <w:b w:val="false"/>
          <w:color w:val="000000"/>
          <w:sz w:val="20"/>
        </w:rPr>
        <w:t>The following table reflects revenue from contracts with customers by application.</w:t>
      </w:r>
    </w:p>
    <w:tbl>
      <w:tblPr>
        <w:tblW w:w="8115" w:type="dxa"/>
        <w:jc w:val="left"/>
        <w:tblInd w:w="0" w:type="dxa"/>
        <w:tblLayout w:type="fixed"/>
        <w:tblCellMar>
          <w:top w:w="28" w:type="dxa"/>
          <w:left w:w="28" w:type="dxa"/>
          <w:bottom w:w="28" w:type="dxa"/>
          <w:right w:w="28" w:type="dxa"/>
        </w:tblCellMar>
      </w:tblPr>
      <w:tblGrid>
        <w:gridCol w:w="1168"/>
        <w:gridCol w:w="1021"/>
        <w:gridCol w:w="1036"/>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Water Infrastructure</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Transport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Treatment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Applied Water</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Building Solutions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Industrial Water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Measurement and Control Solutions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Smart Metering and 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Analytics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Water Solutions and Services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and 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2,262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4,321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40"/>
        <w:jc w:val="left"/>
        <w:rPr>
          <w:rFonts w:ascii="Arial;sans-serif" w:hAnsi="Arial;sans-serif"/>
          <w:b w:val="false"/>
          <w:color w:val="000000"/>
          <w:sz w:val="20"/>
        </w:rPr>
      </w:pPr>
      <w:r>
        <w:rPr>
          <w:rFonts w:ascii="Arial;sans-serif" w:hAnsi="Arial;sans-serif"/>
          <w:b w:val="false"/>
          <w:color w:val="000000"/>
          <w:sz w:val="20"/>
        </w:rPr>
        <w:t xml:space="preserve">The following table reflects revenue from contracts with customers by geographical region. </w:t>
      </w:r>
    </w:p>
    <w:tbl>
      <w:tblPr>
        <w:tblW w:w="8115" w:type="dxa"/>
        <w:jc w:val="left"/>
        <w:tblInd w:w="0" w:type="dxa"/>
        <w:tblLayout w:type="fixed"/>
        <w:tblCellMar>
          <w:top w:w="28" w:type="dxa"/>
          <w:left w:w="28" w:type="dxa"/>
          <w:bottom w:w="28" w:type="dxa"/>
          <w:right w:w="28" w:type="dxa"/>
        </w:tblCellMar>
      </w:tblPr>
      <w:tblGrid>
        <w:gridCol w:w="1168"/>
        <w:gridCol w:w="1020"/>
        <w:gridCol w:w="1037"/>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116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Water Infrastructure</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Western Europe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Emerging Markets (a)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Applied Water</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United States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Western Europe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Emerging Markets (a)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Measurement and Control Solutions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United States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Western Europe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Emerging Markets (a)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Water Solutions and Services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Western Europe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Emerging Markets (a)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2,262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4,321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(a)Emerging Markets includes results from the following regions: Eastern Europe, the Middle East and Africa, Latin America and Asia Pacific (excluding Japan, Australia and New Zealand, which are presented in "Other")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Contract Balances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We receive payments from customers based on a billing schedule as established in our contracts. Contract assets relate to costs incurred to perform in advance of scheduled billings. Contract liabilities relate to payments received in advance of performance under the contracts. Changes in contract assets and liabilities are due to our performance under the contract. The table below provides contract assets, contract liabilities, and significant changes in contract assets and liabilities: </w:t>
      </w:r>
    </w:p>
    <w:tbl>
      <w:tblPr>
        <w:tblW w:w="7665" w:type="dxa"/>
        <w:jc w:val="left"/>
        <w:tblInd w:w="0" w:type="dxa"/>
        <w:tblLayout w:type="fixed"/>
        <w:tblCellMar>
          <w:top w:w="28" w:type="dxa"/>
          <w:left w:w="28" w:type="dxa"/>
          <w:bottom w:w="28" w:type="dxa"/>
          <w:right w:w="28" w:type="dxa"/>
        </w:tblCellMar>
      </w:tblPr>
      <w:tblGrid>
        <w:gridCol w:w="1427"/>
        <w:gridCol w:w="1250"/>
        <w:gridCol w:w="1268"/>
        <w:gridCol w:w="430"/>
        <w:gridCol w:w="982"/>
        <w:gridCol w:w="222"/>
        <w:gridCol w:w="422"/>
        <w:gridCol w:w="964"/>
        <w:gridCol w:w="219"/>
        <w:gridCol w:w="109"/>
        <w:gridCol w:w="109"/>
        <w:gridCol w:w="109"/>
        <w:gridCol w:w="154"/>
      </w:tblGrid>
      <w:tr>
        <w:trPr/>
        <w:tc>
          <w:tcPr>
            <w:tcW w:w="1427"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Contract Assets (a)</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Contract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January 1, 2026</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510</w:t>
            </w: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286</w:t>
            </w: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 net (b)</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281</w:t>
            </w: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178</w:t>
            </w: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recognized from opening balance</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(182)</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Billings transferred to accounts receivable</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(184)</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and other</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June 30, 2026</w:t>
            </w:r>
          </w:p>
        </w:tc>
        <w:tc>
          <w:tcPr>
            <w:tcW w:w="4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585</w:t>
            </w:r>
            <w:r>
              <w:rPr>
                <w:color w:val="000000"/>
              </w:rPr>
              <w:t> </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272</w:t>
            </w:r>
            <w:r>
              <w:rPr>
                <w:color w:val="000000"/>
              </w:rPr>
              <w:t>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January 1, 2025</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Additions, net</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Revenue recognized from opening balance</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 xml:space="preserve">Billings transferred to accounts receivable </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and other</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June 30, 2025</w:t>
            </w:r>
          </w:p>
        </w:tc>
        <w:tc>
          <w:tcPr>
            <w:tcW w:w="4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383 </w:t>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(a)Excludes receivable balances, which are disclosed on the Condensed Consolidated Balance Sheets</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(b)Additions include revenue recorded in the current period of $36 million pertaining to performance obligations that were partially satisfied during previous periods. Such amount relates primarily to changes in scope and price. </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Performance obligations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Delivery schedules vary from customer to customer based upon their requirements. Typically, large projects require longer lead production cycles and delays can occur from time to time. As of June 30, 2026, the aggregate amount of the transaction price allocated to performance obligations that are unsatisfied or partially unsatisfied for contracts with performance obligations, amount to $2,924 million. The Company elects to apply the practical expedient to exclude from this disclosure revenue related to performance obligations that are part of a contract whose original expected duration is less than one year.</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5. Restructuring and Asset Impairment Charges</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Restructuring</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From time to time, the Company will incur costs related to restructuring actions in order to streamline our organization, optimize our cost base, and strengthen our competitive position and ability to better serve our customers. During the three and six months ended June 30, 2026, we incurred restructuring charges of $11 million and $42 million, respectively. During the three and six months ended June 30, 2025, we incurred restructuring charges of $22 million and $39 million, respectively.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presents the components of restructuring expense and asset impairment charges:</w:t>
      </w:r>
    </w:p>
    <w:tbl>
      <w:tblPr>
        <w:tblW w:w="8224" w:type="dxa"/>
        <w:jc w:val="left"/>
        <w:tblInd w:w="0" w:type="dxa"/>
        <w:tblLayout w:type="fixed"/>
        <w:tblCellMar>
          <w:top w:w="28" w:type="dxa"/>
          <w:left w:w="28" w:type="dxa"/>
          <w:bottom w:w="28" w:type="dxa"/>
          <w:right w:w="28" w:type="dxa"/>
        </w:tblCellMar>
      </w:tblPr>
      <w:tblGrid>
        <w:gridCol w:w="1586"/>
        <w:gridCol w:w="1390"/>
        <w:gridCol w:w="1404"/>
        <w:gridCol w:w="215"/>
        <w:gridCol w:w="384"/>
        <w:gridCol w:w="111"/>
        <w:gridCol w:w="111"/>
        <w:gridCol w:w="111"/>
        <w:gridCol w:w="111"/>
        <w:gridCol w:w="215"/>
        <w:gridCol w:w="384"/>
        <w:gridCol w:w="111"/>
        <w:gridCol w:w="109"/>
        <w:gridCol w:w="109"/>
        <w:gridCol w:w="109"/>
        <w:gridCol w:w="211"/>
        <w:gridCol w:w="376"/>
        <w:gridCol w:w="109"/>
        <w:gridCol w:w="109"/>
        <w:gridCol w:w="109"/>
        <w:gridCol w:w="109"/>
        <w:gridCol w:w="211"/>
        <w:gridCol w:w="376"/>
        <w:gridCol w:w="154"/>
      </w:tblGrid>
      <w:tr>
        <w:trPr/>
        <w:tc>
          <w:tcPr>
            <w:tcW w:w="1586"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component:</w:t>
            </w:r>
          </w:p>
        </w:tc>
        <w:tc>
          <w:tcPr>
            <w:tcW w:w="7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Severance and other charges</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w:t>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Reversal of restructuring accruals</w:t>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restructuring costs</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 charges</w:t>
            </w:r>
          </w:p>
        </w:tc>
        <w:tc>
          <w:tcPr>
            <w:tcW w:w="5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restructuring and asset impairment charges</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segment:</w:t>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Water Infrastructure</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Applied Water</w:t>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Measurement and Control Solutions</w:t>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Water Solutions and Services</w:t>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other</w:t>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displays a roll-forward of the restructuring accruals, presented on our Condensed Consolidated Balance Sheets within "Accrued and other current liabilities" and "Other non-current accrued liabilities", for the six months ended June 30, 2026 and 2025:</w:t>
      </w:r>
    </w:p>
    <w:tbl>
      <w:tblPr>
        <w:tblW w:w="4988" w:type="dxa"/>
        <w:jc w:val="left"/>
        <w:tblInd w:w="0" w:type="dxa"/>
        <w:tblLayout w:type="fixed"/>
        <w:tblCellMar>
          <w:top w:w="28" w:type="dxa"/>
          <w:left w:w="28" w:type="dxa"/>
          <w:bottom w:w="28" w:type="dxa"/>
          <w:right w:w="28" w:type="dxa"/>
        </w:tblCellMar>
      </w:tblPr>
      <w:tblGrid>
        <w:gridCol w:w="1167"/>
        <w:gridCol w:w="1021"/>
        <w:gridCol w:w="1036"/>
        <w:gridCol w:w="211"/>
        <w:gridCol w:w="376"/>
        <w:gridCol w:w="109"/>
        <w:gridCol w:w="109"/>
        <w:gridCol w:w="109"/>
        <w:gridCol w:w="109"/>
        <w:gridCol w:w="211"/>
        <w:gridCol w:w="376"/>
        <w:gridCol w:w="154"/>
      </w:tblGrid>
      <w:tr>
        <w:trPr/>
        <w:tc>
          <w:tcPr>
            <w:tcW w:w="116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accruals - January 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payments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and other</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accruals - June 30</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segment:</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Water Infrastructure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Applied Water</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Measurement and Control Solutions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Water Solutions and Services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Centralized support facilities (a)</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other</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Arial;sans-serif" w:hAnsi="Arial;sans-serif"/>
          <w:b w:val="false"/>
          <w:color w:val="000000"/>
          <w:sz w:val="18"/>
        </w:rPr>
      </w:pPr>
      <w:r>
        <w:rPr>
          <w:rFonts w:ascii="Arial;sans-serif" w:hAnsi="Arial;sans-serif"/>
          <w:b w:val="false"/>
          <w:color w:val="000000"/>
          <w:sz w:val="18"/>
        </w:rPr>
        <w:t>(a)Centralized support facilities consist primarily of support functions, including selling and marketing organizations, that incurred restructuring expense that was allocated to the segments. However, the liabilities associated with restructuring expense were not allocated to the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following table presents the total costs expected to be incurred, the amount incurred in the period, and the cumulative costs incurred to date for our 2025 and 2026 restructuring actions: </w:t>
      </w:r>
    </w:p>
    <w:tbl>
      <w:tblPr>
        <w:tblW w:w="10205" w:type="dxa"/>
        <w:jc w:val="left"/>
        <w:tblInd w:w="0" w:type="dxa"/>
        <w:tblLayout w:type="fixed"/>
        <w:tblCellMar>
          <w:top w:w="28" w:type="dxa"/>
          <w:left w:w="28" w:type="dxa"/>
          <w:bottom w:w="28" w:type="dxa"/>
          <w:right w:w="28" w:type="dxa"/>
        </w:tblCellMar>
      </w:tblPr>
      <w:tblGrid>
        <w:gridCol w:w="597"/>
        <w:gridCol w:w="523"/>
        <w:gridCol w:w="530"/>
        <w:gridCol w:w="109"/>
        <w:gridCol w:w="109"/>
        <w:gridCol w:w="109"/>
        <w:gridCol w:w="377"/>
        <w:gridCol w:w="726"/>
        <w:gridCol w:w="196"/>
        <w:gridCol w:w="109"/>
        <w:gridCol w:w="109"/>
        <w:gridCol w:w="109"/>
        <w:gridCol w:w="297"/>
        <w:gridCol w:w="382"/>
        <w:gridCol w:w="155"/>
        <w:gridCol w:w="109"/>
        <w:gridCol w:w="109"/>
        <w:gridCol w:w="109"/>
        <w:gridCol w:w="460"/>
        <w:gridCol w:w="886"/>
        <w:gridCol w:w="239"/>
        <w:gridCol w:w="109"/>
        <w:gridCol w:w="109"/>
        <w:gridCol w:w="109"/>
        <w:gridCol w:w="356"/>
        <w:gridCol w:w="686"/>
        <w:gridCol w:w="184"/>
        <w:gridCol w:w="109"/>
        <w:gridCol w:w="109"/>
        <w:gridCol w:w="109"/>
        <w:gridCol w:w="261"/>
        <w:gridCol w:w="503"/>
        <w:gridCol w:w="137"/>
        <w:gridCol w:w="109"/>
        <w:gridCol w:w="109"/>
        <w:gridCol w:w="109"/>
        <w:gridCol w:w="211"/>
        <w:gridCol w:w="376"/>
        <w:gridCol w:w="161"/>
      </w:tblGrid>
      <w:tr>
        <w:trPr/>
        <w:tc>
          <w:tcPr>
            <w:tcW w:w="59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Water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Applied Water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Measurement and Control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Water Solutions and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Actions Commenced in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expected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incurred during Q1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incurred during Q2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expected costs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6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
        <w:gridCol w:w="514"/>
        <w:gridCol w:w="521"/>
        <w:gridCol w:w="109"/>
        <w:gridCol w:w="109"/>
        <w:gridCol w:w="109"/>
        <w:gridCol w:w="390"/>
        <w:gridCol w:w="696"/>
        <w:gridCol w:w="203"/>
        <w:gridCol w:w="109"/>
        <w:gridCol w:w="109"/>
        <w:gridCol w:w="109"/>
        <w:gridCol w:w="249"/>
        <w:gridCol w:w="445"/>
        <w:gridCol w:w="130"/>
        <w:gridCol w:w="109"/>
        <w:gridCol w:w="109"/>
        <w:gridCol w:w="109"/>
        <w:gridCol w:w="471"/>
        <w:gridCol w:w="839"/>
        <w:gridCol w:w="244"/>
        <w:gridCol w:w="109"/>
        <w:gridCol w:w="109"/>
        <w:gridCol w:w="109"/>
        <w:gridCol w:w="363"/>
        <w:gridCol w:w="647"/>
        <w:gridCol w:w="188"/>
        <w:gridCol w:w="109"/>
        <w:gridCol w:w="109"/>
        <w:gridCol w:w="109"/>
        <w:gridCol w:w="261"/>
        <w:gridCol w:w="503"/>
        <w:gridCol w:w="137"/>
        <w:gridCol w:w="109"/>
        <w:gridCol w:w="109"/>
        <w:gridCol w:w="109"/>
        <w:gridCol w:w="211"/>
        <w:gridCol w:w="481"/>
        <w:gridCol w:w="163"/>
      </w:tblGrid>
      <w:tr>
        <w:trPr/>
        <w:tc>
          <w:tcPr>
            <w:tcW w:w="58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Water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Applied Water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Measurement and Control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Water Solutions and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Actions Commenced in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expected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incurred in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incurred during Q1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incurred during Q2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expected costs remaining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0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4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3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4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8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6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actions commenced in 2026 consist primarily of severance charges. The actions are expected to continue through the end of 2027.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actions commenced in 2025 consist primarily of severance charges. The actions are expected to continue through the end of 2026.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During the second quarter of 2026, we also incurred charges of $1 million within the Measurement and Control Solutions segment, related to actions commenced prior to 2024.</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During the first quarter of 2026, we recognized $1 million in fixed asset impairment charges due to restructuring actions within our Measurement and Control Solutions segment.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During the second quarter of 2025, we recognized $1 million in fixed asset impairment charges due to restructuring actions within our Measurement and Control Solutions segment. </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Asset Impairment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During the second quarter of 2025, we recognized $4 million of impairment charges for internally developed software and software assets within our Measurement and Control Solutions and Corporate segments.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During the first quarter of 2025, we recognized $4 million of impairment charges for internally developed software within our Water Solutions and Services and Water Infrastructure segments.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Refer to Note 9, "Goodwill and Other Intangible Assets,"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6. Income Taxes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Our quarterly provision for income taxes is measured using an estimated annual effective tax rate, adjusted for discrete items within the periods presented. The comparison of our effective tax rate between periods is significantly impacted by the level and mix of earnings and losses by tax jurisdiction and discrete items.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income tax provision for the three months ended June 30, 2026 was $103 million resulting in an effective tax rate of 28.3%, compared to a $75 million expense resulting in an effective tax rate of 25.0% for the same period in 2025. The income tax provision for the six months ended June 30, 2026 was $158 million resulting in an effective tax rate of 26.0%, compared to a $125 million expense resulting in an effective tax rate of 24.2% for the same period in 2025. The effective tax rate for the three and six month periods ended June 30, 2026 was higher than the U.S. federal statutory rate primarily due to earnings mix and the impact of the 2026 international metering business divestiture.</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Unrecognized Tax Benefits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During 2019, Xylem’s Swedish subsidiary received a tax assessment from the Swedish Tax Agency (the "STA") for the 2013 tax year related to the tax treatment of an intercompany transfer of certain intellectual property that was made in connection with a reorganization of our European businesses. Xylem filed an appeal with the Administrative Court of Växjö, which rendered a decision adverse to Xylem in June 2022 for SEK837 million (approximately $86 million USD) consisting of the full tax assessment amount plus penalties and interest. Xylem appealed this decision with the intermediate appellate court, the Administrative Court of Appeal, and on May 15, 2024, that court rendered a decision in favor of Xylem and also remanded an issue to the trial court for resolution. In December 2025, the trial court issued a ruling on the remanded issue in Xylem's favor. The STA has appealed this ruling to the Administrative Court of Appeal. Management, in consultation with external legal advisors, continues to believe it is more likely than not that Xylem will prevail on the proposed assessment and will continue to vigorously defend our position through this litigation. There can be no assurance that the final determination by the authorities will not be materially different than our position. As of June 30, 2026, we have not recorded any unrecognized tax benefits related to this uncertain tax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 xml:space="preserve">Note 7. Earnings Per Share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is a reconciliation of the shares used in calculating basic and diluted net earnings per share:</w:t>
      </w:r>
    </w:p>
    <w:tbl>
      <w:tblPr>
        <w:tblW w:w="10205" w:type="dxa"/>
        <w:jc w:val="left"/>
        <w:tblInd w:w="0" w:type="dxa"/>
        <w:tblLayout w:type="fixed"/>
        <w:tblCellMar>
          <w:top w:w="28" w:type="dxa"/>
          <w:left w:w="28" w:type="dxa"/>
          <w:bottom w:w="28" w:type="dxa"/>
          <w:right w:w="28" w:type="dxa"/>
        </w:tblCellMar>
      </w:tblPr>
      <w:tblGrid>
        <w:gridCol w:w="1937"/>
        <w:gridCol w:w="1686"/>
        <w:gridCol w:w="1695"/>
        <w:gridCol w:w="240"/>
        <w:gridCol w:w="616"/>
        <w:gridCol w:w="109"/>
        <w:gridCol w:w="109"/>
        <w:gridCol w:w="109"/>
        <w:gridCol w:w="109"/>
        <w:gridCol w:w="240"/>
        <w:gridCol w:w="616"/>
        <w:gridCol w:w="109"/>
        <w:gridCol w:w="109"/>
        <w:gridCol w:w="109"/>
        <w:gridCol w:w="109"/>
        <w:gridCol w:w="240"/>
        <w:gridCol w:w="616"/>
        <w:gridCol w:w="109"/>
        <w:gridCol w:w="109"/>
        <w:gridCol w:w="109"/>
        <w:gridCol w:w="109"/>
        <w:gridCol w:w="240"/>
        <w:gridCol w:w="616"/>
        <w:gridCol w:w="155"/>
      </w:tblGrid>
      <w:tr>
        <w:trPr/>
        <w:tc>
          <w:tcPr>
            <w:tcW w:w="1937"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53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5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5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Xylem (in millions)</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(in thousands):</w:t>
            </w:r>
          </w:p>
        </w:tc>
        <w:tc>
          <w:tcPr>
            <w:tcW w:w="9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236,276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239,518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243,227 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 Participating securities (a)</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 — Basic</w:t>
            </w:r>
          </w:p>
        </w:tc>
        <w:tc>
          <w:tcPr>
            <w:tcW w:w="8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236,295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243,397 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239,534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243,251 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Plus incremental shares from assumed conversions: (b)</w:t>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effect of stock options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effect of restricted stock units and performance share units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 — Diluted</w:t>
            </w:r>
          </w:p>
        </w:tc>
        <w:tc>
          <w:tcPr>
            <w:tcW w:w="8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236,574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243,859 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239,967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243,820 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 per share</w:t>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share</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(a)Restricted stock units containing rights to non-forfeitable dividends that participate in undistributed earnings with common stockholders are considered participating securities for purposes of computing earnings per share.</w:t>
      </w:r>
    </w:p>
    <w:p>
      <w:pPr>
        <w:pStyle w:val="TextBody"/>
        <w:bidi w:val="0"/>
        <w:spacing w:lineRule="auto" w:line="288" w:before="0" w:after="120"/>
        <w:ind w:left="0" w:right="0" w:hanging="360"/>
        <w:jc w:val="left"/>
        <w:rPr>
          <w:rFonts w:ascii="Arial;sans-serif" w:hAnsi="Arial;sans-serif"/>
          <w:b w:val="false"/>
          <w:color w:val="000000"/>
          <w:sz w:val="18"/>
        </w:rPr>
      </w:pPr>
      <w:r>
        <w:rPr>
          <w:rFonts w:ascii="Arial;sans-serif" w:hAnsi="Arial;sans-serif"/>
          <w:b w:val="false"/>
          <w:color w:val="000000"/>
          <w:sz w:val="18"/>
        </w:rPr>
        <w:t xml:space="preserve">(b)Incremental shares from stock options, restricted stock units and performance share units are computed by the treasury stock method. The weighted average shares listed below were not included in the computation of diluted earnings per share because to do so would have been anti-dilutive for the periods presented or were otherwise excluded under the treasury stock method. The treasury stock method calculates dilution assuming the exercise of all in-the-money options and vesting of restricted stock units and performance share units, reduced by the repurchase of shares with the proceeds from the assumed exercises and unrecognized compensation expense for outstanding awards. Performance share units will be included in the treasury stock calculation of diluted earnings per share upon achievement of underlying performance or market conditions at the end of the reporting period. See Note 15, "Share-Based Compensation Plans," to the condensed consolidated financial statements for further detail on the performance share units. </w:t>
      </w:r>
    </w:p>
    <w:tbl>
      <w:tblPr>
        <w:tblW w:w="6885" w:type="dxa"/>
        <w:jc w:val="left"/>
        <w:tblInd w:w="0" w:type="dxa"/>
        <w:tblLayout w:type="fixed"/>
        <w:tblCellMar>
          <w:top w:w="28" w:type="dxa"/>
          <w:left w:w="28" w:type="dxa"/>
          <w:bottom w:w="28" w:type="dxa"/>
          <w:right w:w="28" w:type="dxa"/>
        </w:tblCellMar>
      </w:tblPr>
      <w:tblGrid>
        <w:gridCol w:w="815"/>
        <w:gridCol w:w="716"/>
        <w:gridCol w:w="719"/>
        <w:gridCol w:w="352"/>
        <w:gridCol w:w="294"/>
        <w:gridCol w:w="195"/>
        <w:gridCol w:w="195"/>
        <w:gridCol w:w="195"/>
        <w:gridCol w:w="195"/>
        <w:gridCol w:w="352"/>
        <w:gridCol w:w="294"/>
        <w:gridCol w:w="195"/>
        <w:gridCol w:w="109"/>
        <w:gridCol w:w="109"/>
        <w:gridCol w:w="109"/>
        <w:gridCol w:w="323"/>
        <w:gridCol w:w="323"/>
        <w:gridCol w:w="169"/>
        <w:gridCol w:w="169"/>
        <w:gridCol w:w="169"/>
        <w:gridCol w:w="169"/>
        <w:gridCol w:w="240"/>
        <w:gridCol w:w="241"/>
        <w:gridCol w:w="238"/>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8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1,145</w:t>
            </w:r>
            <w:r>
              <w:rPr>
                <w:color w:val="000000"/>
              </w:rPr>
              <w:t>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1,006 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1,033</w:t>
            </w:r>
            <w:r>
              <w:rPr>
                <w:color w:val="000000"/>
              </w:rPr>
              <w:t>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936 </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451</w:t>
            </w: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379</w:t>
            </w: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Performance share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w:t>
            </w: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w:t>
            </w: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8. Inventories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components of total inventories are summarized as follows: </w:t>
      </w:r>
    </w:p>
    <w:tbl>
      <w:tblPr>
        <w:tblW w:w="4038" w:type="dxa"/>
        <w:jc w:val="left"/>
        <w:tblInd w:w="0" w:type="dxa"/>
        <w:tblLayout w:type="fixed"/>
        <w:tblCellMar>
          <w:top w:w="28" w:type="dxa"/>
          <w:left w:w="28" w:type="dxa"/>
          <w:bottom w:w="28" w:type="dxa"/>
          <w:right w:w="28" w:type="dxa"/>
        </w:tblCellMar>
      </w:tblPr>
      <w:tblGrid>
        <w:gridCol w:w="565"/>
        <w:gridCol w:w="495"/>
        <w:gridCol w:w="500"/>
        <w:gridCol w:w="211"/>
        <w:gridCol w:w="646"/>
        <w:gridCol w:w="109"/>
        <w:gridCol w:w="109"/>
        <w:gridCol w:w="109"/>
        <w:gridCol w:w="109"/>
        <w:gridCol w:w="295"/>
        <w:gridCol w:w="673"/>
        <w:gridCol w:w="217"/>
      </w:tblGrid>
      <w:tr>
        <w:trPr/>
        <w:tc>
          <w:tcPr>
            <w:tcW w:w="56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w:t>
              <w:br/>
              <w:t>2025</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Work in process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Raw materials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inventories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1,016</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983 </w:t>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9. Goodwill and Other Intangible Assets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Goodwill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Changes in the carrying value of goodwill by reportable segment for the six months ended June 30, 2026 are as follows:</w:t>
      </w:r>
    </w:p>
    <w:tbl>
      <w:tblPr>
        <w:tblW w:w="10205" w:type="dxa"/>
        <w:jc w:val="left"/>
        <w:tblInd w:w="0" w:type="dxa"/>
        <w:tblLayout w:type="fixed"/>
        <w:tblCellMar>
          <w:top w:w="28" w:type="dxa"/>
          <w:left w:w="28" w:type="dxa"/>
          <w:bottom w:w="28" w:type="dxa"/>
          <w:right w:w="28" w:type="dxa"/>
        </w:tblCellMar>
      </w:tblPr>
      <w:tblGrid>
        <w:gridCol w:w="1058"/>
        <w:gridCol w:w="514"/>
        <w:gridCol w:w="465"/>
        <w:gridCol w:w="259"/>
        <w:gridCol w:w="793"/>
        <w:gridCol w:w="134"/>
        <w:gridCol w:w="109"/>
        <w:gridCol w:w="109"/>
        <w:gridCol w:w="109"/>
        <w:gridCol w:w="320"/>
        <w:gridCol w:w="730"/>
        <w:gridCol w:w="166"/>
        <w:gridCol w:w="109"/>
        <w:gridCol w:w="109"/>
        <w:gridCol w:w="109"/>
        <w:gridCol w:w="360"/>
        <w:gridCol w:w="1106"/>
        <w:gridCol w:w="187"/>
        <w:gridCol w:w="109"/>
        <w:gridCol w:w="109"/>
        <w:gridCol w:w="109"/>
        <w:gridCol w:w="296"/>
        <w:gridCol w:w="906"/>
        <w:gridCol w:w="152"/>
        <w:gridCol w:w="109"/>
        <w:gridCol w:w="109"/>
        <w:gridCol w:w="109"/>
        <w:gridCol w:w="109"/>
        <w:gridCol w:w="109"/>
        <w:gridCol w:w="211"/>
        <w:gridCol w:w="646"/>
        <w:gridCol w:w="109"/>
        <w:gridCol w:w="109"/>
        <w:gridCol w:w="158"/>
      </w:tblGrid>
      <w:tr>
        <w:trPr/>
        <w:tc>
          <w:tcPr>
            <w:tcW w:w="105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Water</w:t>
              <w:br/>
              <w:t>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Applied Water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Measurement and Control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Water Solutions and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as of January 1, 2026</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2,264</w:t>
            </w: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905</w:t>
            </w:r>
            <w:r>
              <w:rPr>
                <w:color w:val="000000"/>
              </w:rPr>
              <w:t>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2,270</w:t>
            </w:r>
            <w:r>
              <w:rPr>
                <w:color w:val="000000"/>
              </w:rPr>
              <w:t>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2,893</w:t>
            </w:r>
            <w:r>
              <w:rPr>
                <w:color w:val="000000"/>
              </w:rPr>
              <w:t>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8,332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Activity in 2026</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Divestitures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Reclassification to assets held for sale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and 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as of June 30, 2026</w:t>
            </w:r>
          </w:p>
        </w:tc>
        <w:tc>
          <w:tcPr>
            <w:tcW w:w="2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2,241</w:t>
            </w:r>
            <w:r>
              <w:rPr>
                <w:color w:val="000000"/>
              </w:rPr>
              <w:t>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897</w:t>
            </w:r>
            <w:r>
              <w:rPr>
                <w:color w:val="000000"/>
              </w:rPr>
              <w:t>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2,233</w:t>
            </w:r>
            <w:r>
              <w:rPr>
                <w:color w:val="000000"/>
              </w:rPr>
              <w:t> </w:t>
            </w:r>
          </w:p>
        </w:tc>
        <w:tc>
          <w:tcPr>
            <w:tcW w:w="1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2,885</w:t>
            </w:r>
            <w:r>
              <w:rPr>
                <w:color w:val="000000"/>
              </w:rPr>
              <w:t>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8,256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lineRule="auto" w:line="276" w:before="120" w:after="120"/>
        <w:jc w:val="left"/>
        <w:rPr>
          <w:rFonts w:ascii="Arial;sans-serif" w:hAnsi="Arial;sans-serif"/>
          <w:b/>
          <w:i/>
          <w:color w:val="000000"/>
          <w:sz w:val="20"/>
        </w:rPr>
      </w:pPr>
      <w:r>
        <w:rPr>
          <w:rFonts w:ascii="Arial;sans-serif" w:hAnsi="Arial;sans-serif"/>
          <w:b/>
          <w:i/>
          <w:color w:val="000000"/>
          <w:sz w:val="20"/>
        </w:rPr>
        <w:t>Other Intangible Assets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Information regarding our other intangible assets is as follows:</w:t>
      </w:r>
    </w:p>
    <w:tbl>
      <w:tblPr>
        <w:tblW w:w="10205" w:type="dxa"/>
        <w:jc w:val="left"/>
        <w:tblInd w:w="0" w:type="dxa"/>
        <w:tblLayout w:type="fixed"/>
        <w:tblCellMar>
          <w:top w:w="28" w:type="dxa"/>
          <w:left w:w="28" w:type="dxa"/>
          <w:bottom w:w="28" w:type="dxa"/>
          <w:right w:w="28" w:type="dxa"/>
        </w:tblCellMar>
      </w:tblPr>
      <w:tblGrid>
        <w:gridCol w:w="929"/>
        <w:gridCol w:w="743"/>
        <w:gridCol w:w="754"/>
        <w:gridCol w:w="211"/>
        <w:gridCol w:w="646"/>
        <w:gridCol w:w="109"/>
        <w:gridCol w:w="109"/>
        <w:gridCol w:w="109"/>
        <w:gridCol w:w="109"/>
        <w:gridCol w:w="252"/>
        <w:gridCol w:w="773"/>
        <w:gridCol w:w="131"/>
        <w:gridCol w:w="109"/>
        <w:gridCol w:w="109"/>
        <w:gridCol w:w="109"/>
        <w:gridCol w:w="216"/>
        <w:gridCol w:w="662"/>
        <w:gridCol w:w="113"/>
        <w:gridCol w:w="109"/>
        <w:gridCol w:w="109"/>
        <w:gridCol w:w="109"/>
        <w:gridCol w:w="211"/>
        <w:gridCol w:w="646"/>
        <w:gridCol w:w="109"/>
        <w:gridCol w:w="109"/>
        <w:gridCol w:w="109"/>
        <w:gridCol w:w="109"/>
        <w:gridCol w:w="229"/>
        <w:gridCol w:w="704"/>
        <w:gridCol w:w="120"/>
        <w:gridCol w:w="109"/>
        <w:gridCol w:w="109"/>
        <w:gridCol w:w="109"/>
        <w:gridCol w:w="211"/>
        <w:gridCol w:w="646"/>
        <w:gridCol w:w="155"/>
      </w:tblGrid>
      <w:tr>
        <w:trPr/>
        <w:tc>
          <w:tcPr>
            <w:tcW w:w="92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2025</w:t>
            </w:r>
          </w:p>
        </w:tc>
      </w:tr>
      <w:tr>
        <w:trPr/>
        <w:tc>
          <w:tcPr>
            <w:tcW w:w="2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w:t>
              <w:br/>
              <w:t>Intangibles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Net</w:t>
              <w:br/>
              <w:t>Intangibles</w:t>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and distributor relationships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2,176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(747)</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1,429</w:t>
            </w:r>
            <w:r>
              <w:rPr>
                <w:color w:val="000000"/>
              </w:rPr>
              <w:t>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Proprietary technology and patents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216</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Trademarks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Software (a)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(429)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202</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88</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Indefinite-lived intangibles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167</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Intangibles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3,730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(1,580)</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2,150</w:t>
            </w:r>
            <w:r>
              <w:rPr>
                <w:color w:val="000000"/>
              </w:rPr>
              <w:t>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(1,486)</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2,272 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ind w:left="0" w:right="0" w:hanging="360"/>
        <w:jc w:val="left"/>
        <w:rPr>
          <w:rFonts w:ascii="Arial;sans-serif" w:hAnsi="Arial;sans-serif"/>
          <w:b w:val="false"/>
          <w:color w:val="000000"/>
          <w:sz w:val="18"/>
        </w:rPr>
      </w:pPr>
      <w:r>
        <w:rPr>
          <w:rFonts w:ascii="Arial;sans-serif" w:hAnsi="Arial;sans-serif"/>
          <w:b w:val="false"/>
          <w:color w:val="000000"/>
          <w:sz w:val="18"/>
        </w:rPr>
        <w:t>(a)Includes capitalized software developed as a product or service offered directly to external customers. As of June 30, 2026 and December 31, 2025, we had net capitalized software used in sales and services to external customers of $166 million and $175 million, respectively.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Amortization expense related to finite-lived intangible assets was $75 million and $150 million for the three and six-month periods ended June 30, 2026, respectively. Amortization expense related to finite-lived intangible assets was $76 million and $153 million for the three and six-month periods ended June 30, 2025, respectively.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During the second quarter of 2025, we recognized a $2 million impairment charge for internally developed software within our Measurement and Control Solutions segment and a $2 million impairment charge for software within our Corporate segment.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During the first quarter of 2025, we recognized $1 million and $3 million impairment charges for internally developed software within our Water Infrastructure and Water Solutions and Services segments, respectively.</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10. Derivative Financial Instruments     </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Risk Management Objective of Using Derivatives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are exposed to certain risks arising from both our business operations and economic conditions, and we principally manage our exposures to these risks through management of our core business activities. Certain of our foreign operations expose us to fluctuations of foreign interest rates and exchange rates that may impact revenue, expenses, cash receipts, cash payments, and the value of our stockholders' equity. We enter into derivative financial instruments to protect the value or fix the amount of certain cash flows in terms of the functional currency of the business unit with that exposure and also reduce the volatility in stockholders' equity.</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Cash Flow Hedges of Foreign Exchange Risk</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are exposed to fluctuations in various foreign currencies against our functional currencies. We use foreign currency derivatives, including currency forward agreements, to manage our exposure to fluctuations in the various exchange rates. Currency forward agreements involve fixing the foreign currency exchange rate for delivery of a specified amount of foreign currency on a specified date.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Certain business units with exposure to foreign currency exchange risks have designated certain currency forward agreements as cash flow hedges of forecasted intercompany inventory purchases and sales. Our principal currency exposures for which we enter into cash flow hedges relate to the Euro, Swedish Krona, British Pound, Canadian Dollar, Polish Zloty, and Australian Dollar. We had foreign exchange contracts with purchased notional amounts totaling $374 million and $759 million as of June 30, 2026 and December 31, 2025, respectively. The most significant foreign currency derivatives are as follows:</w:t>
      </w:r>
    </w:p>
    <w:tbl>
      <w:tblPr>
        <w:tblW w:w="4994" w:type="dxa"/>
        <w:jc w:val="left"/>
        <w:tblInd w:w="0" w:type="dxa"/>
        <w:tblLayout w:type="fixed"/>
        <w:tblCellMar>
          <w:top w:w="28" w:type="dxa"/>
          <w:left w:w="28" w:type="dxa"/>
          <w:bottom w:w="28" w:type="dxa"/>
          <w:right w:w="28" w:type="dxa"/>
        </w:tblCellMar>
      </w:tblPr>
      <w:tblGrid>
        <w:gridCol w:w="424"/>
        <w:gridCol w:w="371"/>
        <w:gridCol w:w="375"/>
        <w:gridCol w:w="394"/>
        <w:gridCol w:w="394"/>
        <w:gridCol w:w="396"/>
        <w:gridCol w:w="109"/>
        <w:gridCol w:w="109"/>
        <w:gridCol w:w="109"/>
        <w:gridCol w:w="211"/>
        <w:gridCol w:w="481"/>
        <w:gridCol w:w="109"/>
        <w:gridCol w:w="109"/>
        <w:gridCol w:w="109"/>
        <w:gridCol w:w="109"/>
        <w:gridCol w:w="295"/>
        <w:gridCol w:w="673"/>
        <w:gridCol w:w="217"/>
      </w:tblGrid>
      <w:tr>
        <w:trPr/>
        <w:tc>
          <w:tcPr>
            <w:tcW w:w="42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Notional Value</w:t>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Sell Currency</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Buy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w:t>
              <w:br/>
              <w:t>2025</w:t>
            </w:r>
          </w:p>
        </w:tc>
      </w:tr>
      <w:tr>
        <w:trPr/>
        <w:tc>
          <w:tcPr>
            <w:tcW w:w="11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USD</w:t>
            </w:r>
          </w:p>
        </w:tc>
        <w:tc>
          <w:tcPr>
            <w:tcW w:w="11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EUR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EUR</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GBP</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EUR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CAD</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EUR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CAD</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USD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EUR</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PLN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AUD</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EUR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759 </w:t>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Hedges of Net Investments in Foreign Operations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We are exposed to changes in foreign currencies impacting our net investments held in foreign subsidiaries. </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Cross-Currency Swaps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We have foreign currency exposure in the Euro-U.S. Dollar and Chinese Yuan (CNY) -U.S. Dollar exchange rates, due to our net investment in foreign operations. We use cross-currency swaps to partially mitigate the impact of the foreign currency rate changes on the Company’s net investments denominated in such foreign currencies. The Company’s cross-currency swaps are designated as net investment hedges.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As of June 30, 2026, the total notional amount of derivative instruments designated as net investment hedges was $4,291 million and $3,171 million as of June 30, 2026 and December 31,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table below presents the effect of our derivative financial instruments on the Condensed Consolidated Income Statements and Statements of Comprehensive Income. Items in the table below reflect changes in "Other comprehensive income (loss)" ("OCI/L") within the Statements of Comprehensive Income:</w:t>
      </w:r>
    </w:p>
    <w:tbl>
      <w:tblPr>
        <w:tblW w:w="9524" w:type="dxa"/>
        <w:jc w:val="left"/>
        <w:tblInd w:w="0" w:type="dxa"/>
        <w:tblLayout w:type="fixed"/>
        <w:tblCellMar>
          <w:top w:w="28" w:type="dxa"/>
          <w:left w:w="28" w:type="dxa"/>
          <w:bottom w:w="28" w:type="dxa"/>
          <w:right w:w="28" w:type="dxa"/>
        </w:tblCellMar>
      </w:tblPr>
      <w:tblGrid>
        <w:gridCol w:w="1928"/>
        <w:gridCol w:w="1689"/>
        <w:gridCol w:w="1707"/>
        <w:gridCol w:w="211"/>
        <w:gridCol w:w="376"/>
        <w:gridCol w:w="109"/>
        <w:gridCol w:w="109"/>
        <w:gridCol w:w="109"/>
        <w:gridCol w:w="109"/>
        <w:gridCol w:w="211"/>
        <w:gridCol w:w="541"/>
        <w:gridCol w:w="109"/>
        <w:gridCol w:w="109"/>
        <w:gridCol w:w="109"/>
        <w:gridCol w:w="109"/>
        <w:gridCol w:w="211"/>
        <w:gridCol w:w="436"/>
        <w:gridCol w:w="109"/>
        <w:gridCol w:w="109"/>
        <w:gridCol w:w="109"/>
        <w:gridCol w:w="109"/>
        <w:gridCol w:w="211"/>
        <w:gridCol w:w="541"/>
        <w:gridCol w:w="154"/>
      </w:tblGrid>
      <w:tr>
        <w:trPr/>
        <w:tc>
          <w:tcPr>
            <w:tcW w:w="1928"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Derivatives in Cash Flow Hedges </w:t>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Foreign Exchange Contracts</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of (loss)/gain recognized in OCI/L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of loss/(gain) reclassified from OCI/L into Revenue</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of gain reclassified from OCI/L into Cost of revenue</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Derivatives Net Investment Hedges</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Cross-Currency Swaps</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of gain/(loss) recognized in OCI/L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of income recognized in Interest expense</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As of June 30, 2026, $8 million of net loss on cash flow hedges are expected to be reclassified into earnings in the next 12 months.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As of June 30, 2026, no gains or losses on the net investment hedges are expected to be reclassified into earnings over their duration.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fair values of our derivative assets and liabilities are measured on a recurring basis using Level 2 inputs and are determined through the use of models that consider various assumptions including yield curves, time value and other measurements.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fair values of our derivative contracts currently included in our hedging program were as follows:</w:t>
      </w:r>
    </w:p>
    <w:tbl>
      <w:tblPr>
        <w:tblW w:w="6857" w:type="dxa"/>
        <w:jc w:val="left"/>
        <w:tblInd w:w="0" w:type="dxa"/>
        <w:tblLayout w:type="fixed"/>
        <w:tblCellMar>
          <w:top w:w="28" w:type="dxa"/>
          <w:left w:w="28" w:type="dxa"/>
          <w:bottom w:w="28" w:type="dxa"/>
          <w:right w:w="28" w:type="dxa"/>
        </w:tblCellMar>
      </w:tblPr>
      <w:tblGrid>
        <w:gridCol w:w="1621"/>
        <w:gridCol w:w="1421"/>
        <w:gridCol w:w="1443"/>
        <w:gridCol w:w="211"/>
        <w:gridCol w:w="541"/>
        <w:gridCol w:w="109"/>
        <w:gridCol w:w="109"/>
        <w:gridCol w:w="109"/>
        <w:gridCol w:w="109"/>
        <w:gridCol w:w="288"/>
        <w:gridCol w:w="684"/>
        <w:gridCol w:w="212"/>
      </w:tblGrid>
      <w:tr>
        <w:trPr/>
        <w:tc>
          <w:tcPr>
            <w:tcW w:w="162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w:t>
              <w:br/>
              <w:t>2025</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Derivatives designated as hedging instruments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Cash Flow Hedges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Prepaid and other current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Net Investment Hedges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Cash Flow Hedges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Accrued and other current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Net Investment Hedges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accrued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11. Current Liabilities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components of total Accrued and other current liabilities are as follows:</w:t>
      </w:r>
    </w:p>
    <w:tbl>
      <w:tblPr>
        <w:tblW w:w="6361" w:type="dxa"/>
        <w:jc w:val="left"/>
        <w:tblInd w:w="0" w:type="dxa"/>
        <w:tblLayout w:type="fixed"/>
        <w:tblCellMar>
          <w:top w:w="28" w:type="dxa"/>
          <w:left w:w="28" w:type="dxa"/>
          <w:bottom w:w="28" w:type="dxa"/>
          <w:right w:w="28" w:type="dxa"/>
        </w:tblCellMar>
      </w:tblPr>
      <w:tblGrid>
        <w:gridCol w:w="1405"/>
        <w:gridCol w:w="1230"/>
        <w:gridCol w:w="1249"/>
        <w:gridCol w:w="211"/>
        <w:gridCol w:w="646"/>
        <w:gridCol w:w="109"/>
        <w:gridCol w:w="109"/>
        <w:gridCol w:w="109"/>
        <w:gridCol w:w="109"/>
        <w:gridCol w:w="247"/>
        <w:gridCol w:w="757"/>
        <w:gridCol w:w="180"/>
      </w:tblGrid>
      <w:tr>
        <w:trPr/>
        <w:tc>
          <w:tcPr>
            <w:tcW w:w="1405"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w:t>
              <w:br/>
              <w:t>2025</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 and other employee-benefits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Customer-related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taxes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Lease liabilities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warranty costs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commissions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restructuring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accrued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accrued and other current liabilities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1,180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1,237 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 facilitates the opportunity for suppliers to participate in voluntary supply chain financing programs with third-party financial institutions. Xylem agrees on commercial terms, including payment terms, with suppliers regardless of program participation. The Company does not determine the terms or conditions of the arrangement between suppliers and the third-party financial institutions. Participating suppliers are paid directly by the third-party financial institution. Xylem pays the third-party financial institution the stated amount of confirmed invoices from its designated suppliers at the original invoice amount on the original maturity dates of the invoices, ranging from 45 to 180 days. Xylem does not pay fees related to these programs. Xylem or the third-party financial institutions may terminate the agreements upon at least 30 days notice. The total outstanding balance presented within "Accounts payable" on our Condensed Consolidated Balance Sheets under these programs is $269 million and $244 million as of June 30, 2026 and December 31, 2025, respectively.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table below provides changes in the confirmed obligations outstanding related to our supplier financing programs over the six months ended June 30, 2026:</w:t>
      </w:r>
    </w:p>
    <w:tbl>
      <w:tblPr>
        <w:tblW w:w="4985" w:type="dxa"/>
        <w:jc w:val="left"/>
        <w:tblInd w:w="0" w:type="dxa"/>
        <w:tblLayout w:type="fixed"/>
        <w:tblCellMar>
          <w:top w:w="28" w:type="dxa"/>
          <w:left w:w="28" w:type="dxa"/>
          <w:bottom w:w="28" w:type="dxa"/>
          <w:right w:w="28" w:type="dxa"/>
        </w:tblCellMar>
      </w:tblPr>
      <w:tblGrid>
        <w:gridCol w:w="1496"/>
        <w:gridCol w:w="1312"/>
        <w:gridCol w:w="1331"/>
        <w:gridCol w:w="211"/>
        <w:gridCol w:w="481"/>
        <w:gridCol w:w="154"/>
      </w:tblGrid>
      <w:tr>
        <w:trPr/>
        <w:tc>
          <w:tcPr>
            <w:tcW w:w="1496"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4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2026</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Confirmed obligations outstanding – January 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pPr>
            <w:r>
              <w:rPr>
                <w:rFonts w:ascii="Arial;sans-serif" w:hAnsi="Arial;sans-serif"/>
                <w:b/>
                <w:color w:val="000000"/>
                <w:sz w:val="20"/>
              </w:rPr>
              <w:t>244</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Invoices confirmed</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496</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Confirmed invoices paid</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Foreign currency and other</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Confirmed obligations outstanding – June 30</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269</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12. Credit Facilities and Debt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Total debt outstanding is summarized as follows:</w:t>
      </w:r>
    </w:p>
    <w:tbl>
      <w:tblPr>
        <w:tblW w:w="8491" w:type="dxa"/>
        <w:jc w:val="left"/>
        <w:tblInd w:w="0" w:type="dxa"/>
        <w:tblLayout w:type="fixed"/>
        <w:tblCellMar>
          <w:top w:w="28" w:type="dxa"/>
          <w:left w:w="28" w:type="dxa"/>
          <w:bottom w:w="28" w:type="dxa"/>
          <w:right w:w="28" w:type="dxa"/>
        </w:tblCellMar>
      </w:tblPr>
      <w:tblGrid>
        <w:gridCol w:w="2180"/>
        <w:gridCol w:w="1907"/>
        <w:gridCol w:w="1927"/>
        <w:gridCol w:w="211"/>
        <w:gridCol w:w="646"/>
        <w:gridCol w:w="109"/>
        <w:gridCol w:w="109"/>
        <w:gridCol w:w="109"/>
        <w:gridCol w:w="109"/>
        <w:gridCol w:w="247"/>
        <w:gridCol w:w="757"/>
        <w:gridCol w:w="180"/>
      </w:tblGrid>
      <w:tr>
        <w:trPr/>
        <w:tc>
          <w:tcPr>
            <w:tcW w:w="2180"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w:t>
              <w:br/>
              <w:t>2025</w:t>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3.250% Senior Notes due 2026 (a)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1.950% Senior Notes due 2028 (a)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2.250% Senior Notes due 2031 (a)</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5.200% Senior Notes due 2033 (a)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5.450% Senior Notes due 2036 (a)</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4.375% Senior Notes due 2046 (a)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Equipment Financing due 2026 to 2032</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issuance costs and unamortized discount (b)</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debt</w:t>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2,926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1,942 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short-term borrowings and current maturities of long-term debt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long-term debt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2,395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1,408 </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(a)The fair value of our Senior Notes was determined using quoted prices in active markets for identical securities, which are considered Level 1 inputs. The fair value of our Senior Notes due 2026 was $499 million and $497 million as of June 30, 2026 and December 31, 2025, respectively. The fair value of our Senior Notes due 2028 was $481 million and $480 million as of June 30, 2026 and December 31, 2025, respectively. The fair value of our Senior Notes due 2031 was $452 million and $454 million as of June 30, 2026 and December 31, 2025, respectively. The fair value of our Senior Notes due 2033 was $509 million as of June 30, 2026. The fair value of our Senior Notes due 2036 was $512 million as of June 30, 2026. The fair value of our Senior Notes due 2046 was $336 million and $340 million as of June 30, 2026 and December 31, 2025, respectively.</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(b)The debt issuance costs and unamortized discount are recognized as a reduction in the carrying value of the Senior Notes in the Condensed Consolidated Balance Sheets and are being amortized to interest expense in our Condensed Consolidated Income Statements over the expected remaining terms of the Senior Notes.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Senior Notes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On May 29, 2026, we issued $500 million aggregate principal amount of 5.200% Senior Notes due June 1, 2033 (the “Senior Notes due 2033”) and $500 million aggregate principal amount of 5.450% Senior Notes due June 1, 2036 (the “Blue Notes due 2036” and, together with the Senior Notes due 2033, the “Notes”). The Notes are unsecured and unsubordinated obligations of the Company and rank equally in right of payment with all of our other unsecured and unsubordinated indebtedness. The Notes are not guaranteed by any of our subsidiaries.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Notes include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Notes, as applicable, in whole or in part, at any time at a redemption price equal to the principal amount of the Notes to be redeemed, plus a make-whole premium. We may also redeem the Notes in certain other circumstances, as set forth in the applicable Notes indenture.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If a change of control triggering event (as defined in the indenture) occurs, the Company is required to offer to repurchase the Notes at a price equal to 101% of their principal amount plus accrued and unpaid interest. The indenture also contains customary provisions regarding events of default, defeasance, and amendment, including the ability to modify certain terms with the consent of holders of a majority in principal amount of the outstanding Notes.</w:t>
      </w:r>
    </w:p>
    <w:p>
      <w:pPr>
        <w:pStyle w:val="TextBody"/>
        <w:bidi w:val="0"/>
        <w:spacing w:lineRule="auto" w:line="288" w:before="120" w:after="120"/>
        <w:jc w:val="left"/>
        <w:rPr/>
      </w:pPr>
      <w:r>
        <w:rPr>
          <w:rFonts w:ascii="Arial;sans-serif" w:hAnsi="Arial;sans-serif"/>
          <w:b w:val="false"/>
          <w:color w:val="000000"/>
          <w:sz w:val="20"/>
        </w:rPr>
        <w:t>Interest on the Notes is payable on June 1 and December 1 of each year. As of June 30, 2026</w:t>
      </w:r>
      <w:r>
        <w:rPr>
          <w:rFonts w:ascii="Arial;sans-serif" w:hAnsi="Arial;sans-serif"/>
          <w:b w:val="false"/>
          <w:color w:val="000000"/>
          <w:sz w:val="20"/>
          <w:shd w:fill="FFFFFF" w:val="clear"/>
        </w:rPr>
        <w:t>, we are in compliance with all covenants for the Notes.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On June 26, 2020, we issued 1.950% Senior Notes of $500 million aggregate principal amount due January 2028 (the “Senior Notes due 2028”) and 2.250% Senior Notes of $500 million aggregate principal amount due January 2031 (the “Senior Notes due 2031" and, together with the Senior Notes due 2028, the “Green Bond”).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Green Bond includes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Green Bond at any time, at our option, subject to certain conditions, at specified redemption prices, plus accrued and unpaid interest to the redemption date.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If a change of control triggering event (as defined in the applicable Green Bond indenture) occurs, we will be required to make an offer to purchase the notes at a price equal to 101% of their principal amount plus accrued and unpaid interest to the date of repurchase.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Interest on the Green Bond is payable on January 30 and July 30 of each year. As of June 30, 2026, we are in compliance with all covenants for the Green Bond.</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On October 11, 2016, we issued 3.250% Senior Notes of $500 million aggregate principal amount due October 2026 (the “Senior Notes due 2026”) and 4.375% Senior Notes of $400 million aggregate principal amount due October 2046 (the “Senior Notes due 2046” and, together with the Senior Notes due 2026, the “Senior Notes”).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Senior Notes include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Senior Notes, as applicable, in whole or in part, at any time at a redemption price equal to the principal amount of the Senior Notes to be redeemed, plus a make-whole premium. We may also redeem the Senior Notes in certain other circumstances, as set forth in the applicable Senior Notes indenture.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If a change of control triggering event (as defined in the applicable Senior Notes indenture) occurs, we will be required to make an offer to purchase the Senior Notes at a price equal to 101% of their principal amount plus accrued and unpaid interest to the date of repurchase.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Interest on the Senior Notes due 2026 and the Senior Notes due 2046 is payable on May 1 and November 1 of each year. As of June 30, 2026, we are in compliance with all covenants for the Senior Notes.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Credit Facilities</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2023 Five-Year Revolving Credit Facility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On March 1, 2023, Xylem entered into a five-year revolving credit facility (the "2023 Credit Facility") with Citibank, N.A., as Administrative Agent, and a syndicate of lenders. The 2023 Credit Facility provides for an aggregate principal amount of up to $1 billion (available in U.S. Dollars and in Euros), with increases of up to $300 million for a maximum aggregate principal amount of $1.3 billion at the request of Xylem and with the consent of the institutions providing such increased commitments.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Interest on all loans under the 2023 Credit Facility is payable either quarterly or at the expiration of any Term SOFR or EURIBOR interest period applicable thereto. Borrowings accrue interest at a rate equal to, at Xylem's election, a base rate or an adjusted Term SOFR or EURIBOR rate plus an applicable margin. The 2023 Credit Facility includes customary provisions for implementation of replacement rates for Term SOFR-based and EURIBOR-based loans. The 2023 Credit Facility also includes a pricing grid that determines the applicable margin based on Xylem's credit rating, with a further adjustment based on Xylem's achievement of certain Environmental, Social and Governance ("ESG") key performance indicators. Xylem will also pay quarterly fees to each lender for such lender's commitment to lend accruing on such commitment at a rate based on Xylem's credit rating, whether such commitment is used or unused, as well as a quarterly letter of credit fee accruing on the letter of credit exposure of such lender during the preceding quarter at a rate based on the credit rating of Xylem with a further adjustment based on Xylem's achievement of certain ESG key performance indicators.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2023 Credit Facility requires that Xylem maintain a consolidated total debt to consolidated EBITDA ratio (or maximum leverage ratio), which will be based on the last four fiscal quarters. In accordance with the terms of the agreement to the 2023 Credit Facility, Xylem may not exceed a maximum leverage ratio of 4.00 to 1.00 for a period of four consecutive fiscal quarters beginning with the fiscal quarter during which a material acquisition is consummated and a maximum leverage ratio of 3.50 to 1.00 thereafter for a minimum of four fiscal quarters before another material acquisition is consummated. In addition, the 2023 Credit Facility contains a number of customary covenants, including limitations on the incurrence of secured debt and debt of subsidiaries, liens, sale and lease-back transactions, mergers, consolidations, liquidations, dissolutions and sales of assets. The 2023 Credit Facility also contains customary events of default. Finally, Xylem has the ability to designate subsidiaries that can borrow under the 2023 Credit Facility, subject to certain requirements and conditions set forth in the 2023 Credit Facility. As of June 30, 2026, the 2023 Credit Facility was undrawn, and we are in compliance with all revolver covenants. The 2023 Credit Facility has availability of $1 billion, comprised of the $1 billion aggregate principal as of June 30, 2026.</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As of June 30, 2026 the future maturities of our debt were as follows:</w:t>
      </w:r>
    </w:p>
    <w:tbl>
      <w:tblPr>
        <w:tblW w:w="5496" w:type="dxa"/>
        <w:jc w:val="left"/>
        <w:tblInd w:w="0" w:type="dxa"/>
        <w:tblLayout w:type="fixed"/>
        <w:tblCellMar>
          <w:top w:w="28" w:type="dxa"/>
          <w:left w:w="28" w:type="dxa"/>
          <w:bottom w:w="28" w:type="dxa"/>
          <w:right w:w="28" w:type="dxa"/>
        </w:tblCellMar>
      </w:tblPr>
      <w:tblGrid>
        <w:gridCol w:w="1623"/>
        <w:gridCol w:w="1422"/>
        <w:gridCol w:w="1440"/>
        <w:gridCol w:w="211"/>
        <w:gridCol w:w="646"/>
        <w:gridCol w:w="154"/>
      </w:tblGrid>
      <w:tr>
        <w:trPr/>
        <w:tc>
          <w:tcPr>
            <w:tcW w:w="1623"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Maturity</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From July 1, 2026 through December 31,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Future Maturities</w:t>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issuance costs and unamortized discount (a)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Arial;sans-serif" w:hAnsi="Arial;sans-serif"/>
          <w:b w:val="false"/>
          <w:color w:val="000000"/>
          <w:sz w:val="18"/>
        </w:rPr>
      </w:pPr>
      <w:r>
        <w:rPr>
          <w:rFonts w:ascii="Arial;sans-serif" w:hAnsi="Arial;sans-serif"/>
          <w:b w:val="false"/>
          <w:color w:val="000000"/>
          <w:sz w:val="18"/>
        </w:rPr>
        <w:t>(a) The debt issuance costs and unamortized discount is recognized as a reduction in the carrying value of the Senior Notes in the Consolidated Balance Sheets and is being amortized to interest expense in our Consolidated Income Statements over the expected remaining terms of the Senior Notes.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Commercial Paper</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U.S. Dollar Commercial Paper Program</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Our U.S. Dollar commercial paper program generally serves as a means of short-term funding with a $600 million maximum issuing balance and a combined limit of $1 billion inclusive of the 2023 Credit Facility. As of June 30, 2026 and December 31, 2025, none of the Company's $600 million U.S. Dollar commercial paper program was outstanding, respectively. </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Euro Commercial Paper Program</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On June 3, 2019, Xylem entered into a Euro commercial paper program with ING Bank N.V., as administrative agent, and a syndicate of dealers. The Euro commercial paper program provides for a maximum issuing balance of up to €500 million (approximately $568 million USD) which may be denominated in a variety of currencies. The maximum issuing balance may be increased in accordance with the Dealer Agreement. As of June 30, 2026 and December 31, 2025, none of the Company's Euro commercial paper program was outstanding. We have the ability to continue borrowing under this program going forward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13. Post-retirement Benefit Plans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components of net periodic benefit cost for our defined benefit pension plans are as follows:</w:t>
      </w:r>
    </w:p>
    <w:tbl>
      <w:tblPr>
        <w:tblW w:w="8024" w:type="dxa"/>
        <w:jc w:val="left"/>
        <w:tblInd w:w="0" w:type="dxa"/>
        <w:tblLayout w:type="fixed"/>
        <w:tblCellMar>
          <w:top w:w="28" w:type="dxa"/>
          <w:left w:w="28" w:type="dxa"/>
          <w:bottom w:w="28" w:type="dxa"/>
          <w:right w:w="28" w:type="dxa"/>
        </w:tblCellMar>
      </w:tblPr>
      <w:tblGrid>
        <w:gridCol w:w="1506"/>
        <w:gridCol w:w="1321"/>
        <w:gridCol w:w="1342"/>
        <w:gridCol w:w="211"/>
        <w:gridCol w:w="406"/>
        <w:gridCol w:w="109"/>
        <w:gridCol w:w="109"/>
        <w:gridCol w:w="109"/>
        <w:gridCol w:w="109"/>
        <w:gridCol w:w="211"/>
        <w:gridCol w:w="406"/>
        <w:gridCol w:w="109"/>
        <w:gridCol w:w="109"/>
        <w:gridCol w:w="109"/>
        <w:gridCol w:w="109"/>
        <w:gridCol w:w="211"/>
        <w:gridCol w:w="331"/>
        <w:gridCol w:w="109"/>
        <w:gridCol w:w="109"/>
        <w:gridCol w:w="109"/>
        <w:gridCol w:w="109"/>
        <w:gridCol w:w="211"/>
        <w:gridCol w:w="406"/>
        <w:gridCol w:w="154"/>
      </w:tblGrid>
      <w:tr>
        <w:trPr/>
        <w:tc>
          <w:tcPr>
            <w:tcW w:w="150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Domestic defined benefit pension plans:</w:t>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plan assets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net actuarial loss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benefit cost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International defined benefit pension plans:</w:t>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plan assets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actuarial gain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benefit cost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net periodic benefit cost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components of net periodic benefit cost, other than the service cost component, are included in the line item "Other non-operating (expense)/income, net" in the Condensed Consolidated Income Statements.</w:t>
      </w:r>
    </w:p>
    <w:p>
      <w:pPr>
        <w:pStyle w:val="TextBody"/>
        <w:bidi w:val="0"/>
        <w:spacing w:lineRule="auto" w:line="288" w:before="120" w:after="120"/>
        <w:jc w:val="left"/>
        <w:rPr/>
      </w:pPr>
      <w:r>
        <w:rPr>
          <w:rFonts w:ascii="Arial;sans-serif" w:hAnsi="Arial;sans-serif"/>
          <w:b w:val="false"/>
          <w:color w:val="000000"/>
          <w:sz w:val="20"/>
        </w:rPr>
        <w:t>The total net periodic benefit cost for other post-retirement employee benefit plans was less than</w:t>
      </w:r>
      <w:r>
        <w:rPr>
          <w:color w:val="000000"/>
        </w:rPr>
        <w:t xml:space="preserve"> </w:t>
      </w:r>
      <w:r>
        <w:rPr>
          <w:rFonts w:ascii="Arial;sans-serif" w:hAnsi="Arial;sans-serif"/>
          <w:b w:val="false"/>
          <w:color w:val="000000"/>
          <w:sz w:val="20"/>
        </w:rPr>
        <w:t>$1 million, including net credits recognized into "Other comprehensive income (loss)" of less than $1 million, for each of the three and six months ended June 30, 2026 and 2025, respectively.</w:t>
      </w:r>
    </w:p>
    <w:p>
      <w:pPr>
        <w:pStyle w:val="TextBody"/>
        <w:bidi w:val="0"/>
        <w:spacing w:lineRule="auto" w:line="288" w:before="120" w:after="120"/>
        <w:jc w:val="left"/>
        <w:rPr/>
      </w:pPr>
      <w:r>
        <w:rPr>
          <w:rFonts w:ascii="Arial;sans-serif" w:hAnsi="Arial;sans-serif"/>
          <w:b w:val="false"/>
          <w:color w:val="000000"/>
          <w:sz w:val="20"/>
        </w:rPr>
        <w:t>We contributed $11 million and $9 million to our defined benefit plans for the six months ended June 30, 2026 and 2025, respectively. Additional contributions ranging between approximately $12 million</w:t>
      </w:r>
      <w:r>
        <w:rPr>
          <w:color w:val="000000"/>
        </w:rPr>
        <w:t xml:space="preserve"> </w:t>
      </w:r>
      <w:r>
        <w:rPr>
          <w:rFonts w:ascii="Arial;sans-serif" w:hAnsi="Arial;sans-serif"/>
          <w:b w:val="false"/>
          <w:color w:val="000000"/>
          <w:sz w:val="20"/>
        </w:rPr>
        <w:t>and $16 million are expected to be made during the remainder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 xml:space="preserve">Note 14. Equity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shows the changes in stockholders' equity for the six months ended June 30, 2026:</w:t>
      </w:r>
    </w:p>
    <w:tbl>
      <w:tblPr>
        <w:tblW w:w="11215" w:type="dxa"/>
        <w:jc w:val="left"/>
        <w:tblInd w:w="0" w:type="dxa"/>
        <w:tblLayout w:type="fixed"/>
        <w:tblCellMar>
          <w:top w:w="28" w:type="dxa"/>
          <w:left w:w="28" w:type="dxa"/>
          <w:bottom w:w="28" w:type="dxa"/>
          <w:right w:w="28" w:type="dxa"/>
        </w:tblCellMar>
      </w:tblPr>
      <w:tblGrid>
        <w:gridCol w:w="952"/>
        <w:gridCol w:w="282"/>
        <w:gridCol w:w="207"/>
        <w:gridCol w:w="316"/>
        <w:gridCol w:w="406"/>
        <w:gridCol w:w="164"/>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387"/>
        <w:gridCol w:w="883"/>
        <w:gridCol w:w="201"/>
        <w:gridCol w:w="109"/>
        <w:gridCol w:w="109"/>
        <w:gridCol w:w="109"/>
        <w:gridCol w:w="436"/>
        <w:gridCol w:w="778"/>
        <w:gridCol w:w="227"/>
        <w:gridCol w:w="109"/>
        <w:gridCol w:w="109"/>
        <w:gridCol w:w="109"/>
        <w:gridCol w:w="211"/>
        <w:gridCol w:w="751"/>
        <w:gridCol w:w="154"/>
      </w:tblGrid>
      <w:tr>
        <w:trPr/>
        <w:tc>
          <w:tcPr>
            <w:tcW w:w="95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Capital in Excess of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Other</w:t>
              <w:br/>
              <w:t>Comprehensive</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January 1, 2026</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8,759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3,706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(768)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(220)</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w:t>
            </w:r>
            <w:r>
              <w:rPr>
                <w:color w:val="000000"/>
              </w:rPr>
              <w:t> </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11,491</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 attributable to Xylem</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 net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Dividends declared ($0.43 per share)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incentive plan activity</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Distributions to minority shareholder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of common stock</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2026</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8,772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3,794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(1,368)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(229)</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w:t>
            </w:r>
            <w:r>
              <w:rPr>
                <w:color w:val="000000"/>
              </w:rPr>
              <w:t> </w:t>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10,980</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 attributable to Xylem</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 net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Divestiture of non-controlling interest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Dividends declared ($0.43 per share)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non-controlling interests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incentive plan activity</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of common stock</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30, 2026</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8,787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3,956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(2,023)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(302)</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10,424</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shows the changes in stockholders' equity for the six months ended June 30, 2025:</w:t>
      </w:r>
    </w:p>
    <w:tbl>
      <w:tblPr>
        <w:tblW w:w="11135" w:type="dxa"/>
        <w:jc w:val="left"/>
        <w:tblInd w:w="0" w:type="dxa"/>
        <w:tblLayout w:type="fixed"/>
        <w:tblCellMar>
          <w:top w:w="28" w:type="dxa"/>
          <w:left w:w="28" w:type="dxa"/>
          <w:bottom w:w="28" w:type="dxa"/>
          <w:right w:w="28" w:type="dxa"/>
        </w:tblCellMar>
      </w:tblPr>
      <w:tblGrid>
        <w:gridCol w:w="914"/>
        <w:gridCol w:w="263"/>
        <w:gridCol w:w="264"/>
        <w:gridCol w:w="316"/>
        <w:gridCol w:w="406"/>
        <w:gridCol w:w="164"/>
        <w:gridCol w:w="109"/>
        <w:gridCol w:w="109"/>
        <w:gridCol w:w="109"/>
        <w:gridCol w:w="211"/>
        <w:gridCol w:w="646"/>
        <w:gridCol w:w="109"/>
        <w:gridCol w:w="109"/>
        <w:gridCol w:w="109"/>
        <w:gridCol w:w="109"/>
        <w:gridCol w:w="211"/>
        <w:gridCol w:w="646"/>
        <w:gridCol w:w="109"/>
        <w:gridCol w:w="109"/>
        <w:gridCol w:w="109"/>
        <w:gridCol w:w="109"/>
        <w:gridCol w:w="233"/>
        <w:gridCol w:w="532"/>
        <w:gridCol w:w="121"/>
        <w:gridCol w:w="109"/>
        <w:gridCol w:w="109"/>
        <w:gridCol w:w="109"/>
        <w:gridCol w:w="387"/>
        <w:gridCol w:w="883"/>
        <w:gridCol w:w="201"/>
        <w:gridCol w:w="109"/>
        <w:gridCol w:w="109"/>
        <w:gridCol w:w="109"/>
        <w:gridCol w:w="514"/>
        <w:gridCol w:w="660"/>
        <w:gridCol w:w="267"/>
        <w:gridCol w:w="109"/>
        <w:gridCol w:w="109"/>
        <w:gridCol w:w="109"/>
        <w:gridCol w:w="211"/>
        <w:gridCol w:w="751"/>
        <w:gridCol w:w="154"/>
      </w:tblGrid>
      <w:tr>
        <w:trPr/>
        <w:tc>
          <w:tcPr>
            <w:tcW w:w="91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Arial;sans-serif" w:hAnsi="Arial;sans-serif"/>
                <w:b/>
                <w:sz w:val="18"/>
              </w:rPr>
              <w:br/>
            </w:r>
            <w:r>
              <w:rPr>
                <w:rFonts w:ascii="Arial;sans-serif" w:hAnsi="Arial;sans-serif"/>
                <w:b/>
                <w:color w:val="000000"/>
                <w:sz w:val="18"/>
              </w:rPr>
              <w:t>Capital in Excess of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Other</w:t>
              <w:br/>
              <w:t>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January 1, 2025</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10,647 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Xylem</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Dividends declared ($0.40 per share)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non-controlling interests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incentive plan activity</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2025</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10,822 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Xylem</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 income, net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activity</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Dividends declared ($0.40 per share)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Distribution to minority shareholders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non-controlling interests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incentive plan activity</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30, 2025</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11,081 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15. Share-Based Compensation Plans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Share-based compensation expense was $12 million and $25 million during the three and six months ended June 30, 2026, respectively, and $13 million and $25 million during the three and six months ended June 30, 2025, respectively. The unrecognized compensation expense related to our stock options, restricted stock units and performance share units was $16 million, $56 million and $28 million, respectively, at June 30, 2026 and is expected to be recognized over a weighted average period of 2.2, 2.2 and 2.0 years, respectively. The amount of cash received from the exercise of stock options was $2 million and $8 million for the six months ended June 30, 2026 and 2025, respectively.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As of June 30, 2026, there were 4.0 million shares of common stock available for future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Stock Option Grants</w:t>
      </w:r>
    </w:p>
    <w:p>
      <w:pPr>
        <w:pStyle w:val="TextBody"/>
        <w:bidi w:val="0"/>
        <w:spacing w:lineRule="auto" w:line="288" w:before="120" w:after="120"/>
        <w:jc w:val="left"/>
        <w:rPr/>
      </w:pPr>
      <w:r>
        <w:rPr>
          <w:rFonts w:ascii="Arial;sans-serif" w:hAnsi="Arial;sans-serif"/>
          <w:b w:val="false"/>
          <w:color w:val="000000"/>
          <w:sz w:val="20"/>
        </w:rPr>
        <w:t>The following is a summary of the changes in outstanding stock options for the six months ended June 30, 2026</w:t>
      </w:r>
      <w:r>
        <w:rPr>
          <w:rFonts w:ascii="Arial;sans-serif" w:hAnsi="Arial;sans-serif"/>
          <w:b w:val="false"/>
          <w:color w:val="000000"/>
          <w:sz w:val="18"/>
        </w:rPr>
        <w:t>:</w:t>
      </w:r>
    </w:p>
    <w:tbl>
      <w:tblPr>
        <w:tblW w:w="10205" w:type="dxa"/>
        <w:jc w:val="left"/>
        <w:tblInd w:w="0" w:type="dxa"/>
        <w:tblLayout w:type="fixed"/>
        <w:tblCellMar>
          <w:top w:w="28" w:type="dxa"/>
          <w:left w:w="28" w:type="dxa"/>
          <w:bottom w:w="28" w:type="dxa"/>
          <w:right w:w="28" w:type="dxa"/>
        </w:tblCellMar>
      </w:tblPr>
      <w:tblGrid>
        <w:gridCol w:w="1366"/>
        <w:gridCol w:w="1182"/>
        <w:gridCol w:w="1185"/>
        <w:gridCol w:w="377"/>
        <w:gridCol w:w="360"/>
        <w:gridCol w:w="362"/>
        <w:gridCol w:w="109"/>
        <w:gridCol w:w="109"/>
        <w:gridCol w:w="109"/>
        <w:gridCol w:w="212"/>
        <w:gridCol w:w="758"/>
        <w:gridCol w:w="111"/>
        <w:gridCol w:w="109"/>
        <w:gridCol w:w="109"/>
        <w:gridCol w:w="109"/>
        <w:gridCol w:w="472"/>
        <w:gridCol w:w="472"/>
        <w:gridCol w:w="474"/>
        <w:gridCol w:w="109"/>
        <w:gridCol w:w="109"/>
        <w:gridCol w:w="109"/>
        <w:gridCol w:w="536"/>
        <w:gridCol w:w="959"/>
        <w:gridCol w:w="398"/>
      </w:tblGrid>
      <w:tr>
        <w:trPr/>
        <w:tc>
          <w:tcPr>
            <w:tcW w:w="1366"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3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Share units </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Exercise</w:t>
              <w:br/>
              <w:t>Price /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w:t>
              <w:br/>
              <w:t>Remaining</w:t>
              <w:br/>
              <w:t>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Aggregate Intrinsic Value </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January 1, 2026</w:t>
            </w:r>
          </w:p>
        </w:tc>
        <w:tc>
          <w:tcPr>
            <w:tcW w:w="7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1,142 </w:t>
            </w:r>
          </w:p>
        </w:tc>
        <w:tc>
          <w:tcPr>
            <w:tcW w:w="3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95.75 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3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77.93 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 and expired</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128.77 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129.67 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Outstanding at June 30, 2026</w:t>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1,374</w:t>
            </w:r>
            <w:r>
              <w:rPr>
                <w:color w:val="000000"/>
              </w:rPr>
              <w:t> </w:t>
            </w:r>
          </w:p>
        </w:tc>
        <w:tc>
          <w:tcPr>
            <w:tcW w:w="3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102.37</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w:t>
            </w:r>
            <w:r>
              <w:rPr>
                <w:color w:val="000000"/>
              </w:rPr>
              <w:t> </w:t>
            </w:r>
          </w:p>
        </w:tc>
        <w:tc>
          <w:tcPr>
            <w:tcW w:w="3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Options exercisable at June 30, 2026</w:t>
            </w:r>
          </w:p>
        </w:tc>
        <w:tc>
          <w:tcPr>
            <w:tcW w:w="7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869</w:t>
            </w:r>
            <w:r>
              <w:rPr>
                <w:color w:val="000000"/>
              </w:rPr>
              <w:t> </w:t>
            </w:r>
          </w:p>
        </w:tc>
        <w:tc>
          <w:tcPr>
            <w:tcW w:w="3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86.95</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w:t>
            </w:r>
            <w:r>
              <w:rPr>
                <w:color w:val="000000"/>
              </w:rPr>
              <w:t> </w:t>
            </w:r>
          </w:p>
        </w:tc>
        <w:tc>
          <w:tcPr>
            <w:tcW w:w="3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Vested and expected to vest as of June 30, 2026</w:t>
            </w:r>
          </w:p>
        </w:tc>
        <w:tc>
          <w:tcPr>
            <w:tcW w:w="73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1,307</w:t>
            </w:r>
            <w:r>
              <w:rPr>
                <w:color w:val="000000"/>
              </w:rPr>
              <w:t> </w:t>
            </w:r>
          </w:p>
        </w:tc>
        <w:tc>
          <w:tcPr>
            <w:tcW w:w="3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101.02</w:t>
            </w:r>
            <w:r>
              <w:rPr>
                <w:color w:val="000000"/>
              </w:rPr>
              <w:t>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w:t>
            </w:r>
            <w:r>
              <w:rPr>
                <w:color w:val="000000"/>
              </w:rPr>
              <w:t> </w:t>
            </w:r>
          </w:p>
        </w:tc>
        <w:tc>
          <w:tcPr>
            <w:tcW w:w="3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total intrinsic value of options exercised (which is the amount by which the stock price exceeded the exercise price of the options on the date of exercise) during the six months ended June 30, 2026 was $1 million.</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Stock Option Fair Value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fair value of each option grant was estimated on the date of grant using the binomial lattice pricing model which incorporates multiple and variable assumptions over time, including employee exercise patterns, stock price volatility and changes in dividends. The following are weighted-average assumptions for 2026 grants:</w:t>
      </w:r>
    </w:p>
    <w:tbl>
      <w:tblPr>
        <w:tblW w:w="4532" w:type="dxa"/>
        <w:jc w:val="left"/>
        <w:tblInd w:w="0" w:type="dxa"/>
        <w:tblLayout w:type="fixed"/>
        <w:tblCellMar>
          <w:top w:w="28" w:type="dxa"/>
          <w:left w:w="28" w:type="dxa"/>
          <w:bottom w:w="28" w:type="dxa"/>
          <w:right w:w="28" w:type="dxa"/>
        </w:tblCellMar>
      </w:tblPr>
      <w:tblGrid>
        <w:gridCol w:w="1152"/>
        <w:gridCol w:w="1014"/>
        <w:gridCol w:w="1028"/>
        <w:gridCol w:w="211"/>
        <w:gridCol w:w="646"/>
        <w:gridCol w:w="109"/>
        <w:gridCol w:w="109"/>
        <w:gridCol w:w="109"/>
        <w:gridCol w:w="154"/>
      </w:tblGrid>
      <w:tr>
        <w:trPr/>
        <w:tc>
          <w:tcPr>
            <w:tcW w:w="1152"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Volatility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 yield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term (in years)</w:t>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5.6</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fair value /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Expected volatility is calculated based on an analysis of historic volatility measures for Xylem. We use historical data to estimate option exercise and employee termination behavior within the valuation model. Employee groups and option characteristics are considered separately for valuation purposes. The expected term represents an estimate of the period of time options are expected to remain outstanding. The risk-free rate is based on the U.S. Treasury yield curve in effect at the time of option grant.</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Restricted Stock Unit Grants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Restricted stock units awarded to employees vest over a three-year period. Prior to the time a restricted stock unit becomes fully vested, the awardees cannot transfer, pledge or encumber such units. Prior to the time a restricted stock unit is fully vested, the awardees are not granted certain rights of a stockholder, such as the right to vote and receive dividends; however, dividends accrue during the vesting period and are paid upon vesting. If an employee leaves prior to vesting, whether through resignation or termination for cause, the restricted stock unit and related accrued dividends are forfeited. If an employee retires prior to vesting, a portion or the entirety of the restricted stock unit will vest in accordance with the terms of the applicable grant agreements. Restricted stock units awarded to members of our Board become fully vested upon the day prior to the next annual meeting. The fair value of the restricted stock unit awards is determined using the closing price of our common stock on date of grant.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pPr>
      <w:r>
        <w:rPr>
          <w:rFonts w:ascii="Arial;sans-serif" w:hAnsi="Arial;sans-serif"/>
          <w:b w:val="false"/>
          <w:color w:val="000000"/>
          <w:sz w:val="20"/>
        </w:rPr>
        <w:t>The following is a summary of restricted stock unit activity for the six months ended June 30, 2026</w:t>
      </w:r>
      <w:r>
        <w:rPr>
          <w:rFonts w:ascii="Arial;sans-serif" w:hAnsi="Arial;sans-serif"/>
          <w:b w:val="false"/>
          <w:color w:val="000000"/>
          <w:sz w:val="18"/>
        </w:rPr>
        <w:t xml:space="preserve">. </w:t>
      </w:r>
      <w:r>
        <w:rPr>
          <w:rFonts w:ascii="Arial;sans-serif" w:hAnsi="Arial;sans-serif"/>
          <w:b w:val="false"/>
          <w:color w:val="000000"/>
          <w:sz w:val="20"/>
        </w:rPr>
        <w:t>The fair value of the restricted share unit awards is determined using the closing price of our common stock on date of grant:</w:t>
      </w:r>
    </w:p>
    <w:tbl>
      <w:tblPr>
        <w:tblW w:w="5847" w:type="dxa"/>
        <w:jc w:val="left"/>
        <w:tblInd w:w="0" w:type="dxa"/>
        <w:tblLayout w:type="fixed"/>
        <w:tblCellMar>
          <w:top w:w="28" w:type="dxa"/>
          <w:left w:w="28" w:type="dxa"/>
          <w:bottom w:w="28" w:type="dxa"/>
          <w:right w:w="28" w:type="dxa"/>
        </w:tblCellMar>
      </w:tblPr>
      <w:tblGrid>
        <w:gridCol w:w="1032"/>
        <w:gridCol w:w="908"/>
        <w:gridCol w:w="910"/>
        <w:gridCol w:w="384"/>
        <w:gridCol w:w="384"/>
        <w:gridCol w:w="386"/>
        <w:gridCol w:w="109"/>
        <w:gridCol w:w="109"/>
        <w:gridCol w:w="109"/>
        <w:gridCol w:w="286"/>
        <w:gridCol w:w="1020"/>
        <w:gridCol w:w="210"/>
      </w:tblGrid>
      <w:tr>
        <w:trPr/>
        <w:tc>
          <w:tcPr>
            <w:tcW w:w="10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Share units </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Grant Date</w:t>
              <w:br/>
              <w:t>Fair Value / Share</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January 1, 2026</w:t>
            </w:r>
          </w:p>
        </w:tc>
        <w:tc>
          <w:tcPr>
            <w:tcW w:w="7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506 </w:t>
            </w:r>
          </w:p>
        </w:tc>
        <w:tc>
          <w:tcPr>
            <w:tcW w:w="3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123.27 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127.60 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118.75 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129.37 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123.24</w:t>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Outstanding at June 30, 2026</w:t>
            </w:r>
          </w:p>
        </w:tc>
        <w:tc>
          <w:tcPr>
            <w:tcW w:w="76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532</w:t>
            </w:r>
            <w:r>
              <w:rPr>
                <w:color w:val="000000"/>
              </w:rPr>
              <w:t> </w:t>
            </w:r>
          </w:p>
        </w:tc>
        <w:tc>
          <w:tcPr>
            <w:tcW w:w="3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127.41</w:t>
            </w:r>
            <w:r>
              <w:rPr>
                <w:color w:val="000000"/>
              </w:rPr>
              <w:t> </w:t>
            </w:r>
          </w:p>
        </w:tc>
        <w:tc>
          <w:tcPr>
            <w:tcW w:w="2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Performance Share Unit Grants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Performance share units awarded under the long-term incentive plan vest based upon performance by the Company over a three-year period against targets approved by the Leadership Development &amp; Compensation Committee of the Company's Board of Directors prior to the grant date. The performance share units were each awarded at a target of 100% with actual payout for each type of grant contingent upon the achievement of performance targets as follows: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EBITDA performance share units — a third-year adjusted EBITDA performance target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TSR performance share units — a relative TSR performance target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Revenue performance share units — a pre-set third-year revenue target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EPS performance share units — a cumulative three-year EPS performance target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calculated compensation cost for EBITDA, Revenue and EPS performance share units is adjusted based on an estimate of awards ultimately expected to vest and our assessment of the probable outcome of the performance condition. </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Adjusted EBITDA Performance Share Unit Grants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fair value of the adjusted EBITDA performance share units is determined using the closing share price on the date of the grant.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is a summary of our adjusted EBITDA grants for the six months ended June 30, 2026:</w:t>
      </w:r>
    </w:p>
    <w:tbl>
      <w:tblPr>
        <w:tblW w:w="8082" w:type="dxa"/>
        <w:jc w:val="left"/>
        <w:tblInd w:w="0" w:type="dxa"/>
        <w:tblLayout w:type="fixed"/>
        <w:tblCellMar>
          <w:top w:w="28" w:type="dxa"/>
          <w:left w:w="28" w:type="dxa"/>
          <w:bottom w:w="28" w:type="dxa"/>
          <w:right w:w="28" w:type="dxa"/>
        </w:tblCellMar>
      </w:tblPr>
      <w:tblGrid>
        <w:gridCol w:w="1662"/>
        <w:gridCol w:w="1462"/>
        <w:gridCol w:w="1465"/>
        <w:gridCol w:w="404"/>
        <w:gridCol w:w="404"/>
        <w:gridCol w:w="406"/>
        <w:gridCol w:w="109"/>
        <w:gridCol w:w="109"/>
        <w:gridCol w:w="109"/>
        <w:gridCol w:w="109"/>
        <w:gridCol w:w="109"/>
        <w:gridCol w:w="109"/>
        <w:gridCol w:w="109"/>
        <w:gridCol w:w="286"/>
        <w:gridCol w:w="1020"/>
        <w:gridCol w:w="210"/>
      </w:tblGrid>
      <w:tr>
        <w:trPr/>
        <w:tc>
          <w:tcPr>
            <w:tcW w:w="1662"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Share units</w:t>
            </w:r>
          </w:p>
          <w:p>
            <w:pPr>
              <w:pStyle w:val="TableContents"/>
              <w:bidi w:val="0"/>
              <w:spacing w:lineRule="auto" w:line="240" w:before="0" w:after="0"/>
              <w:jc w:val="center"/>
              <w:rPr/>
            </w:pPr>
            <w:r>
              <w:rPr>
                <w:color w:val="000000"/>
              </w:rPr>
              <w:t> </w:t>
            </w:r>
            <w:r>
              <w:rPr>
                <w:rFonts w:ascii="Arial;sans-serif" w:hAnsi="Arial;sans-serif"/>
                <w:b w:val="false"/>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Grant Date</w:t>
              <w:br/>
              <w:t>Fair Value / Share</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January 1, 2026</w:t>
            </w:r>
          </w:p>
        </w:tc>
        <w:tc>
          <w:tcPr>
            <w:tcW w:w="8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113.89 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 for Performance Condition Achieved (a)</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100.50 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100.50 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125.86 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Outstanding at June 30, 2026</w:t>
            </w:r>
          </w:p>
        </w:tc>
        <w:tc>
          <w:tcPr>
            <w:tcW w:w="80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w:t>
            </w:r>
            <w:r>
              <w:rPr>
                <w:color w:val="000000"/>
              </w:rPr>
              <w:t> </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127.94</w:t>
            </w:r>
            <w:r>
              <w:rPr>
                <w:color w:val="000000"/>
              </w:rPr>
              <w:t> </w:t>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18"/>
        </w:rPr>
      </w:pPr>
      <w:r>
        <w:rPr>
          <w:rFonts w:ascii="Arial;sans-serif" w:hAnsi="Arial;sans-serif"/>
          <w:b w:val="false"/>
          <w:color w:val="000000"/>
          <w:sz w:val="18"/>
        </w:rPr>
        <w:t>(a) Represents an increase in the number of original EBITDA performance share units awarded based on the final market condition achievement at the end of the performance period of such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TSR Performance Share Unit Grants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is a summary of our Total Shareholder Return ("TSR") performance share unit grants for the six months ended June 30, 2026:</w:t>
      </w:r>
    </w:p>
    <w:tbl>
      <w:tblPr>
        <w:tblW w:w="7513" w:type="dxa"/>
        <w:jc w:val="left"/>
        <w:tblInd w:w="0" w:type="dxa"/>
        <w:tblLayout w:type="fixed"/>
        <w:tblCellMar>
          <w:top w:w="28" w:type="dxa"/>
          <w:left w:w="28" w:type="dxa"/>
          <w:bottom w:w="28" w:type="dxa"/>
          <w:right w:w="28" w:type="dxa"/>
        </w:tblCellMar>
      </w:tblPr>
      <w:tblGrid>
        <w:gridCol w:w="1477"/>
        <w:gridCol w:w="1300"/>
        <w:gridCol w:w="1303"/>
        <w:gridCol w:w="384"/>
        <w:gridCol w:w="384"/>
        <w:gridCol w:w="386"/>
        <w:gridCol w:w="109"/>
        <w:gridCol w:w="109"/>
        <w:gridCol w:w="109"/>
        <w:gridCol w:w="109"/>
        <w:gridCol w:w="109"/>
        <w:gridCol w:w="109"/>
        <w:gridCol w:w="109"/>
        <w:gridCol w:w="286"/>
        <w:gridCol w:w="1020"/>
        <w:gridCol w:w="210"/>
      </w:tblGrid>
      <w:tr>
        <w:trPr/>
        <w:tc>
          <w:tcPr>
            <w:tcW w:w="147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Share units </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Grant Date</w:t>
              <w:br/>
              <w:t>Fair Value / Share</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January 1, 2026</w:t>
            </w:r>
          </w:p>
        </w:tc>
        <w:tc>
          <w:tcPr>
            <w:tcW w:w="7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3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157.41 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108.88 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 for Market Condition Achieved (a)</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109.04 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109.04 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169.22 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Outstanding at June 30, 2026</w:t>
            </w:r>
          </w:p>
        </w:tc>
        <w:tc>
          <w:tcPr>
            <w:tcW w:w="76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154</w:t>
            </w:r>
            <w:r>
              <w:rPr>
                <w:color w:val="000000"/>
              </w:rPr>
              <w:t> </w:t>
            </w:r>
          </w:p>
        </w:tc>
        <w:tc>
          <w:tcPr>
            <w:tcW w:w="3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152.08</w:t>
            </w:r>
            <w:r>
              <w:rPr>
                <w:color w:val="000000"/>
              </w:rPr>
              <w:t> </w:t>
            </w:r>
          </w:p>
        </w:tc>
        <w:tc>
          <w:tcPr>
            <w:tcW w:w="2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18"/>
        </w:rPr>
      </w:pPr>
      <w:r>
        <w:rPr>
          <w:rFonts w:ascii="Arial;sans-serif" w:hAnsi="Arial;sans-serif"/>
          <w:b w:val="false"/>
          <w:color w:val="000000"/>
          <w:sz w:val="18"/>
        </w:rPr>
        <w:t>(a) Represents a decrease in the number of original TSR performance share units awarded based on the final market condition achievement at the end of the performance period of such awards.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fair value of TSR performance share units was calculated on the date of grant using a Monte Carlo simulation model utilizing several key assumptions, including expected Company and peer company share price volatility, correlation coefficients between peers, the risk-free rate of return, the expected dividend yield and other award design features. The following are weighted-average assumptions for 2026 grants:</w:t>
      </w:r>
    </w:p>
    <w:tbl>
      <w:tblPr>
        <w:tblW w:w="3121" w:type="dxa"/>
        <w:jc w:val="right"/>
        <w:tblInd w:w="0" w:type="dxa"/>
        <w:tblLayout w:type="fixed"/>
        <w:tblCellMar>
          <w:top w:w="28" w:type="dxa"/>
          <w:left w:w="28" w:type="dxa"/>
          <w:bottom w:w="28" w:type="dxa"/>
          <w:right w:w="28" w:type="dxa"/>
        </w:tblCellMar>
      </w:tblPr>
      <w:tblGrid>
        <w:gridCol w:w="719"/>
        <w:gridCol w:w="633"/>
        <w:gridCol w:w="642"/>
        <w:gridCol w:w="323"/>
        <w:gridCol w:w="323"/>
        <w:gridCol w:w="109"/>
        <w:gridCol w:w="109"/>
        <w:gridCol w:w="109"/>
        <w:gridCol w:w="154"/>
      </w:tblGrid>
      <w:tr>
        <w:trPr/>
        <w:tc>
          <w:tcPr>
            <w:tcW w:w="71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Volatility</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r>
    </w:tbl>
    <w:p>
      <w:pPr>
        <w:pStyle w:val="TextBody"/>
        <w:bidi w:val="0"/>
        <w:spacing w:before="0" w:after="0"/>
        <w:jc w:val="right"/>
        <w:rPr/>
      </w:pPr>
      <w:r>
        <w:rPr/>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Revenue Performance Share Unit Grants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fair value of the revenue performance share unit awards is determined using the closing price of our common stock on date of grant.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is a summary of our Revenue performance share unit grants for the six months ended June 30, 2026:</w:t>
      </w:r>
    </w:p>
    <w:tbl>
      <w:tblPr>
        <w:tblW w:w="7646" w:type="dxa"/>
        <w:jc w:val="left"/>
        <w:tblInd w:w="0" w:type="dxa"/>
        <w:tblLayout w:type="fixed"/>
        <w:tblCellMar>
          <w:top w:w="28" w:type="dxa"/>
          <w:left w:w="28" w:type="dxa"/>
          <w:bottom w:w="28" w:type="dxa"/>
          <w:right w:w="28" w:type="dxa"/>
        </w:tblCellMar>
      </w:tblPr>
      <w:tblGrid>
        <w:gridCol w:w="1662"/>
        <w:gridCol w:w="1462"/>
        <w:gridCol w:w="1465"/>
        <w:gridCol w:w="404"/>
        <w:gridCol w:w="404"/>
        <w:gridCol w:w="406"/>
        <w:gridCol w:w="109"/>
        <w:gridCol w:w="109"/>
        <w:gridCol w:w="109"/>
        <w:gridCol w:w="286"/>
        <w:gridCol w:w="1020"/>
        <w:gridCol w:w="210"/>
      </w:tblGrid>
      <w:tr>
        <w:trPr/>
        <w:tc>
          <w:tcPr>
            <w:tcW w:w="1662"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Share units</w:t>
            </w:r>
          </w:p>
          <w:p>
            <w:pPr>
              <w:pStyle w:val="TableContents"/>
              <w:bidi w:val="0"/>
              <w:spacing w:lineRule="auto" w:line="240" w:before="0" w:after="0"/>
              <w:jc w:val="center"/>
              <w:rPr/>
            </w:pPr>
            <w:r>
              <w:rPr>
                <w:color w:val="000000"/>
              </w:rPr>
              <w:t> </w:t>
            </w: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Grant Date</w:t>
              <w:br/>
              <w:t>Fair Value / Share</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January 1, 2026</w:t>
            </w:r>
          </w:p>
        </w:tc>
        <w:tc>
          <w:tcPr>
            <w:tcW w:w="8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113.89 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 for Performance Condition Achieved (a)</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100.50 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100.50 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125.86 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Outstanding at June 30, 2026</w:t>
            </w:r>
          </w:p>
        </w:tc>
        <w:tc>
          <w:tcPr>
            <w:tcW w:w="80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w:t>
            </w:r>
            <w:r>
              <w:rPr>
                <w:color w:val="000000"/>
              </w:rPr>
              <w:t> </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127.94</w:t>
            </w:r>
            <w:r>
              <w:rPr>
                <w:color w:val="000000"/>
              </w:rPr>
              <w:t> </w:t>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18"/>
        </w:rPr>
      </w:pPr>
      <w:r>
        <w:rPr>
          <w:rFonts w:ascii="Arial;sans-serif" w:hAnsi="Arial;sans-serif"/>
          <w:b w:val="false"/>
          <w:color w:val="000000"/>
          <w:sz w:val="18"/>
        </w:rPr>
        <w:t>(a) Represents an increase in the number of original revenue performance share units awarded based on the final market condition achievement at the end of the performance period of such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120" w:after="120"/>
        <w:jc w:val="both"/>
        <w:rPr/>
      </w:pPr>
      <w:r>
        <w:rPr/>
      </w:r>
    </w:p>
    <w:p>
      <w:pPr>
        <w:pStyle w:val="TextBody"/>
        <w:bidi w:val="0"/>
        <w:spacing w:lineRule="auto" w:line="288" w:before="120" w:after="120"/>
        <w:jc w:val="both"/>
        <w:rPr>
          <w:rFonts w:ascii="Arial;sans-serif" w:hAnsi="Arial;sans-serif"/>
          <w:b w:val="false"/>
          <w:i/>
          <w:color w:val="000000"/>
          <w:sz w:val="20"/>
        </w:rPr>
      </w:pPr>
      <w:r>
        <w:rPr>
          <w:rFonts w:ascii="Arial;sans-serif" w:hAnsi="Arial;sans-serif"/>
          <w:b w:val="false"/>
          <w:i/>
          <w:color w:val="000000"/>
          <w:sz w:val="20"/>
        </w:rPr>
        <w:t>EPS Performance Share Unit Grants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fair value of the earnings per share ("EPS") performance share unit awards is determined using the closing price of our common stock on date of grant.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is a summary of our EPS performance share unit grants for the six months ended June 30, 2026:</w:t>
      </w:r>
    </w:p>
    <w:tbl>
      <w:tblPr>
        <w:tblW w:w="5907" w:type="dxa"/>
        <w:jc w:val="left"/>
        <w:tblInd w:w="0" w:type="dxa"/>
        <w:tblLayout w:type="fixed"/>
        <w:tblCellMar>
          <w:top w:w="28" w:type="dxa"/>
          <w:left w:w="28" w:type="dxa"/>
          <w:bottom w:w="28" w:type="dxa"/>
          <w:right w:w="28" w:type="dxa"/>
        </w:tblCellMar>
      </w:tblPr>
      <w:tblGrid>
        <w:gridCol w:w="1032"/>
        <w:gridCol w:w="908"/>
        <w:gridCol w:w="910"/>
        <w:gridCol w:w="404"/>
        <w:gridCol w:w="404"/>
        <w:gridCol w:w="406"/>
        <w:gridCol w:w="109"/>
        <w:gridCol w:w="109"/>
        <w:gridCol w:w="109"/>
        <w:gridCol w:w="286"/>
        <w:gridCol w:w="1020"/>
        <w:gridCol w:w="210"/>
      </w:tblGrid>
      <w:tr>
        <w:trPr/>
        <w:tc>
          <w:tcPr>
            <w:tcW w:w="10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Share units</w:t>
            </w:r>
          </w:p>
          <w:p>
            <w:pPr>
              <w:pStyle w:val="TableContents"/>
              <w:bidi w:val="0"/>
              <w:spacing w:lineRule="auto" w:line="240" w:before="0" w:after="0"/>
              <w:jc w:val="center"/>
              <w:rPr/>
            </w:pPr>
            <w:r>
              <w:rPr>
                <w:color w:val="000000"/>
              </w:rPr>
              <w:t> </w:t>
            </w: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Grant Date</w:t>
              <w:br/>
              <w:t>Fair Value / Share</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January 1, 2026</w:t>
            </w:r>
          </w:p>
        </w:tc>
        <w:tc>
          <w:tcPr>
            <w:tcW w:w="8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129.82 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131.26 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130.22 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Outstanding at June 30, 2026</w:t>
            </w:r>
          </w:p>
        </w:tc>
        <w:tc>
          <w:tcPr>
            <w:tcW w:w="80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111</w:t>
            </w:r>
            <w:r>
              <w:rPr>
                <w:color w:val="000000"/>
              </w:rPr>
              <w:t> </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130.62</w:t>
            </w:r>
            <w:r>
              <w:rPr>
                <w:color w:val="000000"/>
              </w:rPr>
              <w:t> </w:t>
            </w:r>
          </w:p>
        </w:tc>
        <w:tc>
          <w:tcPr>
            <w:tcW w:w="2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Employee Share Purchase Plan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Effective May 18, 2026, we adopted an Employee Stock Purchase Plan ("ESPP"). The ESPP allows eligible employees to contribute up to 15% of their base compensation to purchase shares of our common stock at 85% of the lesser of the closing market price on the first or last day of the offering period. There are 4.0 million shares authorized for sale in connection with the ESPP, which may include treasury or newly issued shares.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initial offering period under the ESPP began on June 1, 2026 and will close on November 30, 2026. For the three and six months ended June 30, 2026, no shares have been sold under the ESPP. We accrued less than $1 million of expense for the three and six months ended June 30, 2026 associated with the ESPP.</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16. Capital Stock</w:t>
      </w:r>
    </w:p>
    <w:p>
      <w:pPr>
        <w:pStyle w:val="TextBody"/>
        <w:bidi w:val="0"/>
        <w:spacing w:lineRule="auto" w:line="288" w:before="120" w:after="120"/>
        <w:jc w:val="left"/>
        <w:rPr/>
      </w:pPr>
      <w:r>
        <w:rPr>
          <w:rFonts w:ascii="Arial;sans-serif" w:hAnsi="Arial;sans-serif"/>
          <w:b w:val="false"/>
          <w:color w:val="000000"/>
          <w:sz w:val="20"/>
        </w:rPr>
        <w:t>For the three and six months ended June 30, 2026,</w:t>
      </w:r>
      <w:r>
        <w:rPr>
          <w:color w:val="000000"/>
        </w:rPr>
        <w:t xml:space="preserve"> </w:t>
      </w:r>
      <w:r>
        <w:rPr>
          <w:rFonts w:ascii="Arial;sans-serif" w:hAnsi="Arial;sans-serif"/>
          <w:b w:val="false"/>
          <w:color w:val="000000"/>
          <w:sz w:val="20"/>
        </w:rPr>
        <w:t>the Company repurchased 5.7 million shares of common stock for $648 million and 10.5 million shares of common stock for $1,243 million, respectively. For the three and six months ended June 30, 2025,</w:t>
      </w:r>
      <w:r>
        <w:rPr>
          <w:color w:val="000000"/>
        </w:rPr>
        <w:t xml:space="preserve"> </w:t>
      </w:r>
      <w:r>
        <w:rPr>
          <w:rFonts w:ascii="Arial;sans-serif" w:hAnsi="Arial;sans-serif"/>
          <w:b w:val="false"/>
          <w:color w:val="000000"/>
          <w:sz w:val="20"/>
        </w:rPr>
        <w:t>the Company repurchased less than 0.1 million shares of common stock for less than $1 million and 0.1 million shares of common stock for $13 million, respectively. Repurchases may include share repurchase programs approved by the Board of Directors and repurchases in relation to settlement of employee tax withholding obligations due as a result of the vesting of restricted stock units. The details of repurchases by each program are as follows: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On August 24, 2015, our Board of Directors authorized the repurchase of up to $500 million in shares with no expiration date. The program's objective is to deploy our capital in a manner that benefits our shareholders and maintains our focus on growth. During the first quarter of 2026, the Company repurchased 1.4 million shares of common stock for $182 million a under this program. As of June 30, 2026 there is no additional capacity for share repurchases under this program.</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On February 25, 2026, our Board of Directors authorized the repurchase of up to $1.5 billion in shares with no expiration date. The program's objective is to deploy our capital in a manner that benefits our shareholders and maintains our focus on growth. For the three and six months ended June 30, 2026, the Company repurchased 5.7 million shares and 9.0 million shares of common stock for $648 million and $1,047 million, respectively, under this program. As of June 30, 2026 there are $453 million in additional shares that may still be repurchased under this program.</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 relation to the aforementioned share repurchase programs, the Company has accrued a total $12 million in excise taxes as of June 30, 2026. There were no excise taxes accrued related to share repurchase programs as of December 31, 2025.</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Aside from the aforementioned repurchase programs, we repurchased less than 0.1 million shares and 0.1 million shares for $0.2 million and $14 million for the three and six months ended June 30, 2026, respectively, and less than 0.1 million shares and 0.1 million shares for approximately less than $1 million and $13 million for the three and six months ended June 30, 2025, respectively, in relation to settlement of employee tax withholding obligations due as a result of the vesting of restricted stock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17. Accumulated Other Comprehensive Loss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provides the components of accumulated other comprehensive loss ("AOCL") for the six months ended June 30, 2026:</w:t>
      </w:r>
    </w:p>
    <w:tbl>
      <w:tblPr>
        <w:tblW w:w="10205" w:type="dxa"/>
        <w:jc w:val="left"/>
        <w:tblInd w:w="0" w:type="dxa"/>
        <w:tblLayout w:type="fixed"/>
        <w:tblCellMar>
          <w:top w:w="28" w:type="dxa"/>
          <w:left w:w="28" w:type="dxa"/>
          <w:bottom w:w="28" w:type="dxa"/>
          <w:right w:w="28" w:type="dxa"/>
        </w:tblCellMar>
      </w:tblPr>
      <w:tblGrid>
        <w:gridCol w:w="1778"/>
        <w:gridCol w:w="1126"/>
        <w:gridCol w:w="1081"/>
        <w:gridCol w:w="373"/>
        <w:gridCol w:w="851"/>
        <w:gridCol w:w="193"/>
        <w:gridCol w:w="109"/>
        <w:gridCol w:w="109"/>
        <w:gridCol w:w="109"/>
        <w:gridCol w:w="500"/>
        <w:gridCol w:w="891"/>
        <w:gridCol w:w="259"/>
        <w:gridCol w:w="109"/>
        <w:gridCol w:w="109"/>
        <w:gridCol w:w="109"/>
        <w:gridCol w:w="395"/>
        <w:gridCol w:w="703"/>
        <w:gridCol w:w="205"/>
        <w:gridCol w:w="109"/>
        <w:gridCol w:w="109"/>
        <w:gridCol w:w="109"/>
        <w:gridCol w:w="211"/>
        <w:gridCol w:w="498"/>
        <w:gridCol w:w="160"/>
      </w:tblGrid>
      <w:tr>
        <w:trPr/>
        <w:tc>
          <w:tcPr>
            <w:tcW w:w="177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Post-retirement 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January 1, 2026</w:t>
            </w:r>
          </w:p>
        </w:tc>
        <w:tc>
          <w:tcPr>
            <w:tcW w:w="3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(191)</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(39)</w:t>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w:t>
            </w:r>
            <w:r>
              <w:rPr>
                <w:color w:val="000000"/>
              </w:rPr>
              <w:t>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(220)</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w:t>
            </w: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of currency translation adjustment relating to divestiture of foreign subsidiaries reclassified into net income</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on foreign currency translation adjustment</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98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actuarial gain on post-retirement benefit plans into other non-operating income, net</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98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98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98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98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98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98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loss on derivative hedge agreements</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on unrealized gain on derivative hedge agreements</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98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Reclassification of unrealized gain on foreign exchange agreements into revenue</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Reclassification of unrealized gain on foreign exchange agreements into cost of revenue</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98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2026</w:t>
            </w:r>
          </w:p>
        </w:tc>
        <w:tc>
          <w:tcPr>
            <w:tcW w:w="3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(188)</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(40)</w:t>
            </w:r>
          </w:p>
        </w:tc>
        <w:tc>
          <w:tcPr>
            <w:tcW w:w="2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(229)</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w:t>
            </w:r>
          </w:p>
        </w:tc>
        <w:tc>
          <w:tcPr>
            <w:tcW w:w="122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(53)</w:t>
            </w:r>
          </w:p>
        </w:tc>
        <w:tc>
          <w:tcPr>
            <w:tcW w:w="19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(53)</w:t>
            </w:r>
          </w:p>
        </w:tc>
        <w:tc>
          <w:tcPr>
            <w:tcW w:w="16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of gain recognized relating to divestiture of foreign subsidiaries reclassified into net income</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of currency translation adjustment relating to divestiture of foreign subsidiaries reclassified into net income</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on foreign currency translation adjustment</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98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actuarial loss on post-retirement benefit plans into other non-operating income, net</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Foreign currency translation adjustment for post-retirement benefit plans</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98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98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98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loss on derivative hedge agreements</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on unrealized loss on derivative hedge agreements</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Reclassification of unrealized loss on foreign exchange agreements into revenue</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Reclassification of unrealized gain on foreign exchange agreements into cost of revenue</w:t>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30, 2026</w:t>
            </w:r>
          </w:p>
        </w:tc>
        <w:tc>
          <w:tcPr>
            <w:tcW w:w="3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(257)</w:t>
            </w:r>
          </w:p>
        </w:tc>
        <w:tc>
          <w:tcPr>
            <w:tcW w:w="1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(40)</w:t>
            </w:r>
          </w:p>
        </w:tc>
        <w:tc>
          <w:tcPr>
            <w:tcW w:w="2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w:t>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(302)</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98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98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98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98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98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98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98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98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98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98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98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98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3985"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provides the components of AOCL for the six months ended June 30, 2025:</w:t>
      </w:r>
    </w:p>
    <w:tbl>
      <w:tblPr>
        <w:tblW w:w="10205" w:type="dxa"/>
        <w:jc w:val="left"/>
        <w:tblInd w:w="0" w:type="dxa"/>
        <w:tblLayout w:type="fixed"/>
        <w:tblCellMar>
          <w:top w:w="28" w:type="dxa"/>
          <w:left w:w="28" w:type="dxa"/>
          <w:bottom w:w="28" w:type="dxa"/>
          <w:right w:w="28" w:type="dxa"/>
        </w:tblCellMar>
      </w:tblPr>
      <w:tblGrid>
        <w:gridCol w:w="1809"/>
        <w:gridCol w:w="1142"/>
        <w:gridCol w:w="1096"/>
        <w:gridCol w:w="366"/>
        <w:gridCol w:w="835"/>
        <w:gridCol w:w="189"/>
        <w:gridCol w:w="109"/>
        <w:gridCol w:w="109"/>
        <w:gridCol w:w="109"/>
        <w:gridCol w:w="494"/>
        <w:gridCol w:w="880"/>
        <w:gridCol w:w="256"/>
        <w:gridCol w:w="109"/>
        <w:gridCol w:w="109"/>
        <w:gridCol w:w="109"/>
        <w:gridCol w:w="390"/>
        <w:gridCol w:w="695"/>
        <w:gridCol w:w="203"/>
        <w:gridCol w:w="109"/>
        <w:gridCol w:w="109"/>
        <w:gridCol w:w="109"/>
        <w:gridCol w:w="211"/>
        <w:gridCol w:w="497"/>
        <w:gridCol w:w="161"/>
      </w:tblGrid>
      <w:tr>
        <w:trPr/>
        <w:tc>
          <w:tcPr>
            <w:tcW w:w="1809"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Post-retirement 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January 1, 2025</w:t>
            </w:r>
          </w:p>
        </w:tc>
        <w:tc>
          <w:tcPr>
            <w:tcW w:w="3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of currency translation adjustment relating to divestiture of foreign subsidiaries reclassified into net income</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on foreign currency translation adjustment</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 for post-retirement benefit plans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 on derivative hedge agreements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on unrealized gain on derivative hedge agreements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Reclassification of unrealized loss on foreign exchange agreements into revenue</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Reclassification of unrealized gain on foreign exchange agreements into cost of revenue</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2025</w:t>
            </w:r>
          </w:p>
        </w:tc>
        <w:tc>
          <w:tcPr>
            <w:tcW w:w="3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w:t>
            </w:r>
          </w:p>
        </w:tc>
        <w:tc>
          <w:tcPr>
            <w:tcW w:w="120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8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6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on foreign currency translation adjustment</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prior service cost and net actuarial gain on post-retirement benefit plans into other non-operating income, net</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 for post-retirement benefit plans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 on derivative hedge agreements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on on unrealized gain on derivative hedge agreements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Reclassification of unrealized loss on foreign exchange agreements into revenue</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Reclassification of unrealized gain on foreign exchange agreements into cost of revenue</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30, 2025</w:t>
            </w:r>
          </w:p>
        </w:tc>
        <w:tc>
          <w:tcPr>
            <w:tcW w:w="3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w:t>
            </w:r>
          </w:p>
        </w:tc>
        <w:tc>
          <w:tcPr>
            <w:tcW w:w="1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18. Commitments and Contingencies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Legal Proceedings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From time to time, we are involved in legal and regulatory proceedings that are incidental to the operation of our businesses (or the business operations of previously owned entities). These proceedings may seek remedies relating to matters including environmental, tax, intellectual property, acquisitions or divestitures, product liability, property damage, personal injury, privacy, employment, labor and pension, government investigations or contract issues and commercial or contractual disputes.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See Note 6, "Income Taxes," of our condensed consolidated financial statements for a description of a pending tax litigation matter.</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Although the ultimate outcome of any legal matter cannot be predicted with certainty, based on present information, including our assessment of the merits of the particular claims, we do not believe it is reasonably possible that any asserted or unasserted legal claims or proceedings, individually or in aggregate, will have a material effect on the Company's financial position, results of operations, or cash flows.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have estimated and accrued $3 million and $4 million as of June 30, 2026 and December 31, 2025, respectively, for these general legal matters.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Guarantees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obtain certain stand-by letters of credit, bank guarantees, surety bonds and insurance letters of credit from third-party financial institutions in the ordinary course of business when required under contracts or to satisfy insurance-related requirements. As of June 30, 2026 and December 31, 2025, the amount of surety bonds, bank guarantees, insurance letters of credit and stand-by letters of credit was $899 million and $822 million, respectively.</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 xml:space="preserve">Environmental </w:t>
      </w:r>
    </w:p>
    <w:p>
      <w:pPr>
        <w:pStyle w:val="TextBody"/>
        <w:bidi w:val="0"/>
        <w:spacing w:lineRule="auto" w:line="288" w:before="120" w:after="120"/>
        <w:jc w:val="left"/>
        <w:rPr/>
      </w:pPr>
      <w:r>
        <w:rPr>
          <w:rFonts w:ascii="Arial;sans-serif" w:hAnsi="Arial;sans-serif"/>
          <w:b w:val="false"/>
          <w:color w:val="000000"/>
          <w:sz w:val="20"/>
        </w:rPr>
        <w:t>In the ordinary course of business, we are subject to federal, state, local, and foreign environmental laws and regulations. We are responsible, or are alleged to be responsible, for ongoing environmental investigation and remediation of sites in various countries. Our accrued environmental liabilities represent our best estimates related to the investigation and remediation of environmental media such as water, soil, soil vapor, air and structures at these sites, as well as related legal fees. Liabilities for these environmental expenditures are recorded on an undiscounted basis. We have estimated and accrued $3 million and $4 million</w:t>
      </w:r>
      <w:r>
        <w:rPr>
          <w:color w:val="000000"/>
        </w:rPr>
        <w:t xml:space="preserve"> </w:t>
      </w:r>
      <w:r>
        <w:rPr>
          <w:rFonts w:ascii="Arial;sans-serif" w:hAnsi="Arial;sans-serif"/>
          <w:b w:val="false"/>
          <w:color w:val="000000"/>
          <w:sz w:val="20"/>
        </w:rPr>
        <w:t>as of June 30, 2026 and December 31, 2025, respectively, for environmental matters.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Given the complexities and uncertainties involved in on-going and future investigation and remediation projects, the process to estimate environmental remediation liabilities requires judgment. We believe the total amount accrued is reasonable based on existing facts and circumstances.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 xml:space="preserve">Warranties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warrant numerous products, the terms of which vary widely. In general, we warrant products against defects and specific non-performance. The table below provides changes in the combined current and non-current product warranty accruals over each period:</w:t>
      </w:r>
    </w:p>
    <w:tbl>
      <w:tblPr>
        <w:tblW w:w="5994" w:type="dxa"/>
        <w:jc w:val="left"/>
        <w:tblInd w:w="0" w:type="dxa"/>
        <w:tblLayout w:type="fixed"/>
        <w:tblCellMar>
          <w:top w:w="28" w:type="dxa"/>
          <w:left w:w="28" w:type="dxa"/>
          <w:bottom w:w="28" w:type="dxa"/>
          <w:right w:w="28" w:type="dxa"/>
        </w:tblCellMar>
      </w:tblPr>
      <w:tblGrid>
        <w:gridCol w:w="1530"/>
        <w:gridCol w:w="1341"/>
        <w:gridCol w:w="1359"/>
        <w:gridCol w:w="211"/>
        <w:gridCol w:w="376"/>
        <w:gridCol w:w="109"/>
        <w:gridCol w:w="109"/>
        <w:gridCol w:w="109"/>
        <w:gridCol w:w="109"/>
        <w:gridCol w:w="211"/>
        <w:gridCol w:w="376"/>
        <w:gridCol w:w="154"/>
      </w:tblGrid>
      <w:tr>
        <w:trPr/>
        <w:tc>
          <w:tcPr>
            <w:tcW w:w="1530"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Warranty accrual – January 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charges for product warranties in the period</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 of warranty claims</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and other</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Warranty accrual – June 30</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19. Segment Information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Our business has four reportable segments: Water Infrastructure, Applied Water, Measurement and Control Solutions and Water Solutions and Services.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Water Infrastructure segment focuses on the transportation and treatment of water, offering a range of products including water, wastewater and storm water pumps, controls and systems; treatment equipment: filtration and separation, disinfection, wastewater solutions for municipal and industrial applications.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Applied Water segment serves many of the primary uses of water and focuses on the residential, commercial and industrial markets. The Applied Water segment's major products include pumps, valves, heat exchangers, controls and dispensing equipment.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Measurement and Control Solutions segment focuses on developing advanced technology solutions that enable intelligent use and conservation of critical water and energy resources as well as analytical instrumentation used in the testing of water. The Measurement and Control Solutions segment's major products include smart metering, networked communications, measurement and control technologies, critical infrastructure technologies, software and services including cloud-based analytics, and remote monitoring and data management.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Water Solutions and Services segment provides tailored services and solutions, in collaboration with customers, including on</w:t>
        <w:noBreakHyphen/>
        <w:t>demand water, outsourced water, recycle / reuse, pipeline services, specialty dewatering and emergency response service alternatives to improve operational reliability, performance and environmental compliance. Key offerings within this segment also include equipment systems for industrial needs (influent water, boiler feed water, ultrahigh purity, process water, wastewater treatment, and recycle / reuse), full-scale outsourcing of operations and maintenance, and municipal services, including odor and corrosion control services, as well as leak detection, condition assessment and asset management and pressure monitoring solutions.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Corporate and other consists of corporate office expenses including compensation, benefits, occupancy, depreciation, and other administrative costs, as well as charges related to certain matters that are managed at a corporate level and are not included in the business segments in evaluating performance or allocating resources. The accounting policies of each segment are the same as those described in the "Summary of Significant Accounting Policies" section of Note 1 in the 2025 Annual Report.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chief operating decision maker (“CODM”) for the Company is our President and Chief Executive Officer. The CODM uses segment operating income/(loss) as a primary factor in allocating resources to the segments. The CODM considers budget-to-actual variances on a quarterly basis for the profit measure to assess segment performance. Disaggregated asset information by segment is not provided to the CODM for review, therefore, such information is not presented.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tables contain financial information provided to the CODM for each reportable segment:</w:t>
      </w:r>
    </w:p>
    <w:tbl>
      <w:tblPr>
        <w:tblW w:w="10205" w:type="dxa"/>
        <w:jc w:val="left"/>
        <w:tblInd w:w="0" w:type="dxa"/>
        <w:tblLayout w:type="fixed"/>
        <w:tblCellMar>
          <w:top w:w="28" w:type="dxa"/>
          <w:left w:w="28" w:type="dxa"/>
          <w:bottom w:w="28" w:type="dxa"/>
          <w:right w:w="28" w:type="dxa"/>
        </w:tblCellMar>
      </w:tblPr>
      <w:tblGrid>
        <w:gridCol w:w="1187"/>
        <w:gridCol w:w="680"/>
        <w:gridCol w:w="637"/>
        <w:gridCol w:w="353"/>
        <w:gridCol w:w="806"/>
        <w:gridCol w:w="183"/>
        <w:gridCol w:w="109"/>
        <w:gridCol w:w="109"/>
        <w:gridCol w:w="109"/>
        <w:gridCol w:w="245"/>
        <w:gridCol w:w="560"/>
        <w:gridCol w:w="126"/>
        <w:gridCol w:w="109"/>
        <w:gridCol w:w="109"/>
        <w:gridCol w:w="109"/>
        <w:gridCol w:w="458"/>
        <w:gridCol w:w="1046"/>
        <w:gridCol w:w="237"/>
        <w:gridCol w:w="109"/>
        <w:gridCol w:w="109"/>
        <w:gridCol w:w="109"/>
        <w:gridCol w:w="358"/>
        <w:gridCol w:w="817"/>
        <w:gridCol w:w="186"/>
        <w:gridCol w:w="109"/>
        <w:gridCol w:w="109"/>
        <w:gridCol w:w="109"/>
        <w:gridCol w:w="211"/>
        <w:gridCol w:w="646"/>
        <w:gridCol w:w="161"/>
      </w:tblGrid>
      <w:tr>
        <w:trPr/>
        <w:tc>
          <w:tcPr>
            <w:tcW w:w="118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Water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Applied Water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Measurement and Control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Water Solutions and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for the three months ended June 30, 2026</w:t>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2,336</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cost of revenue (a)</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operating expenses (a)</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segment items (b)</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3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412</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segment operating income</w:t>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other operating (loss)</w:t>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non-operating (expense)/income, net</w:t>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sale of businesses</w:t>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364</w:t>
            </w:r>
            <w:r>
              <w:rPr>
                <w:color w:val="000000"/>
              </w:rPr>
              <w:t>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86"/>
        <w:gridCol w:w="659"/>
        <w:gridCol w:w="614"/>
        <w:gridCol w:w="354"/>
        <w:gridCol w:w="809"/>
        <w:gridCol w:w="184"/>
        <w:gridCol w:w="109"/>
        <w:gridCol w:w="109"/>
        <w:gridCol w:w="109"/>
        <w:gridCol w:w="246"/>
        <w:gridCol w:w="562"/>
        <w:gridCol w:w="127"/>
        <w:gridCol w:w="109"/>
        <w:gridCol w:w="109"/>
        <w:gridCol w:w="109"/>
        <w:gridCol w:w="463"/>
        <w:gridCol w:w="1057"/>
        <w:gridCol w:w="240"/>
        <w:gridCol w:w="109"/>
        <w:gridCol w:w="109"/>
        <w:gridCol w:w="109"/>
        <w:gridCol w:w="362"/>
        <w:gridCol w:w="827"/>
        <w:gridCol w:w="188"/>
        <w:gridCol w:w="109"/>
        <w:gridCol w:w="109"/>
        <w:gridCol w:w="109"/>
        <w:gridCol w:w="211"/>
        <w:gridCol w:w="646"/>
        <w:gridCol w:w="162"/>
      </w:tblGrid>
      <w:tr>
        <w:trPr/>
        <w:tc>
          <w:tcPr>
            <w:tcW w:w="118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Water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Applied Water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Measurement and Control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Water Solutions and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for the three months ended June 30, 2025</w:t>
            </w:r>
          </w:p>
        </w:tc>
        <w:tc>
          <w:tcPr>
            <w:tcW w:w="13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cost of revenue (a)</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operating expenses (a)</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segment items (b)</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3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segment operating income</w:t>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other operating (loss)</w:t>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non-operating income, net</w:t>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36"/>
        <w:gridCol w:w="644"/>
        <w:gridCol w:w="601"/>
        <w:gridCol w:w="294"/>
        <w:gridCol w:w="902"/>
        <w:gridCol w:w="152"/>
        <w:gridCol w:w="109"/>
        <w:gridCol w:w="109"/>
        <w:gridCol w:w="109"/>
        <w:gridCol w:w="247"/>
        <w:gridCol w:w="563"/>
        <w:gridCol w:w="127"/>
        <w:gridCol w:w="109"/>
        <w:gridCol w:w="109"/>
        <w:gridCol w:w="109"/>
        <w:gridCol w:w="384"/>
        <w:gridCol w:w="1182"/>
        <w:gridCol w:w="200"/>
        <w:gridCol w:w="109"/>
        <w:gridCol w:w="109"/>
        <w:gridCol w:w="109"/>
        <w:gridCol w:w="315"/>
        <w:gridCol w:w="967"/>
        <w:gridCol w:w="163"/>
        <w:gridCol w:w="109"/>
        <w:gridCol w:w="109"/>
        <w:gridCol w:w="109"/>
        <w:gridCol w:w="211"/>
        <w:gridCol w:w="646"/>
        <w:gridCol w:w="163"/>
      </w:tblGrid>
      <w:tr>
        <w:trPr/>
        <w:tc>
          <w:tcPr>
            <w:tcW w:w="113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Water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Applied Water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Measurement and Control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Water Solutions and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for six months ended June 30, 2026</w:t>
            </w:r>
          </w:p>
        </w:tc>
        <w:tc>
          <w:tcPr>
            <w:tcW w:w="1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4,461</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cost of revenue (a)</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operating expenses (a)</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segment items (b)</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2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678</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segment operating income</w:t>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other operating (loss)</w:t>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non-operating (expense)/income, net</w:t>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sale of businesses</w:t>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608</w:t>
            </w:r>
            <w:r>
              <w:rPr>
                <w:color w:val="000000"/>
              </w:rPr>
              <w:t>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1156"/>
        <w:gridCol w:w="635"/>
        <w:gridCol w:w="590"/>
        <w:gridCol w:w="294"/>
        <w:gridCol w:w="902"/>
        <w:gridCol w:w="152"/>
        <w:gridCol w:w="109"/>
        <w:gridCol w:w="109"/>
        <w:gridCol w:w="109"/>
        <w:gridCol w:w="247"/>
        <w:gridCol w:w="563"/>
        <w:gridCol w:w="127"/>
        <w:gridCol w:w="109"/>
        <w:gridCol w:w="109"/>
        <w:gridCol w:w="109"/>
        <w:gridCol w:w="384"/>
        <w:gridCol w:w="1182"/>
        <w:gridCol w:w="200"/>
        <w:gridCol w:w="109"/>
        <w:gridCol w:w="109"/>
        <w:gridCol w:w="109"/>
        <w:gridCol w:w="315"/>
        <w:gridCol w:w="967"/>
        <w:gridCol w:w="163"/>
        <w:gridCol w:w="109"/>
        <w:gridCol w:w="109"/>
        <w:gridCol w:w="109"/>
        <w:gridCol w:w="211"/>
        <w:gridCol w:w="646"/>
        <w:gridCol w:w="163"/>
      </w:tblGrid>
      <w:tr>
        <w:trPr/>
        <w:tc>
          <w:tcPr>
            <w:tcW w:w="115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Water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Applied Water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Measurement and Control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Water Solutions and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for six months ended June 30, 2025</w:t>
            </w:r>
          </w:p>
        </w:tc>
        <w:tc>
          <w:tcPr>
            <w:tcW w:w="1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cost of revenue (a)</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operating expenses (a)</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segment items (b)</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operating income</w:t>
            </w:r>
          </w:p>
        </w:tc>
        <w:tc>
          <w:tcPr>
            <w:tcW w:w="2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156 </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segment operating income</w:t>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other operating (loss)</w:t>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non-operating income, net</w:t>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sale of businesses</w:t>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 xml:space="preserve">(a) Adjusted cost of revenue and adjusted operating expenses represent segment-level information that are regularly provided to the CODM. These balances represent cost of revenue and operating expenses, respectively, adjusted to exclude purchase accounting intangible amortization, restructuring and realignment expenses and special charges. </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(b) Other segment items for each segment represents purchase accounting intangible amortization, restructuring and realignment expenses and special charges, which are excluded from the above significant expense categories regularly provided to the CODM in line with our adjusted measures as outlined in Item 7 "Management's Discussion and Analysis of Financial Condition and Results of Operations" in our 2025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tbl>
      <w:tblPr>
        <w:tblW w:w="7454" w:type="dxa"/>
        <w:jc w:val="left"/>
        <w:tblInd w:w="0" w:type="dxa"/>
        <w:tblLayout w:type="fixed"/>
        <w:tblCellMar>
          <w:top w:w="28" w:type="dxa"/>
          <w:left w:w="28" w:type="dxa"/>
          <w:bottom w:w="28" w:type="dxa"/>
          <w:right w:w="28" w:type="dxa"/>
        </w:tblCellMar>
      </w:tblPr>
      <w:tblGrid>
        <w:gridCol w:w="1167"/>
        <w:gridCol w:w="1022"/>
        <w:gridCol w:w="1035"/>
        <w:gridCol w:w="211"/>
        <w:gridCol w:w="481"/>
        <w:gridCol w:w="109"/>
        <w:gridCol w:w="109"/>
        <w:gridCol w:w="109"/>
        <w:gridCol w:w="109"/>
        <w:gridCol w:w="211"/>
        <w:gridCol w:w="481"/>
        <w:gridCol w:w="109"/>
        <w:gridCol w:w="109"/>
        <w:gridCol w:w="109"/>
        <w:gridCol w:w="109"/>
        <w:gridCol w:w="211"/>
        <w:gridCol w:w="481"/>
        <w:gridCol w:w="109"/>
        <w:gridCol w:w="109"/>
        <w:gridCol w:w="109"/>
        <w:gridCol w:w="109"/>
        <w:gridCol w:w="211"/>
        <w:gridCol w:w="481"/>
        <w:gridCol w:w="154"/>
      </w:tblGrid>
      <w:tr>
        <w:trPr/>
        <w:tc>
          <w:tcPr>
            <w:tcW w:w="116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Depreciation and Amortization:</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Water Infrastructure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Applied Water</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Measurement and Control Solutions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Water Solutions and Services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other</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Capital Expenditures:</w:t>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Water Infrastructure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Applied Water</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Measurement and Control Solutions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Water Solutions and Services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Centralized support facilities (a)</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other</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(a)Represents capital expenditures incurred by the centralized support facilities that are not allocated to the segments.</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20. Redeemable Non-Controlling Interest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holders of the non-controlling interest in Idrica, a consolidated subsidiary of the Company, have a right to sell the remaining equity interest in Idrica to the Company for cash (the “Put Right”). The Put Right is exercisable after December 10, 2027 and has a fixed strike price of €168 million during the first two years after it is exercisable. Beginning in the third year of exercisability, the Put Right is exercisable at the fair market value of underlying equity interests. Redeemable non-controlling interest is reflected in the consolidated balance sheets at the greater of the carrying value or the redemption value. As of June 30, 2026, the redeemable non-controlling interest is reflected in the consolidated balance sheet at its carrying value.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shows the changes in the redeemable non-controlling interest for the six months ended June 30, 2026 and June 30, 2025:</w:t>
      </w:r>
    </w:p>
    <w:tbl>
      <w:tblPr>
        <w:tblW w:w="6890" w:type="dxa"/>
        <w:jc w:val="left"/>
        <w:tblInd w:w="0" w:type="dxa"/>
        <w:tblLayout w:type="fixed"/>
        <w:tblCellMar>
          <w:top w:w="28" w:type="dxa"/>
          <w:left w:w="28" w:type="dxa"/>
          <w:bottom w:w="28" w:type="dxa"/>
          <w:right w:w="28" w:type="dxa"/>
        </w:tblCellMar>
      </w:tblPr>
      <w:tblGrid>
        <w:gridCol w:w="1661"/>
        <w:gridCol w:w="1455"/>
        <w:gridCol w:w="1473"/>
        <w:gridCol w:w="109"/>
        <w:gridCol w:w="109"/>
        <w:gridCol w:w="109"/>
        <w:gridCol w:w="211"/>
        <w:gridCol w:w="481"/>
        <w:gridCol w:w="109"/>
        <w:gridCol w:w="109"/>
        <w:gridCol w:w="109"/>
        <w:gridCol w:w="109"/>
        <w:gridCol w:w="211"/>
        <w:gridCol w:w="481"/>
        <w:gridCol w:w="154"/>
      </w:tblGrid>
      <w:tr>
        <w:trPr/>
        <w:tc>
          <w:tcPr>
            <w:tcW w:w="1661"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Redeemable non-controlling interest -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Cumulative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Redeemable non-controlling interest -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Cumulative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Redeemable non-controlling interest -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5"/>
        <w:gridCol w:w="261"/>
        <w:gridCol w:w="262"/>
        <w:gridCol w:w="2747"/>
        <w:gridCol w:w="2747"/>
        <w:gridCol w:w="3893"/>
      </w:tblGrid>
      <w:tr>
        <w:trPr/>
        <w:tc>
          <w:tcPr>
            <w:tcW w:w="29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3893" w:type="dxa"/>
            <w:tcBorders/>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2.</w:t>
            </w:r>
          </w:p>
        </w:tc>
        <w:tc>
          <w:tcPr>
            <w:tcW w:w="9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tc>
      </w:tr>
    </w:tbl>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 xml:space="preserve">The following discussion should be read in conjunction with the condensed consolidated financial statements, including the notes, included elsewhere in this report on Form 10-Q (this "Report"). </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This Report contains “forward-looking statements" within the meaning of Section 27A of the Securities Act of 1933, as amended, and Section 21E of the Securities Exchange Act of 1934, as amended. Generally, the words “anticipate,” “estimate,” “expect,” “project,” “intend,” “plan,” "contemplate," "predict," “forecast,” “likely,” “believe,” “target,” "goal," "objective," “will,” “could,” “would,” “should,” "potential," "may" and similar expressions or their negative, may, but are not necessary to, identify forward-looking statements. By their nature, forward-looking statements address uncertain matters and include any statements that: are not historical, such as statements about our strategy, financial plans, outlook, objectives, plans, intentions or goals (including those related to our social, environmental and other sustainability goals); or address possible or future results of operations or financial performance, including statements relating to orders, revenues, operating margins and earnings per share growth.</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Although we believe that the expectations reflected in any of our forward-looking statements are reasonable, actual results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 control. Important factors that could cause our actual results, performance and achievements, or industry results to differ materially from estimates or projections contained in or implied by our forward-looking statements include, among others, the following: the impact of overall industry and general economic conditions, including industrial, governmental, and public and private sector spending, interest rates, availability of funding to our customers, inflation and governments' related monetary policy in response, and the strength of the real estate markets, on economic activity and our operations; geopolitical matters, including nationalism, protectionism and anti-global sentiment, volatility involving the U.S. and other governments, ongoing, escalation or outbreak of international conflicts, and regulatory, trade protection, economic and other risks associated with our global sales and operations; manufacturing and operating cost increases due to macroeconomic conditions, including inflation, energy supply, supply chain shortages, logistics challenges, labor shortages, trade agreements, tariffs, and other trade protection measures, and other factors; demand for our products, disruption, competition or pricing pressures in the markets we serve; cybersecurity incidents, data breaches, or other disruptions of information technology systems on which we or our customers rely, or involving our connected products and services; lack of availability or delays in receiving parts and raw materials from our supply chain, including semiconductors or other key components; operational disruptions at our facilities or that of third parties upon which we rely; safe and compliant treatment and handling of water, wastewater and hazardous materials; failure to successfully execute large projects, including as respects performance guarantees and customers’ budgets, timelines and safety requirements; our ability to retain, compete for, and attract leadership, other key talent, and labor; defects, security, warranty and liability claims, and recalls related to our products; uncertainty around productivity, simplification, restructuring and realignment actions and related costs and savings; our ability to execute strategic investments for growth, including acquisitions and divestitures; availability, regulation or interference with radio spectrum used by certain of our products; volatility in served markets or impacts on our business and operations due to weather conditions, volatile weather events, or changing climate patterns; risks related to our sustainability efforts and related disclosures; fluctuations in foreign currency exchange rates; difficulty predicting our financial results; risk of future impairments to goodwill and other intangible assets; changes in our effective tax rates or tax expenses; failure to comply with, or changes in, laws or regulations, pertaining to our business conduct, operations, products and services, including anti-corruption, artificial intelligence, data privacy and security, trade, competition, the environment, and health and safety; legal, governmental or regulatory claims, investigations or proceedings and associated contingent liabilities; matters related to intellectual property infringement or expiration of rights; and other factors set forth under “Item 1A. Risk Factors” in our Annual Report on Form 10-K for the year ended December 31, 2025 ("2025 Annual Report") and in subsequent filings we make with the Securities and Exchange Commission (“SEC”).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Forward-looking and other statements in this Report regarding our environmental and other sustainability plans and goals are not an indication that these statements are necessarily material to investors, to our business, operating results, financial condition, outlook, or strategy, to our impacts on sustainability matters or other parties, or are required to be disclosed in our filings with the SEC or other regulatory authorities, and are not intended to create legal rights or obligations. In addition, historical, current, and forward-looking social, environmental and sustainability-related statements may be based on: standards for measuring progress that are still developing, internal controls and processes that continue to evolve, and assumptions that are subject to change in the future.</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All forward-looking statements made herein are based on information currently available to us as of the date of this Report. We undertake no obligation to publicly update or revise any forward-looking statements, whether as a result of new information, future events or otherwise, except as required by law.</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Xylem is a leading global water technology company. We design, manufacture and service highly engineered products and solutions ranging across a wide variety of critical applications in utility, industrial, residential and commercial building services settings. Our broad portfolio of solutions addresses customer needs across the water cycle, from the delivery, measurement and use of drinking water to the collection, test, treatment and analysis of wastewater, to the return of water to the environment. Our product and service offerings are organized into four reportable segments that are aligned around the critical market applications they provide: Water Infrastructure, Applied Water, Measurement and Control Solutions and Water Solutions and Services.</w:t>
      </w:r>
    </w:p>
    <w:p>
      <w:pPr>
        <w:pStyle w:val="TextBody"/>
        <w:bidi w:val="0"/>
        <w:spacing w:lineRule="auto" w:line="288" w:before="120" w:after="120"/>
        <w:ind w:left="0" w:right="0" w:hanging="360"/>
        <w:jc w:val="left"/>
        <w:rPr/>
      </w:pPr>
      <w:r>
        <w:rPr>
          <w:color w:val="000000"/>
        </w:rPr>
        <w:t>•</w:t>
      </w:r>
      <w:r>
        <w:rPr>
          <w:rFonts w:ascii="Arial;sans-serif" w:hAnsi="Arial;sans-serif"/>
          <w:b w:val="false"/>
          <w:i/>
          <w:color w:val="000000"/>
          <w:sz w:val="20"/>
        </w:rPr>
        <w:t>Water Infrastructure</w:t>
      </w:r>
      <w:r>
        <w:rPr>
          <w:color w:val="000000"/>
        </w:rPr>
        <w:t xml:space="preserve"> </w:t>
      </w:r>
      <w:r>
        <w:rPr>
          <w:rFonts w:ascii="Arial;sans-serif" w:hAnsi="Arial;sans-serif"/>
          <w:b w:val="false"/>
          <w:color w:val="000000"/>
          <w:sz w:val="20"/>
        </w:rPr>
        <w:t xml:space="preserve">serves the water infrastructure sector with pump systems that transport water from aquifers, lakes, rivers and seas; with filtration, ultraviolet and ozone systems that provide treatment, making the water fit to use; and pumping solutions that move the wastewater and storm water to treatment facilities where our mixers, biological treatment, monitoring and control systems provide the primary functions in the treatment process. </w:t>
      </w:r>
    </w:p>
    <w:p>
      <w:pPr>
        <w:pStyle w:val="TextBody"/>
        <w:bidi w:val="0"/>
        <w:spacing w:lineRule="auto" w:line="288" w:before="120" w:after="120"/>
        <w:ind w:left="0" w:right="0" w:hanging="360"/>
        <w:jc w:val="left"/>
        <w:rPr/>
      </w:pPr>
      <w:r>
        <w:rPr>
          <w:color w:val="000000"/>
        </w:rPr>
        <w:t>•</w:t>
      </w:r>
      <w:r>
        <w:rPr>
          <w:rFonts w:ascii="Arial;sans-serif" w:hAnsi="Arial;sans-serif"/>
          <w:b w:val="false"/>
          <w:i/>
          <w:color w:val="000000"/>
          <w:sz w:val="20"/>
        </w:rPr>
        <w:t>Applied Water</w:t>
      </w:r>
      <w:r>
        <w:rPr>
          <w:color w:val="000000"/>
        </w:rPr>
        <w:t xml:space="preserve"> </w:t>
      </w:r>
      <w:r>
        <w:rPr>
          <w:rFonts w:ascii="Arial;sans-serif" w:hAnsi="Arial;sans-serif"/>
          <w:b w:val="false"/>
          <w:color w:val="000000"/>
          <w:sz w:val="20"/>
        </w:rPr>
        <w:t xml:space="preserve">serves the water usage applications sector with water pressure boosting systems for heating, ventilation and air conditioning, and for fire protection systems to the residential and commercial building solutions markets. </w:t>
      </w:r>
    </w:p>
    <w:p>
      <w:pPr>
        <w:pStyle w:val="TextBody"/>
        <w:bidi w:val="0"/>
        <w:spacing w:lineRule="auto" w:line="288" w:before="120" w:after="120"/>
        <w:ind w:left="0" w:right="0" w:hanging="360"/>
        <w:jc w:val="left"/>
        <w:rPr/>
      </w:pPr>
      <w:r>
        <w:rPr>
          <w:color w:val="000000"/>
        </w:rPr>
        <w:t>•</w:t>
      </w:r>
      <w:r>
        <w:rPr>
          <w:rFonts w:ascii="Arial;sans-serif" w:hAnsi="Arial;sans-serif"/>
          <w:b w:val="false"/>
          <w:i/>
          <w:color w:val="000000"/>
          <w:sz w:val="20"/>
        </w:rPr>
        <w:t>Measurement and Control Solutions</w:t>
      </w:r>
      <w:r>
        <w:rPr>
          <w:color w:val="000000"/>
        </w:rPr>
        <w:t xml:space="preserve"> </w:t>
      </w:r>
      <w:r>
        <w:rPr>
          <w:rFonts w:ascii="Arial;sans-serif" w:hAnsi="Arial;sans-serif"/>
          <w:b w:val="false"/>
          <w:color w:val="000000"/>
          <w:sz w:val="20"/>
        </w:rPr>
        <w:t xml:space="preserve">primarily serves the utility infrastructure solutions and services sector by delivering communications, smart metering, measurement and control capabilities and critical infrastructure technologies that allow customers to more effectively use their distribution networks for the delivery, monitoring and control of critical resources such as water, electricity and natural gas. We also provide analytical instrumentation used to measure and analyze water quality, flow and level in clean water, wastewater and outdoor water environments. </w:t>
      </w:r>
    </w:p>
    <w:p>
      <w:pPr>
        <w:pStyle w:val="TextBody"/>
        <w:bidi w:val="0"/>
        <w:spacing w:lineRule="auto" w:line="288" w:before="120" w:after="120"/>
        <w:ind w:left="0" w:right="0" w:hanging="360"/>
        <w:jc w:val="left"/>
        <w:rPr/>
      </w:pPr>
      <w:r>
        <w:rPr>
          <w:color w:val="000000"/>
        </w:rPr>
        <w:t>•</w:t>
      </w:r>
      <w:r>
        <w:rPr>
          <w:rFonts w:ascii="Arial;sans-serif" w:hAnsi="Arial;sans-serif"/>
          <w:b w:val="false"/>
          <w:i/>
          <w:color w:val="000000"/>
          <w:sz w:val="20"/>
        </w:rPr>
        <w:t>Water Solutions and Services</w:t>
      </w:r>
      <w:r>
        <w:rPr>
          <w:color w:val="000000"/>
        </w:rPr>
        <w:t xml:space="preserve"> </w:t>
      </w:r>
      <w:r>
        <w:rPr>
          <w:rFonts w:ascii="Arial;sans-serif" w:hAnsi="Arial;sans-serif"/>
          <w:b w:val="false"/>
          <w:color w:val="000000"/>
          <w:sz w:val="20"/>
        </w:rPr>
        <w:t>provides tailored services and solutions, in collaboration with customers, including on</w:t>
        <w:noBreakHyphen/>
        <w:t>demand water, outsourced water, recycle/reuse, pipeline assessment services, specialty dewatering and emergency response service alternatives to improve operational reliability, performance and environmental compliance.</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 xml:space="preserve">Executive Summary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Xylem reported revenue for the second quarter of 2026 of $2,336 million, an increase of 1.5% compared to $2,301 million reported in the second quarter of 2025. The revenue increase consisted primarily of organic growth of $30 million, or 1.3%, and favorable foreign currency impacts of $29 million. Revenue growth was partially offset by the net impact of $31 million of revenue loss from divestitures and $7 million of additional revenue from acquisitions.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Additional financial highlights for the quarter ended June 30, 2026 include the following:</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Orders of $3,086 million, up 42.0% from $2,174 million in the prior year period, and up 40.9% on an organic basis.</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Earnings per share of $1.11, up 19.4% compared to prior year ($1.46, up 15.9% versus prior year, on an adjusted basis).</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Net income attributable to Xylem as a percent of revenue of 11.3%, up 150 basis points compared to 9.8% in the prior year. Adjusted EBITDA margin of 23.3%, up 150 basis points when compared to 21.8% in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Key Performance Indicators and Non-GAAP Measures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Management reviews key performance indicators including revenue, gross margins, segment operating income and margins, orders growth, working capital and backlog, among others. In addition, we consider certain non-GAAP (or "adjusted") measures to be useful to management and investors evaluating our operating performance for the periods presented, and to provide a tool for evaluating our ongoing operations, liquidity and management of assets. This information can assist investors in assessing our financial performance and measures our ability to generate capital for deployment among competing strategic alternatives and initiatives, including, but not limited to, dividends, acquisitions, share repurchases and debt repayment. Excluding revenue, Xylem provides guidance only on a non-GAAP basis due to the inherent difficulty in forecasting certain amounts that would be included in GAAP earnings, such as discrete tax items, without unreasonable effort. These adjusted metrics are consistent with how management views our business and are used to make financial, operating and planning decisions. These metrics, however, are not measures of financial performance under GAAP and should not be considered a substitute for revenue, operating income, net income, earnings per share (basic and diluted) or net cash from operating activities as determined in accordance with GAAP. We consider the following non-GAAP measures to be key performance indicators, as well as the related reconciling items to the most directly comparable measure calculated and presented in accordance with GAAP. The non-GAAP measures may not be comparable to similarly titled measures reported by other companies.</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"organic revenue" and "organic orders" defined as revenue and orders, respectively, excluding the impact of fluctuations in foreign currency translation and contributions from acquisitions and divestitures. Divestitures include sales or discontinuance of insignificant portions of our business that did not meet the criteria for classification as a discontinued operation. The period-over-period change resulting from foreign currency translation impacts is determined by translating current period and prior period activity using the same currency conversion rate.</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 xml:space="preserve">"adjusted net income" and "adjusted earnings per share" defined as net income attributable to Xylem and corresponding earnings per share, respectively, adjusted to exclude restructuring and realignment costs, amortization of acquired intangible assets, gain or loss from sale of businesses, special charges and tax-related special items, as applicable. A reconciliation of adjusted net income and adjusted earnings per share is provided below. </w:t>
      </w:r>
    </w:p>
    <w:tbl>
      <w:tblPr>
        <w:tblW w:w="10258" w:type="dxa"/>
        <w:jc w:val="left"/>
        <w:tblInd w:w="0" w:type="dxa"/>
        <w:tblLayout w:type="fixed"/>
        <w:tblCellMar>
          <w:top w:w="28" w:type="dxa"/>
          <w:left w:w="28" w:type="dxa"/>
          <w:bottom w:w="28" w:type="dxa"/>
          <w:right w:w="28" w:type="dxa"/>
        </w:tblCellMar>
      </w:tblPr>
      <w:tblGrid>
        <w:gridCol w:w="835"/>
        <w:gridCol w:w="220"/>
        <w:gridCol w:w="221"/>
        <w:gridCol w:w="211"/>
        <w:gridCol w:w="481"/>
        <w:gridCol w:w="109"/>
        <w:gridCol w:w="109"/>
        <w:gridCol w:w="109"/>
        <w:gridCol w:w="109"/>
        <w:gridCol w:w="211"/>
        <w:gridCol w:w="541"/>
        <w:gridCol w:w="109"/>
        <w:gridCol w:w="109"/>
        <w:gridCol w:w="109"/>
        <w:gridCol w:w="109"/>
        <w:gridCol w:w="211"/>
        <w:gridCol w:w="481"/>
        <w:gridCol w:w="109"/>
        <w:gridCol w:w="109"/>
        <w:gridCol w:w="109"/>
        <w:gridCol w:w="109"/>
        <w:gridCol w:w="211"/>
        <w:gridCol w:w="541"/>
        <w:gridCol w:w="109"/>
        <w:gridCol w:w="109"/>
        <w:gridCol w:w="109"/>
        <w:gridCol w:w="109"/>
        <w:gridCol w:w="211"/>
        <w:gridCol w:w="481"/>
        <w:gridCol w:w="109"/>
        <w:gridCol w:w="109"/>
        <w:gridCol w:w="109"/>
        <w:gridCol w:w="109"/>
        <w:gridCol w:w="211"/>
        <w:gridCol w:w="541"/>
        <w:gridCol w:w="109"/>
        <w:gridCol w:w="109"/>
        <w:gridCol w:w="109"/>
        <w:gridCol w:w="109"/>
        <w:gridCol w:w="211"/>
        <w:gridCol w:w="481"/>
        <w:gridCol w:w="109"/>
        <w:gridCol w:w="109"/>
        <w:gridCol w:w="109"/>
        <w:gridCol w:w="109"/>
        <w:gridCol w:w="211"/>
        <w:gridCol w:w="541"/>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0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for per share data)</w:t>
            </w:r>
          </w:p>
        </w:tc>
        <w:tc>
          <w:tcPr>
            <w:tcW w:w="198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Net income attributable to Xylem &amp; Earnings per share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and realignment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Acquired intangible amortization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Special charges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Tax-related special items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sale of businesses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Tax effects of adjustments (a)</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net income &amp; Adjusted earnings per share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617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Weighted average number of shares - diluted</w:t>
            </w:r>
          </w:p>
        </w:tc>
        <w:tc>
          <w:tcPr>
            <w:tcW w:w="69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236.6</w:t>
            </w: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240.0</w:t>
            </w: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62"/>
        <w:gridCol w:w="2871"/>
        <w:gridCol w:w="4072"/>
      </w:tblGrid>
      <w:tr>
        <w:trPr/>
        <w:tc>
          <w:tcPr>
            <w:tcW w:w="3262"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(a) The tax effects of adjustments are calculated using the statutory tax rate, taking into consideration the nature of the item and the relevant taxing jurisdiction.</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"adjusted operating income" defined as operating income, adjusted to exclude restructuring and realignment costs, amortization of acquired intangible assets, gain or loss from sale of businesses, special charges and tax-related special items, as applicable, and "adjusted operating margin" defined as adjusted operating income divided by total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EBITDA” defined as earnings before interest, taxes, depreciation and amortization expense, "EBITDA margin" defined as EBITDA divided by total revenue, "adjusted EBITDA" reflects the adjustments to EBITDA to exclude share-based compensation charges, restructuring and realignment costs, gain or loss from sale of businesses and special charges, and "adjusted EBITDA margin" defined as adjusted EBITDA divided by total revenue.</w:t>
      </w:r>
    </w:p>
    <w:p>
      <w:pPr>
        <w:pStyle w:val="TextBody"/>
        <w:bidi w:val="0"/>
        <w:spacing w:lineRule="auto" w:line="288" w:before="20" w:after="120"/>
        <w:ind w:left="0" w:right="0" w:hanging="360"/>
        <w:jc w:val="left"/>
        <w:rPr/>
      </w:pPr>
      <w:r>
        <w:rPr>
          <w:color w:val="000000"/>
        </w:rPr>
        <w:t>•“</w:t>
      </w:r>
      <w:r>
        <w:rPr>
          <w:rFonts w:ascii="Arial;sans-serif" w:hAnsi="Arial;sans-serif"/>
          <w:b w:val="false"/>
          <w:color w:val="000000"/>
          <w:sz w:val="20"/>
        </w:rPr>
        <w:t>realignment costs” defined as costs not included in restructuring costs that are incurred as part of actions taken to reposition our business, including items such as professional fees, severance, relocation, travel, facility set-up and other costs.</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special charges" defined as non-recurring costs incurred by the Company, such as those related to acquisitions and integrations, divestitures, non-cash impairment charges and other special charges. In 2026, these charges include reductions of expense related to the refunds of certain tariffs previously imposed under the International Emergency Economic Powers Act (“IEEPA”).</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"tax-related special items" defined as tax items, such as tax return versus tax provision adjustments, tax exam impacts, tax law change impacts, excess tax benefits/losses and other discrete tax adjustments.</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 xml:space="preserve">"free cash flow" defined as net cash from operating activities, less capital expenditures, as reported in the Statement of Cash Flows. Our definition of "free cash flow" does not consider certain non-discretionary cash payments, such as debt. The following table provides a reconciliation of free cash flow. </w:t>
      </w:r>
    </w:p>
    <w:tbl>
      <w:tblPr>
        <w:tblW w:w="6008" w:type="dxa"/>
        <w:jc w:val="left"/>
        <w:tblInd w:w="0" w:type="dxa"/>
        <w:tblLayout w:type="fixed"/>
        <w:tblCellMar>
          <w:top w:w="28" w:type="dxa"/>
          <w:left w:w="28" w:type="dxa"/>
          <w:bottom w:w="28" w:type="dxa"/>
          <w:right w:w="28" w:type="dxa"/>
        </w:tblCellMar>
      </w:tblPr>
      <w:tblGrid>
        <w:gridCol w:w="1416"/>
        <w:gridCol w:w="1241"/>
        <w:gridCol w:w="1257"/>
        <w:gridCol w:w="211"/>
        <w:gridCol w:w="541"/>
        <w:gridCol w:w="109"/>
        <w:gridCol w:w="109"/>
        <w:gridCol w:w="109"/>
        <w:gridCol w:w="109"/>
        <w:gridCol w:w="211"/>
        <w:gridCol w:w="541"/>
        <w:gridCol w:w="154"/>
      </w:tblGrid>
      <w:tr>
        <w:trPr/>
        <w:tc>
          <w:tcPr>
            <w:tcW w:w="1416"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Free cash flow</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in investing activities</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(98)</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by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Arial;sans-serif" w:hAnsi="Arial;sans-serif"/>
          <w:b/>
          <w:color w:val="000000"/>
          <w:sz w:val="20"/>
          <w:shd w:fill="FFFFFF" w:val="clear"/>
        </w:rPr>
      </w:pPr>
      <w:r>
        <w:rPr>
          <w:rFonts w:ascii="Arial;sans-serif" w:hAnsi="Arial;sans-serif"/>
          <w:b/>
          <w:color w:val="000000"/>
          <w:sz w:val="20"/>
          <w:shd w:fill="FFFFFF" w:val="clear"/>
        </w:rPr>
        <w:t xml:space="preserve">Results of Operations </w:t>
      </w:r>
    </w:p>
    <w:tbl>
      <w:tblPr>
        <w:tblW w:w="10205" w:type="dxa"/>
        <w:jc w:val="left"/>
        <w:tblInd w:w="0" w:type="dxa"/>
        <w:tblLayout w:type="fixed"/>
        <w:tblCellMar>
          <w:top w:w="28" w:type="dxa"/>
          <w:left w:w="28" w:type="dxa"/>
          <w:bottom w:w="28" w:type="dxa"/>
          <w:right w:w="28" w:type="dxa"/>
        </w:tblCellMar>
      </w:tblPr>
      <w:tblGrid>
        <w:gridCol w:w="958"/>
        <w:gridCol w:w="483"/>
        <w:gridCol w:w="452"/>
        <w:gridCol w:w="211"/>
        <w:gridCol w:w="646"/>
        <w:gridCol w:w="286"/>
        <w:gridCol w:w="109"/>
        <w:gridCol w:w="109"/>
        <w:gridCol w:w="109"/>
        <w:gridCol w:w="211"/>
        <w:gridCol w:w="646"/>
        <w:gridCol w:w="286"/>
        <w:gridCol w:w="109"/>
        <w:gridCol w:w="109"/>
        <w:gridCol w:w="109"/>
        <w:gridCol w:w="269"/>
        <w:gridCol w:w="272"/>
        <w:gridCol w:w="112"/>
        <w:gridCol w:w="123"/>
        <w:gridCol w:w="123"/>
        <w:gridCol w:w="130"/>
        <w:gridCol w:w="109"/>
        <w:gridCol w:w="109"/>
        <w:gridCol w:w="109"/>
        <w:gridCol w:w="211"/>
        <w:gridCol w:w="646"/>
        <w:gridCol w:w="286"/>
        <w:gridCol w:w="109"/>
        <w:gridCol w:w="109"/>
        <w:gridCol w:w="109"/>
        <w:gridCol w:w="211"/>
        <w:gridCol w:w="646"/>
        <w:gridCol w:w="286"/>
        <w:gridCol w:w="109"/>
        <w:gridCol w:w="109"/>
        <w:gridCol w:w="109"/>
        <w:gridCol w:w="269"/>
        <w:gridCol w:w="272"/>
        <w:gridCol w:w="112"/>
        <w:gridCol w:w="122"/>
        <w:gridCol w:w="122"/>
        <w:gridCol w:w="179"/>
      </w:tblGrid>
      <w:tr>
        <w:trPr/>
        <w:tc>
          <w:tcPr>
            <w:tcW w:w="95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6"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1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9"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6"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18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r>
      <w:tr>
        <w:trPr/>
        <w:tc>
          <w:tcPr>
            <w:tcW w:w="1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2,336</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2,301 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4,461</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963</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1,766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Gross margin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41.2</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39.6</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 </w:t>
            </w:r>
          </w:p>
        </w:tc>
      </w:tr>
      <w:tr>
        <w:trPr/>
        <w:tc>
          <w:tcPr>
            <w:tcW w:w="189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r>
      <w:tr>
        <w:trPr/>
        <w:tc>
          <w:tcPr>
            <w:tcW w:w="1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573</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1,132</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Expense to revenue ratio</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24.5</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25.4</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 </w:t>
            </w:r>
          </w:p>
        </w:tc>
      </w:tr>
      <w:tr>
        <w:trPr/>
        <w:tc>
          <w:tcPr>
            <w:tcW w:w="189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r>
      <w:tr>
        <w:trPr/>
        <w:tc>
          <w:tcPr>
            <w:tcW w:w="189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r>
      <w:tr>
        <w:trPr/>
        <w:tc>
          <w:tcPr>
            <w:tcW w:w="1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Operating margin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16.7</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14.2</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 </w:t>
            </w:r>
          </w:p>
        </w:tc>
      </w:tr>
      <w:tr>
        <w:trPr/>
        <w:tc>
          <w:tcPr>
            <w:tcW w:w="189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r>
      <w:tr>
        <w:trPr/>
        <w:tc>
          <w:tcPr>
            <w:tcW w:w="1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other non-operating expense,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sale of businesses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Income tax expense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Tax rate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28.3</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26.0</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w:t>
            </w:r>
          </w:p>
        </w:tc>
      </w:tr>
      <w:tr>
        <w:trPr/>
        <w:tc>
          <w:tcPr>
            <w:tcW w:w="1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attributable to non-controlling interests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Xylem</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263</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20" w:after="12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NM - Not meaningful change</w:t>
      </w:r>
    </w:p>
    <w:p>
      <w:pPr>
        <w:pStyle w:val="TextBody"/>
        <w:bidi w:val="0"/>
        <w:spacing w:lineRule="auto" w:line="288" w:before="120" w:after="120"/>
        <w:jc w:val="left"/>
        <w:rPr>
          <w:rFonts w:ascii="Arial;sans-serif" w:hAnsi="Arial;sans-serif"/>
          <w:b/>
          <w:i/>
          <w:color w:val="000000"/>
          <w:sz w:val="20"/>
          <w:shd w:fill="FFFFFF" w:val="clear"/>
        </w:rPr>
      </w:pPr>
      <w:r>
        <w:rPr>
          <w:rFonts w:ascii="Arial;sans-serif" w:hAnsi="Arial;sans-serif"/>
          <w:b/>
          <w:i/>
          <w:color w:val="000000"/>
          <w:sz w:val="20"/>
          <w:shd w:fill="FFFFFF" w:val="clear"/>
        </w:rPr>
        <w:t>Revenue</w:t>
      </w:r>
    </w:p>
    <w:p>
      <w:pPr>
        <w:pStyle w:val="TextBody"/>
        <w:bidi w:val="0"/>
        <w:spacing w:lineRule="auto" w:line="288" w:before="120" w:after="120"/>
        <w:jc w:val="left"/>
        <w:rPr>
          <w:shd w:fill="FFFFFF" w:val="clear"/>
        </w:rPr>
      </w:pPr>
      <w:r>
        <w:rPr>
          <w:rFonts w:ascii="Arial;sans-serif" w:hAnsi="Arial;sans-serif"/>
          <w:b w:val="false"/>
          <w:color w:val="000000"/>
          <w:sz w:val="20"/>
          <w:shd w:fill="FFFFFF" w:val="clear"/>
        </w:rPr>
        <w:t>Revenue generated during the three and six months ended June 30, 2026 was $2,336 million and $4,461 million, respectively, reflecting an increase of $35 million, or 1.5%, and an increase</w:t>
      </w:r>
      <w:r>
        <w:rPr>
          <w:color w:val="000000"/>
          <w:shd w:fill="FFFFFF" w:val="clear"/>
        </w:rPr>
        <w:t xml:space="preserve"> </w:t>
      </w:r>
      <w:r>
        <w:rPr>
          <w:rFonts w:ascii="Arial;sans-serif" w:hAnsi="Arial;sans-serif"/>
          <w:b w:val="false"/>
          <w:color w:val="000000"/>
          <w:sz w:val="20"/>
          <w:shd w:fill="FFFFFF" w:val="clear"/>
        </w:rPr>
        <w:t>of $91 million, or 2.1% compared to the prior year. Organic revenue increased $30 million, or 1.3%, and $21 million, or 0.5% for the three and six months ended June 30, 2026, respectively. Foreign currency translation had a favorable impact on revenue of $29 million for the three months ended June 30, 2026, and a favorable impact on revenue of $94 million for the six months ended June 30, 2026</w:t>
      </w:r>
      <w:r>
        <w:rPr>
          <w:rFonts w:ascii="Times New Roman;serif" w:hAnsi="Times New Roman;serif"/>
          <w:b w:val="false"/>
          <w:color w:val="000000"/>
          <w:sz w:val="20"/>
          <w:shd w:fill="FFFFFF" w:val="clear"/>
        </w:rPr>
        <w:t>.</w:t>
      </w:r>
      <w:r>
        <w:rPr>
          <w:color w:val="000000"/>
          <w:shd w:fill="FFFFFF" w:val="clear"/>
        </w:rPr>
        <w:t xml:space="preserve"> </w:t>
      </w:r>
      <w:r>
        <w:rPr>
          <w:rFonts w:ascii="Arial;sans-serif" w:hAnsi="Arial;sans-serif"/>
          <w:b w:val="false"/>
          <w:color w:val="000000"/>
          <w:sz w:val="20"/>
          <w:shd w:fill="FFFFFF" w:val="clear"/>
        </w:rPr>
        <w:t>The loss of revenue from divestitures of $31 million was partially offset by a corresponding increase in revenue from acquisitions of $7 million for the three months ended June 30, 2026. For the six months ended June 30, 2026 the loss of revenue from divestitures of $36 million was partially offset by a corresponding increase in revenue from acquisitions of $12 million. The increase in organic revenue for the three months ended June 30, 2026 is primarily due to increased sales volume in the U.S. in our Water Infrastructure segment and strong data center project growth in our Applied Water segment. The increase in organic revenue for the six months ended June 30, 2026 is primarily due to increased sales volume in the U.S. in our Water Infrastructure segment and strong price realization and backlog execution in the U.S. in our Applied Water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tables illustrate the impact from organic growth, recent acquisitions and divestitures, and foreign currency translation in relation to revenue during the three and six months ended June 30, 2026:</w:t>
      </w:r>
    </w:p>
    <w:tbl>
      <w:tblPr>
        <w:tblW w:w="11257" w:type="dxa"/>
        <w:jc w:val="left"/>
        <w:tblInd w:w="0" w:type="dxa"/>
        <w:tblLayout w:type="fixed"/>
        <w:tblCellMar>
          <w:top w:w="28" w:type="dxa"/>
          <w:left w:w="28" w:type="dxa"/>
          <w:bottom w:w="28" w:type="dxa"/>
          <w:right w:w="28" w:type="dxa"/>
        </w:tblCellMar>
      </w:tblPr>
      <w:tblGrid>
        <w:gridCol w:w="506"/>
        <w:gridCol w:w="366"/>
        <w:gridCol w:w="239"/>
        <w:gridCol w:w="221"/>
        <w:gridCol w:w="481"/>
        <w:gridCol w:w="109"/>
        <w:gridCol w:w="243"/>
        <w:gridCol w:w="193"/>
        <w:gridCol w:w="495"/>
        <w:gridCol w:w="109"/>
        <w:gridCol w:w="109"/>
        <w:gridCol w:w="109"/>
        <w:gridCol w:w="213"/>
        <w:gridCol w:w="487"/>
        <w:gridCol w:w="111"/>
        <w:gridCol w:w="243"/>
        <w:gridCol w:w="193"/>
        <w:gridCol w:w="495"/>
        <w:gridCol w:w="109"/>
        <w:gridCol w:w="109"/>
        <w:gridCol w:w="109"/>
        <w:gridCol w:w="221"/>
        <w:gridCol w:w="481"/>
        <w:gridCol w:w="109"/>
        <w:gridCol w:w="248"/>
        <w:gridCol w:w="248"/>
        <w:gridCol w:w="375"/>
        <w:gridCol w:w="109"/>
        <w:gridCol w:w="109"/>
        <w:gridCol w:w="109"/>
        <w:gridCol w:w="221"/>
        <w:gridCol w:w="481"/>
        <w:gridCol w:w="109"/>
        <w:gridCol w:w="235"/>
        <w:gridCol w:w="201"/>
        <w:gridCol w:w="469"/>
        <w:gridCol w:w="109"/>
        <w:gridCol w:w="109"/>
        <w:gridCol w:w="109"/>
        <w:gridCol w:w="211"/>
        <w:gridCol w:w="646"/>
        <w:gridCol w:w="109"/>
        <w:gridCol w:w="231"/>
        <w:gridCol w:w="205"/>
        <w:gridCol w:w="554"/>
      </w:tblGrid>
      <w:tr>
        <w:trPr/>
        <w:tc>
          <w:tcPr>
            <w:tcW w:w="50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4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Water Infrastructure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Applied Water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Measurement and Control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Water Solutions and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Xylem</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 (b)</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 Revenue</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Organic Growth</w:t>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w:t>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Divestitures</w:t>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w:t>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change in revenue</w:t>
            </w:r>
          </w:p>
        </w:tc>
        <w:tc>
          <w:tcPr>
            <w:tcW w:w="7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4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4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3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4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5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2026 Revenue</w:t>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683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501</w:t>
            </w:r>
            <w:r>
              <w:rPr>
                <w:color w:val="000000"/>
              </w:rPr>
              <w:t>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508</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2,336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(a)Foreign currency translation impact for the year due to the strengthening in value of various currencies against the U.S. Dollar, the largest being the Euro, Australian Dollar, Hungarian Forint, Chinese Yuan and the Norwegian Krone.</w:t>
      </w:r>
    </w:p>
    <w:p>
      <w:pPr>
        <w:pStyle w:val="TextBody"/>
        <w:bidi w:val="0"/>
        <w:spacing w:lineRule="auto" w:line="288" w:before="0" w:after="0"/>
        <w:ind w:left="0" w:right="0" w:hanging="36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(b)Percentages may not foot due to differences in computational basis.</w:t>
      </w:r>
    </w:p>
    <w:tbl>
      <w:tblPr>
        <w:tblW w:w="11748" w:type="dxa"/>
        <w:jc w:val="left"/>
        <w:tblInd w:w="0" w:type="dxa"/>
        <w:tblLayout w:type="fixed"/>
        <w:tblCellMar>
          <w:top w:w="28" w:type="dxa"/>
          <w:left w:w="28" w:type="dxa"/>
          <w:bottom w:w="28" w:type="dxa"/>
          <w:right w:w="28" w:type="dxa"/>
        </w:tblCellMar>
      </w:tblPr>
      <w:tblGrid>
        <w:gridCol w:w="506"/>
        <w:gridCol w:w="366"/>
        <w:gridCol w:w="239"/>
        <w:gridCol w:w="211"/>
        <w:gridCol w:w="646"/>
        <w:gridCol w:w="109"/>
        <w:gridCol w:w="243"/>
        <w:gridCol w:w="193"/>
        <w:gridCol w:w="495"/>
        <w:gridCol w:w="109"/>
        <w:gridCol w:w="109"/>
        <w:gridCol w:w="109"/>
        <w:gridCol w:w="213"/>
        <w:gridCol w:w="487"/>
        <w:gridCol w:w="111"/>
        <w:gridCol w:w="243"/>
        <w:gridCol w:w="193"/>
        <w:gridCol w:w="495"/>
        <w:gridCol w:w="109"/>
        <w:gridCol w:w="109"/>
        <w:gridCol w:w="109"/>
        <w:gridCol w:w="211"/>
        <w:gridCol w:w="646"/>
        <w:gridCol w:w="109"/>
        <w:gridCol w:w="220"/>
        <w:gridCol w:w="220"/>
        <w:gridCol w:w="431"/>
        <w:gridCol w:w="109"/>
        <w:gridCol w:w="109"/>
        <w:gridCol w:w="109"/>
        <w:gridCol w:w="211"/>
        <w:gridCol w:w="646"/>
        <w:gridCol w:w="109"/>
        <w:gridCol w:w="243"/>
        <w:gridCol w:w="193"/>
        <w:gridCol w:w="495"/>
        <w:gridCol w:w="109"/>
        <w:gridCol w:w="109"/>
        <w:gridCol w:w="109"/>
        <w:gridCol w:w="211"/>
        <w:gridCol w:w="646"/>
        <w:gridCol w:w="109"/>
        <w:gridCol w:w="231"/>
        <w:gridCol w:w="205"/>
        <w:gridCol w:w="554"/>
      </w:tblGrid>
      <w:tr>
        <w:trPr/>
        <w:tc>
          <w:tcPr>
            <w:tcW w:w="50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Water Infrastructure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Applied Water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Measurement and Control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Water Solutions and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Xylem</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 (b)</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Organic Growth</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Divestitures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change in revenue</w:t>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4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4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4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4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5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2026 Revenue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949</w:t>
            </w:r>
            <w:r>
              <w:rPr>
                <w:color w:val="000000"/>
              </w:rPr>
              <w:t>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1,016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1,210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4,461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(a)Foreign currency translation impact for the year due to the strengthening in value of various currencies against the U.S. Dollar, the largest being the Euro, Australian Dollar, British Pound, Hungarian Forint, Chinese Yuan and the Swedish Krona.</w:t>
      </w:r>
    </w:p>
    <w:p>
      <w:pPr>
        <w:pStyle w:val="TextBody"/>
        <w:bidi w:val="0"/>
        <w:spacing w:lineRule="auto" w:line="288" w:before="0" w:after="0"/>
        <w:ind w:left="0" w:right="0" w:hanging="36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(b)Percentages may not foot due to differences in computational basis.</w:t>
      </w:r>
    </w:p>
    <w:p>
      <w:pPr>
        <w:pStyle w:val="TextBody"/>
        <w:bidi w:val="0"/>
        <w:spacing w:lineRule="auto" w:line="288" w:before="120" w:after="12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 xml:space="preserve">Water Infrastructure </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Water Infrastructure revenue increased $33 million, or 5.1%, for the second quarter of 2026 as compared to the prior year. Revenue growth for the quarter included organic growth of $17 million, or 2.6%, and $14 million of favorable impacts from foreign currency translation. Revenue growth also included the net impact of additional revenue of $4 million from acquisitions and a loss of $2 million of revenue from divestitures. Revenue in the transport application grew $28 million organically due to increased sales volume in the U.S. and increased capital project revenue in western Europe, partially offset by reduced backlog execution in the emerging markets. Revenue growth was partially offset by organic revenue declines in the treatment application of $11 million due to decreased sales volume in Western Europe, targeted exits on non-strategic capital revenue and market softness in Emerging Markets, partially offset by favorable timing of capital projects in the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Water Infrastructure revenue increased $55 million, or 4.5%, for the six months ended June 30, 2026 as compared to the prior year. Revenue growth for the period included $43 million of favorable impacts from foreign currency translation and organic revenue growth of $12 million, or 1.0%. Revenue growth also included the net impact of $7 million of additional revenue from acquisitions offset by a loss of revenue of $7 million from divestitures. Revenue growth was driven by $31 million of organic growth in the transport application due to increased sales volume and strong backlog execution in the U.S. partially offset by market softness and reduced backlog execution in the emerging markets. Revenue in the treatment application declined by $19 million organically. Organic declines in the treatment application were driven by targeted exits on non-strategic capital revenue, market softness in emerging markets and reduced sales volume and capital project revenue in western Europe, partially offset by favorable timing of capital projects in the U.S. </w:t>
      </w:r>
    </w:p>
    <w:p>
      <w:pPr>
        <w:pStyle w:val="TextBody"/>
        <w:bidi w:val="0"/>
        <w:spacing w:lineRule="auto" w:line="288" w:before="120" w:after="12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Applied Water</w:t>
      </w:r>
    </w:p>
    <w:p>
      <w:pPr>
        <w:pStyle w:val="TextBody"/>
        <w:bidi w:val="0"/>
        <w:spacing w:lineRule="auto" w:line="288" w:before="120" w:after="120"/>
        <w:jc w:val="left"/>
        <w:rPr>
          <w:shd w:fill="FFFFFF" w:val="clear"/>
        </w:rPr>
      </w:pPr>
      <w:r>
        <w:rPr>
          <w:rFonts w:ascii="Arial;sans-serif" w:hAnsi="Arial;sans-serif"/>
          <w:b w:val="false"/>
          <w:color w:val="000000"/>
          <w:sz w:val="20"/>
          <w:shd w:fill="FFFFFF" w:val="clear"/>
        </w:rPr>
        <w:t>Applied Water revenue increased $18 million, or 3.7% for the second quarter of 2026 as compared to the prior year. Revenue growth for the quarter included organic revenue growth of $13 million, or 2.7%, and $5 million of favorable</w:t>
      </w:r>
      <w:r>
        <w:rPr>
          <w:color w:val="000000"/>
          <w:shd w:fill="FFFFFF" w:val="clear"/>
        </w:rPr>
        <w:t xml:space="preserve"> </w:t>
      </w:r>
      <w:r>
        <w:rPr>
          <w:rFonts w:ascii="Arial;sans-serif" w:hAnsi="Arial;sans-serif"/>
          <w:b w:val="false"/>
          <w:color w:val="000000"/>
          <w:sz w:val="20"/>
          <w:shd w:fill="FFFFFF" w:val="clear"/>
        </w:rPr>
        <w:t>foreign currency translation. Building solutions revenue grew $14 million organically, due primarily to backlog execution and price in the U.S. and increased sales volume in western Europe related to the commercial market, partially offset by declines in the residential market in western Europe and the emerging markets. Organic revenue growth was partially offset by organic declines of $1 million in the industrial application due to changing customer dynamics coupled with lower backlog execution in western Europe, partially offset by increased data center project revenue in the U.S.</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Applied Water revenue increased $31 million, or 3.4% for the six months ended June 30, 2026 as compared to the prior year. Revenue growth for the period included $19 million of favorable foreign currency translation and organic revenue growth of $12 million, or 1.3%. Building solutions revenue grew $21 million organically, due primarily to commercial backlog execution and price in the U.S. and increased sales volume in western Europe, partially offset by residential declines in the emerging markets and western Europe. Organic revenue growth was partially offset by organic declines of $9 million in the industrial application driven by the same factors impacting the second quarter revenue declines.</w:t>
      </w:r>
    </w:p>
    <w:p>
      <w:pPr>
        <w:pStyle w:val="TextBody"/>
        <w:bidi w:val="0"/>
        <w:spacing w:lineRule="auto" w:line="288" w:before="120" w:after="12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Measurement and Control Solutions</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Measurement and Control Solutions revenue decreased $32 million, or 5.9%, for the second quarter of 2026 as compared to the prior year. The decrease in revenue was primarily due to a $29 million loss of revenue from divestitures and $7 million, or 1.4%, of decreased organic revenue, partially offset by $4 million of favorable foreign currency translation. Organic revenue declines were driven by $7 million from the smart metering and other applications, driven by the U.S., which had lower shippable backlog coming into the quarter in water partially offset by increased sales volume in energy. Organic revenue remained flat in the analytics application as compared to the prior year.</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Measurement and Control Solutions revenue decreased $14 million, or 1.4%, for the six months ended June 30, 2026 as compared to the prior year. The decrease in revenue was primarily due to a $29 million loss of revenue from divestitures, coupled with flat organic revenue, partially offset by $15 million of favorable foreign currency translation. Organic revenue growth was essentially flat for both the smart metering and other and analytics applications, driven by driven by increased energy sales volume in North America offset by lower shippable backlog coming into the year in water in North America.</w:t>
      </w:r>
    </w:p>
    <w:p>
      <w:pPr>
        <w:pStyle w:val="TextBody"/>
        <w:bidi w:val="0"/>
        <w:spacing w:lineRule="auto" w:line="288" w:before="120" w:after="12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 xml:space="preserve">Water Solutions and Services </w:t>
      </w:r>
    </w:p>
    <w:p>
      <w:pPr>
        <w:pStyle w:val="TextBody"/>
        <w:bidi w:val="0"/>
        <w:spacing w:lineRule="auto" w:line="288" w:before="120" w:after="120"/>
        <w:jc w:val="left"/>
        <w:rPr>
          <w:shd w:fill="FFFFFF" w:val="clear"/>
        </w:rPr>
      </w:pPr>
      <w:r>
        <w:rPr>
          <w:rFonts w:ascii="Arial;sans-serif" w:hAnsi="Arial;sans-serif"/>
          <w:b w:val="false"/>
          <w:color w:val="000000"/>
          <w:sz w:val="20"/>
          <w:shd w:fill="FFFFFF" w:val="clear"/>
        </w:rPr>
        <w:t>Water Solutions and Services revenue increased $16 million, or 2.5%, for the second quarter of 2026 as compared to the prior year. The revenue growth was primarily driven by $7 million, or 1.1%</w:t>
      </w:r>
      <w:r>
        <w:rPr>
          <w:rFonts w:ascii="Times New Roman;serif" w:hAnsi="Times New Roman;serif"/>
          <w:b w:val="false"/>
          <w:color w:val="000000"/>
          <w:sz w:val="20"/>
          <w:shd w:fill="FFFFFF" w:val="clear"/>
        </w:rPr>
        <w:t>,</w:t>
      </w:r>
      <w:r>
        <w:rPr>
          <w:color w:val="000000"/>
          <w:shd w:fill="FFFFFF" w:val="clear"/>
        </w:rPr>
        <w:t xml:space="preserve"> </w:t>
      </w:r>
      <w:r>
        <w:rPr>
          <w:rFonts w:ascii="Arial;sans-serif" w:hAnsi="Arial;sans-serif"/>
          <w:b w:val="false"/>
          <w:color w:val="000000"/>
          <w:sz w:val="20"/>
          <w:shd w:fill="FFFFFF" w:val="clear"/>
        </w:rPr>
        <w:t>of organic growth, $6 million of favorable impacts from foreign currency translation and $3 million of acquisition activity. Revenue in the capital and other applications grew by $8 million organically, primarily due to increased capital project revenue recognized in North America as the result of a contract modification and increased dewatering sales in western Europe. Organic revenue growth was partially offset by $1 million of organic declines in the service application, driven by unfavorable service project timing in the U.S. almost entirely offset by service volume in the emerging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Water Solutions and Services revenue increased $19 million, or 1.6%, for the six months ended June 30, 2026 as compared to the prior year. The revenue growth was primarily driven by $17 million of favorable impacts from foreign currency and $5 million of acquisition activity, offset by $3 million, or 0.3%, of organic declines. Revenue in the capital and other applications declined by $6 million organically, primarily due to reduced sales volume, partially offset by a favorable contract modification adjustment, in North America, with favorable sales volume in the emerging markets and western Europe also contributing to the offset. Organic revenue from the service application increased by $3 million due to service and rental volume in the emerging markets.</w:t>
      </w:r>
    </w:p>
    <w:p>
      <w:pPr>
        <w:pStyle w:val="TextBody"/>
        <w:bidi w:val="0"/>
        <w:spacing w:lineRule="auto" w:line="288" w:before="120" w:after="120"/>
        <w:jc w:val="left"/>
        <w:rPr>
          <w:rFonts w:ascii="Arial;sans-serif" w:hAnsi="Arial;sans-serif"/>
          <w:b/>
          <w:i/>
          <w:color w:val="000000"/>
          <w:sz w:val="20"/>
          <w:shd w:fill="FFFFFF" w:val="clear"/>
        </w:rPr>
      </w:pPr>
      <w:r>
        <w:rPr>
          <w:rFonts w:ascii="Arial;sans-serif" w:hAnsi="Arial;sans-serif"/>
          <w:b/>
          <w:i/>
          <w:color w:val="000000"/>
          <w:sz w:val="20"/>
          <w:shd w:fill="FFFFFF" w:val="clear"/>
        </w:rPr>
        <w:t>Orders / Backlog</w:t>
      </w:r>
    </w:p>
    <w:p>
      <w:pPr>
        <w:pStyle w:val="TextBody"/>
        <w:bidi w:val="0"/>
        <w:spacing w:lineRule="auto" w:line="288" w:before="120" w:after="12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Orders</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An order represents a legally enforceable, written document that includes the scope of work or services to be performed or equipment to be supplied to a customer, the corresponding price and the expected delivery date for the applicable products or services to be provided. An order often takes the form of a customer purchase order or a signed quote from a Xylem business. </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tables illustrate the impact from organic decline/growth, recent acquisitions and divestitures, and foreign currency translation in relation to orders during the three and six months ended June 30, 2026:</w:t>
      </w:r>
    </w:p>
    <w:tbl>
      <w:tblPr>
        <w:tblW w:w="11858" w:type="dxa"/>
        <w:jc w:val="left"/>
        <w:tblInd w:w="0" w:type="dxa"/>
        <w:tblLayout w:type="fixed"/>
        <w:tblCellMar>
          <w:top w:w="28" w:type="dxa"/>
          <w:left w:w="28" w:type="dxa"/>
          <w:bottom w:w="28" w:type="dxa"/>
          <w:right w:w="28" w:type="dxa"/>
        </w:tblCellMar>
      </w:tblPr>
      <w:tblGrid>
        <w:gridCol w:w="489"/>
        <w:gridCol w:w="415"/>
        <w:gridCol w:w="207"/>
        <w:gridCol w:w="221"/>
        <w:gridCol w:w="481"/>
        <w:gridCol w:w="109"/>
        <w:gridCol w:w="243"/>
        <w:gridCol w:w="193"/>
        <w:gridCol w:w="495"/>
        <w:gridCol w:w="109"/>
        <w:gridCol w:w="109"/>
        <w:gridCol w:w="109"/>
        <w:gridCol w:w="213"/>
        <w:gridCol w:w="487"/>
        <w:gridCol w:w="111"/>
        <w:gridCol w:w="301"/>
        <w:gridCol w:w="240"/>
        <w:gridCol w:w="495"/>
        <w:gridCol w:w="109"/>
        <w:gridCol w:w="109"/>
        <w:gridCol w:w="109"/>
        <w:gridCol w:w="221"/>
        <w:gridCol w:w="481"/>
        <w:gridCol w:w="109"/>
        <w:gridCol w:w="248"/>
        <w:gridCol w:w="248"/>
        <w:gridCol w:w="375"/>
        <w:gridCol w:w="109"/>
        <w:gridCol w:w="109"/>
        <w:gridCol w:w="109"/>
        <w:gridCol w:w="211"/>
        <w:gridCol w:w="646"/>
        <w:gridCol w:w="109"/>
        <w:gridCol w:w="323"/>
        <w:gridCol w:w="323"/>
        <w:gridCol w:w="495"/>
        <w:gridCol w:w="109"/>
        <w:gridCol w:w="109"/>
        <w:gridCol w:w="109"/>
        <w:gridCol w:w="211"/>
        <w:gridCol w:w="646"/>
        <w:gridCol w:w="109"/>
        <w:gridCol w:w="270"/>
        <w:gridCol w:w="271"/>
        <w:gridCol w:w="554"/>
      </w:tblGrid>
      <w:tr>
        <w:trPr/>
        <w:tc>
          <w:tcPr>
            <w:tcW w:w="48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Water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Applied Water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Measurement and Control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Water Solutions and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Xylem</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 (b)</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 Orders</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672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488</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2,174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Organic Impact</w:t>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147.3 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w:t>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Divestitures</w:t>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w:t>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change in orders</w:t>
            </w:r>
          </w:p>
        </w:tc>
        <w:tc>
          <w:tcPr>
            <w:tcW w:w="7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4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4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3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872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151.1 </w:t>
            </w:r>
          </w:p>
        </w:tc>
        <w:tc>
          <w:tcPr>
            <w:tcW w:w="4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912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42.0 </w:t>
            </w:r>
          </w:p>
        </w:tc>
        <w:tc>
          <w:tcPr>
            <w:tcW w:w="5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2026 Orders</w:t>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538</w:t>
            </w:r>
            <w:r>
              <w:rPr>
                <w:color w:val="000000"/>
              </w:rPr>
              <w:t>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1,449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3,086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(a)Foreign currency translation impact for the year due to the strengthening in value of various currencies against the U.S. Dollar, the largest being the Euro, Australian Dollar, Hungarian Forint, Chinese Yuan and the Norwegian Krone.</w:t>
      </w:r>
    </w:p>
    <w:p>
      <w:pPr>
        <w:pStyle w:val="TextBody"/>
        <w:bidi w:val="0"/>
        <w:spacing w:lineRule="auto" w:line="288" w:before="0" w:after="0"/>
        <w:ind w:left="0" w:right="0" w:hanging="36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(b)Percentages may not foot due to differences in computational basis.</w:t>
      </w:r>
    </w:p>
    <w:p>
      <w:pPr>
        <w:pStyle w:val="TextBody"/>
        <w:bidi w:val="0"/>
        <w:spacing w:before="0" w:after="0"/>
        <w:jc w:val="left"/>
        <w:rPr/>
      </w:pPr>
      <w:r>
        <w:rPr/>
      </w:r>
    </w:p>
    <w:tbl>
      <w:tblPr>
        <w:tblW w:w="11958" w:type="dxa"/>
        <w:jc w:val="left"/>
        <w:tblInd w:w="0" w:type="dxa"/>
        <w:tblLayout w:type="fixed"/>
        <w:tblCellMar>
          <w:top w:w="28" w:type="dxa"/>
          <w:left w:w="28" w:type="dxa"/>
          <w:bottom w:w="28" w:type="dxa"/>
          <w:right w:w="28" w:type="dxa"/>
        </w:tblCellMar>
      </w:tblPr>
      <w:tblGrid>
        <w:gridCol w:w="489"/>
        <w:gridCol w:w="415"/>
        <w:gridCol w:w="207"/>
        <w:gridCol w:w="211"/>
        <w:gridCol w:w="646"/>
        <w:gridCol w:w="109"/>
        <w:gridCol w:w="243"/>
        <w:gridCol w:w="193"/>
        <w:gridCol w:w="495"/>
        <w:gridCol w:w="109"/>
        <w:gridCol w:w="109"/>
        <w:gridCol w:w="109"/>
        <w:gridCol w:w="211"/>
        <w:gridCol w:w="646"/>
        <w:gridCol w:w="109"/>
        <w:gridCol w:w="243"/>
        <w:gridCol w:w="193"/>
        <w:gridCol w:w="495"/>
        <w:gridCol w:w="109"/>
        <w:gridCol w:w="109"/>
        <w:gridCol w:w="109"/>
        <w:gridCol w:w="221"/>
        <w:gridCol w:w="481"/>
        <w:gridCol w:w="109"/>
        <w:gridCol w:w="248"/>
        <w:gridCol w:w="248"/>
        <w:gridCol w:w="375"/>
        <w:gridCol w:w="109"/>
        <w:gridCol w:w="109"/>
        <w:gridCol w:w="109"/>
        <w:gridCol w:w="211"/>
        <w:gridCol w:w="646"/>
        <w:gridCol w:w="109"/>
        <w:gridCol w:w="270"/>
        <w:gridCol w:w="271"/>
        <w:gridCol w:w="495"/>
        <w:gridCol w:w="109"/>
        <w:gridCol w:w="109"/>
        <w:gridCol w:w="109"/>
        <w:gridCol w:w="211"/>
        <w:gridCol w:w="646"/>
        <w:gridCol w:w="109"/>
        <w:gridCol w:w="270"/>
        <w:gridCol w:w="271"/>
        <w:gridCol w:w="554"/>
      </w:tblGrid>
      <w:tr>
        <w:trPr/>
        <w:tc>
          <w:tcPr>
            <w:tcW w:w="48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Water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Applied Water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Measurement and Control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Water Solutions and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Xylem</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 (b)</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 Orders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1,298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974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1,221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4,332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Organic Impact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61.9 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Divestitures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change in orders</w:t>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4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4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3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65.0 </w:t>
            </w:r>
          </w:p>
        </w:tc>
        <w:tc>
          <w:tcPr>
            <w:tcW w:w="4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982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22.7 </w:t>
            </w:r>
          </w:p>
        </w:tc>
        <w:tc>
          <w:tcPr>
            <w:tcW w:w="5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2026 Orders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1,344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1,050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905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2,015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5,314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(a)Foreign currency translation impact for the year due to the strengthening in value of various currencies against the U.S. Dollar, the largest being the Euro, Australian Dollar, Hungarian Forint, Chinese Yuan and the Norwegian Krone.</w:t>
      </w:r>
    </w:p>
    <w:p>
      <w:pPr>
        <w:pStyle w:val="TextBody"/>
        <w:bidi w:val="0"/>
        <w:spacing w:lineRule="auto" w:line="288" w:before="0" w:after="0"/>
        <w:ind w:left="0" w:right="0" w:hanging="36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(b)Percentages may not foot due to differences in computational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Backlog</w:t>
      </w:r>
    </w:p>
    <w:p>
      <w:pPr>
        <w:pStyle w:val="TextBody"/>
        <w:bidi w:val="0"/>
        <w:spacing w:lineRule="auto" w:line="288" w:before="120" w:after="120"/>
        <w:jc w:val="left"/>
        <w:rPr>
          <w:shd w:fill="FFFFFF" w:val="clear"/>
        </w:rPr>
      </w:pPr>
      <w:r>
        <w:rPr>
          <w:rFonts w:ascii="Arial;sans-serif" w:hAnsi="Arial;sans-serif"/>
          <w:b w:val="false"/>
          <w:color w:val="000000"/>
          <w:sz w:val="20"/>
          <w:shd w:fill="FFFFFF" w:val="clear"/>
        </w:rPr>
        <w:t>Backlog includes orders on hand as well as contractual customer agreements at the end of the period. Delivery schedules vary from customer to customer based on their requirements. Annual or multi-year contracts are subject to rescheduling and cancellation by customers due to the long-term nature of the contracts. As such, beginning total backlog, plus orders, minus revenues, will not equal ending total backlog due to contract adjustments, foreign currency fluctuations, and other factors. Typically, capital projects require longer lead production cycles and deployment schedules and delays occur from time to time. Total backlog was $5,315 million at June 30, 2026, an increase of $297 million, or 5.9%, as compared to June 30, 2025 backlog of $5,018 million. The backlog increase was due to strong order intake in the Water Solutions and Services and Applied Water segments, including the securing of a significant contract in Water Solutions and Services during the three months ended June 30, 2026. The backlog increase was partially offset by backlog declines in the Measurement and Control Solutions and Water Infrastructure segments primarily due to revenue outpacing orders and contract wins. Backlog increased $700 million, or 15.2%, at June 30, 2026, as compared to December 31, 2025 backlog of $4,615 million. The increase</w:t>
      </w:r>
      <w:r>
        <w:rPr>
          <w:color w:val="000000"/>
          <w:shd w:fill="FFFFFF" w:val="clear"/>
        </w:rPr>
        <w:t xml:space="preserve"> </w:t>
      </w:r>
      <w:r>
        <w:rPr>
          <w:rFonts w:ascii="Arial;sans-serif" w:hAnsi="Arial;sans-serif"/>
          <w:b w:val="false"/>
          <w:color w:val="000000"/>
          <w:sz w:val="20"/>
          <w:shd w:fill="FFFFFF" w:val="clear"/>
        </w:rPr>
        <w:t>in</w:t>
      </w:r>
      <w:r>
        <w:rPr>
          <w:color w:val="000000"/>
          <w:shd w:fill="FFFFFF" w:val="clear"/>
        </w:rPr>
        <w:t xml:space="preserve"> </w:t>
      </w:r>
      <w:r>
        <w:rPr>
          <w:rFonts w:ascii="Arial;sans-serif" w:hAnsi="Arial;sans-serif"/>
          <w:b w:val="false"/>
          <w:color w:val="000000"/>
          <w:sz w:val="20"/>
          <w:shd w:fill="FFFFFF" w:val="clear"/>
        </w:rPr>
        <w:t>backlog as compared to December 31, 2025 was driven primarily by strong order intake, including the securing of a significant contract in the Water Solutions and Services segment, partially offset by backlog declines in the Measurement and Control Solutions segment due to revenue outpacing orders and contract wins. We anticipate that approximately 40% of the backlog as of June 30, 2026 will be recognized as revenue in the remainder of 2026. There were no significant order cancellations during the quarter.</w:t>
      </w:r>
    </w:p>
    <w:p>
      <w:pPr>
        <w:pStyle w:val="TextBody"/>
        <w:bidi w:val="0"/>
        <w:spacing w:lineRule="auto" w:line="288" w:before="120" w:after="120"/>
        <w:jc w:val="left"/>
        <w:rPr>
          <w:rFonts w:ascii="Arial;sans-serif" w:hAnsi="Arial;sans-serif"/>
          <w:b/>
          <w:i/>
          <w:color w:val="000000"/>
          <w:sz w:val="20"/>
          <w:shd w:fill="FFFFFF" w:val="clear"/>
        </w:rPr>
      </w:pPr>
      <w:r>
        <w:rPr>
          <w:rFonts w:ascii="Arial;sans-serif" w:hAnsi="Arial;sans-serif"/>
          <w:b/>
          <w:i/>
          <w:color w:val="000000"/>
          <w:sz w:val="20"/>
          <w:shd w:fill="FFFFFF" w:val="clear"/>
        </w:rPr>
        <w:t>Gross Margin</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Gross margin as a percentage of revenue increased 240 basis points to 41.2% for the three months ended June 30, 2026, as compared to 38.8% for the three months ended June 30, 2025. The gross margin increase included net favorable impacts of 70 basis points from decreases in special charges and acquired intangible amortization partially offset by increased restructuring and realignment costs as compared to the prior year. Gross margin expansion included 550 basis points of favorable operational impacts, driven by 230 basis points of productivity savings, 180 basis points of price realization, and 80 basis points of favorable mix. These increases in gross margin were partially offset by 380 basis points of unfavorable operational impacts driven by 240 basis points of inflation and 80 basis points of decreased volume. </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Gross margin as a percentage of revenue increased 160 basis points to 39.6% for the six months ended June 30, 2026, as compared to 38.0% for the six months ended June 30, 2025. The gross margin increase included net favorable impacts of 40 basis points from decreases in special charges and acquired intangible amortization partially offset by increased restructuring and realignment costs as compared to the prior year. Gross margin expansion included 460 basis points of favorable operational impacts, led by 260 basis points of productivity savings and 150 basis points of price realization. These increases in gross margin were partially offset by 340 basis points of unfavorable operational impacts driven by 240 basis points of inflation and 40 basis points of decreased volume. </w:t>
      </w:r>
    </w:p>
    <w:p>
      <w:pPr>
        <w:pStyle w:val="TextBody"/>
        <w:bidi w:val="0"/>
        <w:spacing w:lineRule="auto" w:line="288" w:before="120" w:after="120"/>
        <w:jc w:val="left"/>
        <w:rPr>
          <w:rFonts w:ascii="Arial;sans-serif" w:hAnsi="Arial;sans-serif"/>
          <w:b/>
          <w:i/>
          <w:color w:val="000000"/>
          <w:sz w:val="20"/>
          <w:shd w:fill="FFFFFF" w:val="clear"/>
        </w:rPr>
      </w:pPr>
      <w:r>
        <w:rPr>
          <w:rFonts w:ascii="Arial;sans-serif" w:hAnsi="Arial;sans-serif"/>
          <w:b/>
          <w:i/>
          <w:color w:val="000000"/>
          <w:sz w:val="20"/>
          <w:shd w:fill="FFFFFF" w:val="clear"/>
        </w:rPr>
        <w:t>Operating Expenses</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presents operating expenses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790"/>
        <w:gridCol w:w="692"/>
        <w:gridCol w:w="704"/>
        <w:gridCol w:w="211"/>
        <w:gridCol w:w="481"/>
        <w:gridCol w:w="286"/>
        <w:gridCol w:w="109"/>
        <w:gridCol w:w="109"/>
        <w:gridCol w:w="109"/>
        <w:gridCol w:w="211"/>
        <w:gridCol w:w="481"/>
        <w:gridCol w:w="286"/>
        <w:gridCol w:w="109"/>
        <w:gridCol w:w="109"/>
        <w:gridCol w:w="109"/>
        <w:gridCol w:w="279"/>
        <w:gridCol w:w="280"/>
        <w:gridCol w:w="112"/>
        <w:gridCol w:w="123"/>
        <w:gridCol w:w="123"/>
        <w:gridCol w:w="130"/>
        <w:gridCol w:w="109"/>
        <w:gridCol w:w="109"/>
        <w:gridCol w:w="109"/>
        <w:gridCol w:w="211"/>
        <w:gridCol w:w="646"/>
        <w:gridCol w:w="286"/>
        <w:gridCol w:w="109"/>
        <w:gridCol w:w="109"/>
        <w:gridCol w:w="109"/>
        <w:gridCol w:w="211"/>
        <w:gridCol w:w="646"/>
        <w:gridCol w:w="286"/>
        <w:gridCol w:w="109"/>
        <w:gridCol w:w="109"/>
        <w:gridCol w:w="109"/>
        <w:gridCol w:w="279"/>
        <w:gridCol w:w="280"/>
        <w:gridCol w:w="112"/>
        <w:gridCol w:w="121"/>
        <w:gridCol w:w="121"/>
        <w:gridCol w:w="182"/>
      </w:tblGrid>
      <w:tr>
        <w:trPr/>
        <w:tc>
          <w:tcPr>
            <w:tcW w:w="79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2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57"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2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r>
      <w:tr>
        <w:trPr/>
        <w:tc>
          <w:tcPr>
            <w:tcW w:w="2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503</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975</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w:t>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SG&amp;A as a % of revenue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21.5</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21.9</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 </w:t>
            </w:r>
          </w:p>
        </w:tc>
      </w:tr>
      <w:tr>
        <w:trPr/>
        <w:tc>
          <w:tcPr>
            <w:tcW w:w="2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59</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115</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w:t>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R&amp;D as a % of revenue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 </w:t>
            </w:r>
          </w:p>
        </w:tc>
      </w:tr>
      <w:tr>
        <w:trPr/>
        <w:tc>
          <w:tcPr>
            <w:tcW w:w="2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and asset impairment charges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w:t>
            </w:r>
          </w:p>
        </w:tc>
      </w:tr>
      <w:tr>
        <w:trPr/>
        <w:tc>
          <w:tcPr>
            <w:tcW w:w="2186"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1"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1" w:type="dxa"/>
            <w:gridSpan w:val="3"/>
            <w:tcBorders/>
            <w:vAlign w:val="center"/>
          </w:tcPr>
          <w:p>
            <w:pPr>
              <w:pStyle w:val="TableContents"/>
              <w:bidi w:val="0"/>
              <w:spacing w:before="0" w:after="283"/>
              <w:jc w:val="left"/>
              <w:rPr>
                <w:sz w:val="4"/>
                <w:szCs w:val="4"/>
              </w:rPr>
            </w:pPr>
            <w:r>
              <w:rPr>
                <w:sz w:val="4"/>
                <w:szCs w:val="4"/>
              </w:rPr>
            </w:r>
          </w:p>
        </w:tc>
        <w:tc>
          <w:tcPr>
            <w:tcW w:w="424" w:type="dxa"/>
            <w:gridSpan w:val="3"/>
            <w:tcBorders/>
            <w:vAlign w:val="center"/>
          </w:tcPr>
          <w:p>
            <w:pPr>
              <w:pStyle w:val="TableContents"/>
              <w:bidi w:val="0"/>
              <w:spacing w:before="0" w:after="283"/>
              <w:jc w:val="left"/>
              <w:rPr>
                <w:sz w:val="4"/>
                <w:szCs w:val="4"/>
              </w:rPr>
            </w:pPr>
            <w:r>
              <w:rPr>
                <w:sz w:val="4"/>
                <w:szCs w:val="4"/>
              </w:rPr>
            </w:r>
          </w:p>
        </w:tc>
      </w:tr>
      <w:tr>
        <w:trPr/>
        <w:tc>
          <w:tcPr>
            <w:tcW w:w="2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573</w:t>
            </w:r>
            <w:r>
              <w:rPr>
                <w:color w:val="000000"/>
              </w:rPr>
              <w:t>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1,132</w:t>
            </w:r>
            <w:r>
              <w:rPr>
                <w:color w:val="000000"/>
              </w:rPr>
              <w:t>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1,124 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w:t>
            </w:r>
          </w:p>
        </w:tc>
      </w:tr>
      <w:tr>
        <w:trPr/>
        <w:tc>
          <w:tcPr>
            <w:tcW w:w="2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Expense to revenue ratio</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24.5</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25.4</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Arial;sans-serif" w:hAnsi="Arial;sans-serif"/>
          <w:b/>
          <w:i/>
          <w:color w:val="000000"/>
          <w:sz w:val="20"/>
          <w:shd w:fill="FFFFFF" w:val="clear"/>
        </w:rPr>
      </w:pPr>
      <w:r>
        <w:rPr>
          <w:rFonts w:ascii="Arial;sans-serif" w:hAnsi="Arial;sans-serif"/>
          <w:b/>
          <w:i/>
          <w:color w:val="000000"/>
          <w:sz w:val="20"/>
          <w:shd w:fill="FFFFFF" w:val="clear"/>
        </w:rPr>
        <w:t>Selling, General and Administrative ("SG&amp;A") Expenses</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SG&amp;A expenses remained flat at $503 million, and decreased to 21.5% of revenue in the second quarter of 2026, as compared to 21.9% of revenue, in the comparable 2025 period. In the second quarter of 2026, SG&amp;A benefited from productivity savings, decreased special charges and realignment cost, which was offset by inflation, unfavorable foreign currency effects and increased spending on strategic investments.</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SG&amp;A expenses increased by $12 million to $975 million, or 21.9% of revenue, in the six months ended June 30, 2026, as compared to $963 million, or 22.0% of revenue, in the six months ended June 30, 2025. The increase in SG&amp;A in the six months ended June 30, 2026 as compared to the prior year was driven by unfavorable currency impacts, inflation and increased spending on strategic investments, partially offset by productivity savings and lower special charges and realignment costs.</w:t>
      </w:r>
    </w:p>
    <w:p>
      <w:pPr>
        <w:pStyle w:val="TextBody"/>
        <w:bidi w:val="0"/>
        <w:spacing w:lineRule="auto" w:line="288" w:before="120" w:after="120"/>
        <w:jc w:val="left"/>
        <w:rPr>
          <w:rFonts w:ascii="Arial;sans-serif" w:hAnsi="Arial;sans-serif"/>
          <w:b/>
          <w:i/>
          <w:color w:val="000000"/>
          <w:sz w:val="20"/>
          <w:shd w:fill="FFFFFF" w:val="clear"/>
        </w:rPr>
      </w:pPr>
      <w:r>
        <w:rPr>
          <w:rFonts w:ascii="Arial;sans-serif" w:hAnsi="Arial;sans-serif"/>
          <w:b/>
          <w:i/>
          <w:color w:val="000000"/>
          <w:sz w:val="20"/>
          <w:shd w:fill="FFFFFF" w:val="clear"/>
        </w:rPr>
        <w:t>Research and Development ("R&amp;D") Expenses</w:t>
      </w:r>
    </w:p>
    <w:p>
      <w:pPr>
        <w:pStyle w:val="TextBody"/>
        <w:bidi w:val="0"/>
        <w:spacing w:lineRule="auto" w:line="288" w:before="120" w:after="120"/>
        <w:jc w:val="left"/>
        <w:rPr>
          <w:shd w:fill="FFFFFF" w:val="clear"/>
        </w:rPr>
      </w:pPr>
      <w:r>
        <w:rPr>
          <w:rFonts w:ascii="Arial;sans-serif" w:hAnsi="Arial;sans-serif"/>
          <w:b w:val="false"/>
          <w:color w:val="000000"/>
          <w:sz w:val="20"/>
          <w:shd w:fill="FFFFFF" w:val="clear"/>
        </w:rPr>
        <w:t>R&amp;D expense was $59 million, or 2.5% of revenue, in the second quarter of 2026, as compared to $58 million, or 2.5% of revenue, in the second quarter of 2025, and was $115 million, or 2.6% of revenue, in the six months ended June 30, 2026, as compared to $114 million, or 2.6% of revenue, in the six months ended June 30, 2025</w:t>
      </w:r>
      <w:r>
        <w:rPr>
          <w:rFonts w:ascii="Times New Roman;serif" w:hAnsi="Times New Roman;serif"/>
          <w:b w:val="false"/>
          <w:color w:val="000000"/>
          <w:sz w:val="18"/>
          <w:shd w:fill="FFFFFF" w:val="clear"/>
        </w:rPr>
        <w:t>.</w:t>
      </w:r>
      <w:r>
        <w:rPr>
          <w:color w:val="000000"/>
          <w:shd w:fill="FFFFFF" w:val="clear"/>
        </w:rPr>
        <w:t xml:space="preserve"> </w:t>
      </w:r>
      <w:r>
        <w:rPr>
          <w:rFonts w:ascii="Arial;sans-serif" w:hAnsi="Arial;sans-serif"/>
          <w:b w:val="false"/>
          <w:color w:val="000000"/>
          <w:sz w:val="20"/>
          <w:shd w:fill="FFFFFF" w:val="clear"/>
        </w:rPr>
        <w:t xml:space="preserve">R&amp;D expense was fairly consistent year over year and in line with planned spending in this area. </w:t>
      </w:r>
    </w:p>
    <w:p>
      <w:pPr>
        <w:pStyle w:val="TextBody"/>
        <w:bidi w:val="0"/>
        <w:spacing w:lineRule="auto" w:line="288" w:before="120" w:after="120"/>
        <w:jc w:val="left"/>
        <w:rPr>
          <w:rFonts w:ascii="Arial;sans-serif" w:hAnsi="Arial;sans-serif"/>
          <w:b/>
          <w:i/>
          <w:color w:val="000000"/>
          <w:sz w:val="20"/>
          <w:shd w:fill="FFFFFF" w:val="clear"/>
        </w:rPr>
      </w:pPr>
      <w:r>
        <w:rPr>
          <w:rFonts w:ascii="Arial;sans-serif" w:hAnsi="Arial;sans-serif"/>
          <w:b/>
          <w:i/>
          <w:color w:val="000000"/>
          <w:sz w:val="20"/>
          <w:shd w:fill="FFFFFF" w:val="clear"/>
        </w:rPr>
        <w:t xml:space="preserve">Restructuring and Asset Impairment Charges </w:t>
      </w:r>
    </w:p>
    <w:p>
      <w:pPr>
        <w:pStyle w:val="TextBody"/>
        <w:bidi w:val="0"/>
        <w:spacing w:lineRule="auto" w:line="288" w:before="120" w:after="12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 xml:space="preserve">Restructuring </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From time to time, the Company incurs costs related to restructuring actions undertaken to optimize its cost base and improve its strategic positioning. During the three and six months ended June 30, 2026, we incurred restructuring charges of $11 million and $42 million, respectively. During the three and six months ended June 30, 2025, we incurred restructuring charges of $22 million and $39 million, respectively.</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Actions commenced in 2025 and 2026 were primarily related to simplification actions, informed by 80/20 principles, to streamline the organization and better serve our customers. We currently expect to incur between $50 and $65 million in restructuring costs for the full year. </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Refer to Note 5, "Restructuring and Asset Impairment Charges" for more information.</w:t>
      </w:r>
    </w:p>
    <w:p>
      <w:pPr>
        <w:pStyle w:val="TextBody"/>
        <w:bidi w:val="0"/>
        <w:spacing w:lineRule="auto" w:line="288" w:before="120" w:after="12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Asset Impairment</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Refer to Note 9, "Goodwill and Other Intangible Assets" for more information on intangible asset impairment charges incurred during the three and six months ended June 30, 2026 and June 30, 2025. </w:t>
      </w:r>
    </w:p>
    <w:p>
      <w:pPr>
        <w:pStyle w:val="TextBody"/>
        <w:bidi w:val="0"/>
        <w:spacing w:lineRule="auto" w:line="288" w:before="120" w:after="120"/>
        <w:jc w:val="left"/>
        <w:rPr>
          <w:rFonts w:ascii="Arial;sans-serif" w:hAnsi="Arial;sans-serif"/>
          <w:b/>
          <w:i/>
          <w:color w:val="000000"/>
          <w:sz w:val="20"/>
          <w:shd w:fill="FFFFFF" w:val="clear"/>
        </w:rPr>
      </w:pPr>
      <w:r>
        <w:rPr>
          <w:rFonts w:ascii="Arial;sans-serif" w:hAnsi="Arial;sans-serif"/>
          <w:b/>
          <w:i/>
          <w:color w:val="000000"/>
          <w:sz w:val="20"/>
          <w:shd w:fill="FFFFFF" w:val="clear"/>
        </w:rPr>
        <w:t>Operating Income, Net Income, and Adjusted EBITDA</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Operating income was $390 million (operating margin of 16.7%) during the second quarter of 2026, an increase of $85 million, or 27.9%, when compared to operating income of $305 million (operating margin of 13.3%) during the prior year. Operating margin increased 340 basis points. Operating margin expansion included 180 basis points of favorable impacts from lower special charges, restructuring and realignment costs, and acquired intangible amortization relative to the prior year period. Additionally, operating margin expansion included 680 basis points of favorable operational impacts consisting mostly of 350 basis points of productivity savings, 240 basis points of price realization and 80 basis points of favorable mix. These favorable impacts were partially offset by 520 basis points of unfavorable operational impacts, driven by 270 basis points of inflation and 160 basis points of decreased volume. Excluding restructuring and realignment costs, acquired intangible asset amortization, and special charges, adjusted operating income was $447 million (adjusted operating margin of 19.1%) for the second quarter of 2026 as compared to adjusted operating income of $402 million (adjusted operating margin of 17.5%) during the comparable quarter in the prior year. </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Net income attributable to Xylem for the second quarter was $263 million (net income margin of 11.3%), an increase of $37 million as compared to net income attributable to Xylem in the prior year of $226 million (net income margin of 9.8%). The increase in net income attributable to Xylem was driven by increased operating income of $85 million and decreased interest expense of $2 million, partially offset by increased income tax expense of $28 million, loss on sale of businesses of $16 million and increased non-operating expense of $6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Adjusted EBITDA was $544 million (adjusted EBITDA margin of 23.3%) during the second quarter of 2026, an increase of $42 million, or 8.4%, when compared to adjusted EBITDA of $502 million (adjusted EBITDA margin of 21.8%) during the comparable quarter in the prior year, an increase to adjusted EBITDA margin of 150 basis points. The increase in adjusted EBITDA margin was primarily driven by the same factors impacting the adjusted operating margin increase.</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Operating income was $634 million (operating margin of 14.2%) during the six months ended June 30, 2026, an increase of $98 million, or 18.3%, when compared to operating income of $536 million (operating margin of 12.3%) during the prior year. Operating margin increased 190 basis points. Operating margin expansion included 80 basis points of favorable impacts from lower special charges, acquired intangible amortization, and restructuring and realignment costs relative to the prior year period. Additionally, operating margin expansion included 600 basis points of favorable operational impacts driven by 390 basis points of productivity savings and 200 basis points of price realization. These favorable impacts were partially offset by 490 basis points of unfavorable operational impacts, driven by of 280 basis points of inflation and 130 basis points of decreased volume. Excluding restructuring and realignment costs, acquired intangible asset amortization, and special charges, adjusted operating income was $789 million (adjusted operating margin of 17.7%) for the six months ended June 30, 2026 as compared to adjusted operating income of $727 million (adjusted operating margin of 16.6%) during the comparable quarter in the prior year, an increase of 110 basis points. </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Net income attributable to Xylem for the six months ended June 30, 2026 was $456 million (net income margin of 10.2%), an increase of $61 million as compared to net income attributable to Xylem in the prior year of $395 million (net income margin of 9.0%). The increase in net income attributable to Xylem was driven by increased operating income of $98 million, decreased interest expense of $6 million and an increase in the net loss attributable to non-controlling interest of $2 million, partially offset by increased income tax expense of $33 million, increased non-operating loss of $10 million and increased loss from sale of businesses of $2 million.</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Adjusted EBITDA was $981 million (adjusted EBITDA margin of 22.0%) during the six months ended June 30, 2026, an increase of $56 million, or 6.1%, when compared to adjusted EBITDA of $925 million (adjusted EBITDA margin of 21.2%) during the comparable quarter in the prior year, an increase to adjusted EBITDA margin of 80 basis points. The increase in adjusted EBITDA margin was primarily driven by the same factors impacting the adjusted operating margin increase.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table below provides a reconciliation of the total and each segment's operating income to adjusted operating income, and a calculation of the corresponding adjusted operating margin:</w:t>
      </w:r>
    </w:p>
    <w:tbl>
      <w:tblPr>
        <w:tblW w:w="10205" w:type="dxa"/>
        <w:jc w:val="left"/>
        <w:tblInd w:w="0" w:type="dxa"/>
        <w:tblLayout w:type="fixed"/>
        <w:tblCellMar>
          <w:top w:w="28" w:type="dxa"/>
          <w:left w:w="28" w:type="dxa"/>
          <w:bottom w:w="28" w:type="dxa"/>
          <w:right w:w="28" w:type="dxa"/>
        </w:tblCellMar>
      </w:tblPr>
      <w:tblGrid>
        <w:gridCol w:w="1037"/>
        <w:gridCol w:w="908"/>
        <w:gridCol w:w="917"/>
        <w:gridCol w:w="196"/>
        <w:gridCol w:w="436"/>
        <w:gridCol w:w="256"/>
        <w:gridCol w:w="109"/>
        <w:gridCol w:w="109"/>
        <w:gridCol w:w="109"/>
        <w:gridCol w:w="196"/>
        <w:gridCol w:w="421"/>
        <w:gridCol w:w="256"/>
        <w:gridCol w:w="109"/>
        <w:gridCol w:w="109"/>
        <w:gridCol w:w="109"/>
        <w:gridCol w:w="306"/>
        <w:gridCol w:w="310"/>
        <w:gridCol w:w="112"/>
        <w:gridCol w:w="112"/>
        <w:gridCol w:w="112"/>
        <w:gridCol w:w="116"/>
        <w:gridCol w:w="109"/>
        <w:gridCol w:w="109"/>
        <w:gridCol w:w="109"/>
        <w:gridCol w:w="196"/>
        <w:gridCol w:w="436"/>
        <w:gridCol w:w="256"/>
        <w:gridCol w:w="109"/>
        <w:gridCol w:w="109"/>
        <w:gridCol w:w="109"/>
        <w:gridCol w:w="196"/>
        <w:gridCol w:w="421"/>
        <w:gridCol w:w="256"/>
        <w:gridCol w:w="109"/>
        <w:gridCol w:w="109"/>
        <w:gridCol w:w="109"/>
        <w:gridCol w:w="307"/>
        <w:gridCol w:w="309"/>
        <w:gridCol w:w="112"/>
        <w:gridCol w:w="112"/>
        <w:gridCol w:w="112"/>
        <w:gridCol w:w="166"/>
      </w:tblGrid>
      <w:tr>
        <w:trPr/>
        <w:tc>
          <w:tcPr>
            <w:tcW w:w="1037"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3"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3"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28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83"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3"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2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Water Infrastructure</w:t>
            </w:r>
          </w:p>
        </w:tc>
        <w:tc>
          <w:tcPr>
            <w:tcW w:w="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233</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margin</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6"/>
              </w:rPr>
              <w:t>23.0</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6"/>
              </w:rPr>
            </w:pPr>
            <w:r>
              <w:rPr>
                <w:rFonts w:ascii="Arial;sans-serif" w:hAnsi="Arial;sans-serif"/>
                <w:b/>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15.8 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720 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bp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6"/>
              </w:rPr>
              <w:t>18.1</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6"/>
              </w:rPr>
            </w:pPr>
            <w:r>
              <w:rPr>
                <w:rFonts w:ascii="Arial;sans-serif" w:hAnsi="Arial;sans-serif"/>
                <w:b/>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14.9 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320 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bp</w:t>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realignment costs</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accounting intangible amortization</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Special charges</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operating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168</w:t>
            </w:r>
            <w:r>
              <w:rPr>
                <w:color w:val="000000"/>
              </w:rPr>
              <w:t>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285</w:t>
            </w:r>
            <w:r>
              <w:rPr>
                <w:color w:val="000000"/>
              </w:rPr>
              <w:t>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operating margin</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6"/>
              </w:rPr>
              <w:t>24.6</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6"/>
              </w:rPr>
            </w:pPr>
            <w:r>
              <w:rPr>
                <w:rFonts w:ascii="Arial;sans-serif" w:hAnsi="Arial;sans-serif"/>
                <w:b/>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19.5 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510 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bp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6"/>
              </w:rPr>
              <w:t>22.2</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6"/>
              </w:rPr>
            </w:pPr>
            <w:r>
              <w:rPr>
                <w:rFonts w:ascii="Arial;sans-serif" w:hAnsi="Arial;sans-serif"/>
                <w:b/>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19.0 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320 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bp </w:t>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Applied Water</w:t>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178</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margin</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6"/>
              </w:rPr>
              <w:t>20.2</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6"/>
              </w:rPr>
            </w:pPr>
            <w:r>
              <w:rPr>
                <w:rFonts w:ascii="Arial;sans-serif" w:hAnsi="Arial;sans-serif"/>
                <w:b/>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17.4 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280 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bp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6"/>
              </w:rPr>
              <w:t>18.8</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6"/>
              </w:rPr>
            </w:pPr>
            <w:r>
              <w:rPr>
                <w:rFonts w:ascii="Arial;sans-serif" w:hAnsi="Arial;sans-serif"/>
                <w:b/>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17.0 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180 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bp</w:t>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realignment costs</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862"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Special charges</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c>
          <w:tcPr>
            <w:tcW w:w="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operating income</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w:t>
            </w:r>
            <w:r>
              <w:rPr>
                <w:color w:val="000000"/>
              </w:rPr>
              <w:t>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177</w:t>
            </w:r>
            <w:r>
              <w:rPr>
                <w:color w:val="000000"/>
              </w:rPr>
              <w:t>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operating margin</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6"/>
              </w:rPr>
              <w:t>19.6</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6"/>
              </w:rPr>
            </w:pPr>
            <w:r>
              <w:rPr>
                <w:rFonts w:ascii="Arial;sans-serif" w:hAnsi="Arial;sans-serif"/>
                <w:b/>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19.5 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bp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6"/>
              </w:rPr>
              <w:t>18.7</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6"/>
              </w:rPr>
            </w:pPr>
            <w:r>
              <w:rPr>
                <w:rFonts w:ascii="Arial;sans-serif" w:hAnsi="Arial;sans-serif"/>
                <w:b/>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18.6 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bp</w:t>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Measurement and Control Solutions</w:t>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Operating income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margin</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6"/>
              </w:rPr>
              <w:t>12.4</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6"/>
              </w:rPr>
            </w:pPr>
            <w:r>
              <w:rPr>
                <w:rFonts w:ascii="Arial;sans-serif" w:hAnsi="Arial;sans-serif"/>
                <w:b/>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12.6 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(20)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bp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6"/>
              </w:rPr>
              <w:t>11.8</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6"/>
              </w:rPr>
            </w:pPr>
            <w:r>
              <w:rPr>
                <w:rFonts w:ascii="Arial;sans-serif" w:hAnsi="Arial;sans-serif"/>
                <w:b/>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12.0 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(20)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bp</w:t>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realignment costs</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accounting intangible amortization</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Special charges</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operating income</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w:t>
            </w:r>
            <w:r>
              <w:rPr>
                <w:color w:val="000000"/>
              </w:rPr>
              <w:t>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166</w:t>
            </w:r>
            <w:r>
              <w:rPr>
                <w:color w:val="000000"/>
              </w:rPr>
              <w:t>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operating margin</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6"/>
              </w:rPr>
              <w:t>16.3</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6"/>
              </w:rPr>
            </w:pPr>
            <w:r>
              <w:rPr>
                <w:rFonts w:ascii="Arial;sans-serif" w:hAnsi="Arial;sans-serif"/>
                <w:b/>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18.1 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(180)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bp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6"/>
              </w:rPr>
              <w:t>16.3</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6"/>
              </w:rPr>
            </w:pPr>
            <w:r>
              <w:rPr>
                <w:rFonts w:ascii="Arial;sans-serif" w:hAnsi="Arial;sans-serif"/>
                <w:b/>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17.5 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(120)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bp</w:t>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Water Solutions and Services </w:t>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147</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margin</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6"/>
              </w:rPr>
              <w:t>14.1</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6"/>
              </w:rPr>
            </w:pPr>
            <w:r>
              <w:rPr>
                <w:rFonts w:ascii="Arial;sans-serif" w:hAnsi="Arial;sans-serif"/>
                <w:b/>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12.4 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170 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bp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6"/>
              </w:rPr>
              <w:t>12.1</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6"/>
              </w:rPr>
            </w:pPr>
            <w:r>
              <w:rPr>
                <w:rFonts w:ascii="Arial;sans-serif" w:hAnsi="Arial;sans-serif"/>
                <w:b/>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10.2 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190 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bp</w:t>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realignment costs</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accounting intangible amortization</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Special charges</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operating income</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w:t>
            </w:r>
            <w:r>
              <w:rPr>
                <w:color w:val="000000"/>
              </w:rPr>
              <w:t>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203</w:t>
            </w:r>
            <w:r>
              <w:rPr>
                <w:color w:val="000000"/>
              </w:rPr>
              <w:t>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operating margin</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6"/>
              </w:rPr>
              <w:t>18.6</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6"/>
              </w:rPr>
            </w:pPr>
            <w:r>
              <w:rPr>
                <w:rFonts w:ascii="Arial;sans-serif" w:hAnsi="Arial;sans-serif"/>
                <w:b/>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16.9 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170 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6"/>
              </w:rPr>
              <w:t>16.8</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6"/>
              </w:rPr>
            </w:pPr>
            <w:r>
              <w:rPr>
                <w:rFonts w:ascii="Arial;sans-serif" w:hAnsi="Arial;sans-serif"/>
                <w:b/>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15.4 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140 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bp</w:t>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Corporate and other</w:t>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862"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accounting intangible amortization</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Special charges</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operating loss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(42)</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Xylem</w:t>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390</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634</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margin</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6"/>
              </w:rPr>
              <w:t>16.7</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6"/>
              </w:rPr>
            </w:pPr>
            <w:r>
              <w:rPr>
                <w:rFonts w:ascii="Arial;sans-serif" w:hAnsi="Arial;sans-serif"/>
                <w:b/>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13.3 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340 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bp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6"/>
              </w:rPr>
              <w:t>14.2</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6"/>
              </w:rPr>
            </w:pPr>
            <w:r>
              <w:rPr>
                <w:rFonts w:ascii="Arial;sans-serif" w:hAnsi="Arial;sans-serif"/>
                <w:b/>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12.3 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190 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bp </w:t>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realignment costs</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accounting intangible amortization</w:t>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Special charges</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operating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447</w:t>
            </w:r>
            <w:r>
              <w:rPr>
                <w:color w:val="000000"/>
              </w:rPr>
              <w:t>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789</w:t>
            </w:r>
            <w:r>
              <w:rPr>
                <w:color w:val="000000"/>
              </w:rPr>
              <w:t>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2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operating margin</w:t>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6"/>
              </w:rPr>
              <w:t>19.1</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6"/>
              </w:rPr>
            </w:pPr>
            <w:r>
              <w:rPr>
                <w:rFonts w:ascii="Arial;sans-serif" w:hAnsi="Arial;sans-serif"/>
                <w:b/>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17.5 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bp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6"/>
              </w:rPr>
              <w:t>17.7</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6"/>
              </w:rPr>
            </w:pPr>
            <w:r>
              <w:rPr>
                <w:rFonts w:ascii="Arial;sans-serif" w:hAnsi="Arial;sans-serif"/>
                <w:b/>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16.6 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6"/>
              </w:rPr>
            </w:pPr>
            <w:r>
              <w:rPr>
                <w:rFonts w:ascii="Arial;sans-serif" w:hAnsi="Arial;sans-serif"/>
                <w:b w:val="false"/>
                <w:i/>
                <w:color w:val="000000"/>
                <w:sz w:val="16"/>
              </w:rPr>
              <w:t>110 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bp</w:t>
            </w:r>
          </w:p>
        </w:tc>
      </w:tr>
    </w:tbl>
    <w:p>
      <w:pPr>
        <w:pStyle w:val="TextBody"/>
        <w:bidi w:val="0"/>
        <w:spacing w:lineRule="auto" w:line="288" w:before="120" w:after="12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NM - Not meaningful percentage 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table below provides a reconciliation of net income to consolidated EBITDA and adjusted EBITDA: </w:t>
      </w:r>
    </w:p>
    <w:tbl>
      <w:tblPr>
        <w:tblW w:w="10205" w:type="dxa"/>
        <w:jc w:val="left"/>
        <w:tblInd w:w="0" w:type="dxa"/>
        <w:tblLayout w:type="fixed"/>
        <w:tblCellMar>
          <w:top w:w="28" w:type="dxa"/>
          <w:left w:w="28" w:type="dxa"/>
          <w:bottom w:w="28" w:type="dxa"/>
          <w:right w:w="28" w:type="dxa"/>
        </w:tblCellMar>
      </w:tblPr>
      <w:tblGrid>
        <w:gridCol w:w="1001"/>
        <w:gridCol w:w="778"/>
        <w:gridCol w:w="789"/>
        <w:gridCol w:w="211"/>
        <w:gridCol w:w="481"/>
        <w:gridCol w:w="286"/>
        <w:gridCol w:w="109"/>
        <w:gridCol w:w="109"/>
        <w:gridCol w:w="109"/>
        <w:gridCol w:w="211"/>
        <w:gridCol w:w="481"/>
        <w:gridCol w:w="286"/>
        <w:gridCol w:w="109"/>
        <w:gridCol w:w="109"/>
        <w:gridCol w:w="109"/>
        <w:gridCol w:w="253"/>
        <w:gridCol w:w="255"/>
        <w:gridCol w:w="127"/>
        <w:gridCol w:w="127"/>
        <w:gridCol w:w="127"/>
        <w:gridCol w:w="131"/>
        <w:gridCol w:w="109"/>
        <w:gridCol w:w="109"/>
        <w:gridCol w:w="109"/>
        <w:gridCol w:w="211"/>
        <w:gridCol w:w="481"/>
        <w:gridCol w:w="286"/>
        <w:gridCol w:w="109"/>
        <w:gridCol w:w="109"/>
        <w:gridCol w:w="109"/>
        <w:gridCol w:w="211"/>
        <w:gridCol w:w="481"/>
        <w:gridCol w:w="286"/>
        <w:gridCol w:w="109"/>
        <w:gridCol w:w="109"/>
        <w:gridCol w:w="109"/>
        <w:gridCol w:w="253"/>
        <w:gridCol w:w="255"/>
        <w:gridCol w:w="126"/>
        <w:gridCol w:w="126"/>
        <w:gridCol w:w="126"/>
        <w:gridCol w:w="184"/>
      </w:tblGrid>
      <w:tr>
        <w:trPr/>
        <w:tc>
          <w:tcPr>
            <w:tcW w:w="100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2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2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Change</w:t>
            </w:r>
          </w:p>
        </w:tc>
      </w:tr>
      <w:tr>
        <w:trPr/>
        <w:tc>
          <w:tcPr>
            <w:tcW w:w="2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attributable to Xylem</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margin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bp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bp</w:t>
            </w:r>
          </w:p>
        </w:tc>
      </w:tr>
      <w:tr>
        <w:trPr/>
        <w:tc>
          <w:tcPr>
            <w:tcW w:w="2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(income),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EBITDA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508</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892</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&amp; realignment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Special charges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sale of businesses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attributable to non-controlling interests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544</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981</w:t>
            </w:r>
            <w:r>
              <w:rPr>
                <w:color w:val="00000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925 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 margin</w:t>
            </w:r>
          </w:p>
        </w:tc>
        <w:tc>
          <w:tcPr>
            <w:tcW w:w="692"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23.3</w:t>
            </w:r>
            <w:r>
              <w:rPr>
                <w:color w:val="000000"/>
              </w:rPr>
              <w:t> </w:t>
            </w:r>
          </w:p>
        </w:tc>
        <w:tc>
          <w:tcPr>
            <w:tcW w:w="28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21.8 </w:t>
            </w:r>
          </w:p>
        </w:tc>
        <w:tc>
          <w:tcPr>
            <w:tcW w:w="28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bp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22.0</w:t>
            </w:r>
            <w:r>
              <w:rPr>
                <w:color w:val="000000"/>
              </w:rPr>
              <w:t> </w:t>
            </w:r>
          </w:p>
        </w:tc>
        <w:tc>
          <w:tcPr>
            <w:tcW w:w="28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28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bp</w:t>
            </w:r>
          </w:p>
        </w:tc>
      </w:tr>
    </w:tbl>
    <w:p>
      <w:pPr>
        <w:pStyle w:val="TextBody"/>
        <w:bidi w:val="0"/>
        <w:spacing w:before="20" w:after="120"/>
        <w:ind w:left="0" w:right="0" w:firstLine="180"/>
        <w:jc w:val="left"/>
        <w:rPr/>
      </w:pPr>
      <w:r>
        <w:rPr/>
      </w:r>
    </w:p>
    <w:p>
      <w:pPr>
        <w:pStyle w:val="TextBody"/>
        <w:bidi w:val="0"/>
        <w:spacing w:lineRule="auto" w:line="288" w:before="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tables below provide a reconciliation of each segment's operating income (loss) to EBITDA and adjusted EBITDA: </w:t>
      </w:r>
    </w:p>
    <w:tbl>
      <w:tblPr>
        <w:tblW w:w="10205" w:type="dxa"/>
        <w:jc w:val="left"/>
        <w:tblInd w:w="0" w:type="dxa"/>
        <w:tblLayout w:type="fixed"/>
        <w:tblCellMar>
          <w:top w:w="28" w:type="dxa"/>
          <w:left w:w="28" w:type="dxa"/>
          <w:bottom w:w="28" w:type="dxa"/>
          <w:right w:w="28" w:type="dxa"/>
        </w:tblCellMar>
      </w:tblPr>
      <w:tblGrid>
        <w:gridCol w:w="959"/>
        <w:gridCol w:w="798"/>
        <w:gridCol w:w="725"/>
        <w:gridCol w:w="109"/>
        <w:gridCol w:w="109"/>
        <w:gridCol w:w="109"/>
        <w:gridCol w:w="332"/>
        <w:gridCol w:w="759"/>
        <w:gridCol w:w="430"/>
        <w:gridCol w:w="109"/>
        <w:gridCol w:w="109"/>
        <w:gridCol w:w="109"/>
        <w:gridCol w:w="242"/>
        <w:gridCol w:w="552"/>
        <w:gridCol w:w="311"/>
        <w:gridCol w:w="109"/>
        <w:gridCol w:w="109"/>
        <w:gridCol w:w="109"/>
        <w:gridCol w:w="453"/>
        <w:gridCol w:w="1036"/>
        <w:gridCol w:w="587"/>
        <w:gridCol w:w="109"/>
        <w:gridCol w:w="109"/>
        <w:gridCol w:w="109"/>
        <w:gridCol w:w="357"/>
        <w:gridCol w:w="813"/>
        <w:gridCol w:w="543"/>
      </w:tblGrid>
      <w:tr>
        <w:trPr/>
        <w:tc>
          <w:tcPr>
            <w:tcW w:w="95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Three Months Ended </w:t>
            </w:r>
          </w:p>
        </w:tc>
      </w:tr>
      <w:tr>
        <w:trPr/>
        <w:tc>
          <w:tcPr>
            <w:tcW w:w="2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r>
      <w:tr>
        <w:trPr/>
        <w:tc>
          <w:tcPr>
            <w:tcW w:w="2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Water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Applied Water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Measurement and Control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Water Solutions and Services</w:t>
            </w:r>
          </w:p>
        </w:tc>
      </w:tr>
      <w:tr>
        <w:trPr/>
        <w:tc>
          <w:tcPr>
            <w:tcW w:w="2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157</w:t>
            </w:r>
            <w:r>
              <w:rPr>
                <w:color w:val="000000"/>
              </w:rPr>
              <w:t> </w:t>
            </w:r>
          </w:p>
        </w:tc>
        <w:tc>
          <w:tcPr>
            <w:tcW w:w="4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101</w:t>
            </w:r>
            <w:r>
              <w:rPr>
                <w:color w:val="000000"/>
              </w:rPr>
              <w:t>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63</w:t>
            </w:r>
            <w:r>
              <w:rPr>
                <w:color w:val="000000"/>
              </w:rPr>
              <w:t> </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91</w:t>
            </w:r>
            <w:r>
              <w:rPr>
                <w:color w:val="000000"/>
              </w:rPr>
              <w:t> </w:t>
            </w:r>
          </w:p>
        </w:tc>
        <w:tc>
          <w:tcPr>
            <w:tcW w:w="5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23.0</w:t>
            </w:r>
            <w:r>
              <w:rPr>
                <w:color w:val="000000"/>
              </w:rPr>
              <w:t> </w:t>
            </w:r>
          </w:p>
        </w:tc>
        <w:tc>
          <w:tcPr>
            <w:tcW w:w="4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20.2</w:t>
            </w:r>
            <w:r>
              <w:rPr>
                <w:color w:val="000000"/>
              </w:rPr>
              <w:t> </w:t>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12.4</w:t>
            </w:r>
            <w:r>
              <w:rPr>
                <w:color w:val="000000"/>
              </w:rPr>
              <w:t> </w:t>
            </w:r>
          </w:p>
        </w:tc>
        <w:tc>
          <w:tcPr>
            <w:tcW w:w="5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14.1</w:t>
            </w:r>
            <w:r>
              <w:rPr>
                <w:color w:val="000000"/>
              </w:rPr>
              <w:t> </w:t>
            </w:r>
          </w:p>
        </w:tc>
        <w:tc>
          <w:tcPr>
            <w:tcW w:w="5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r>
        <w:trPr/>
        <w:tc>
          <w:tcPr>
            <w:tcW w:w="2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w:t>
            </w:r>
            <w:r>
              <w:rPr>
                <w:color w:val="000000"/>
              </w:rPr>
              <w:t> </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sale of businesses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w:t>
            </w:r>
            <w:r>
              <w:rPr>
                <w:color w:val="000000"/>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(18)</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w:t>
            </w:r>
            <w:r>
              <w:rPr>
                <w:color w:val="000000"/>
              </w:rPr>
              <w:t>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w:t>
            </w: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w:t>
            </w:r>
            <w:r>
              <w:rPr>
                <w:color w:val="000000"/>
              </w:rPr>
              <w:t> </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39</w:t>
            </w:r>
            <w:r>
              <w:rPr>
                <w:color w:val="000000"/>
              </w:rPr>
              <w:t>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w:t>
            </w:r>
            <w:r>
              <w:rPr>
                <w:color w:val="000000"/>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w:t>
            </w: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w:t>
            </w:r>
            <w:r>
              <w:rPr>
                <w:color w:val="000000"/>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w:t>
            </w:r>
            <w:r>
              <w:rPr>
                <w:color w:val="000000"/>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non-operating expense, excluding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175</w:t>
            </w:r>
            <w:r>
              <w:rPr>
                <w:color w:val="000000"/>
              </w:rPr>
              <w:t> </w:t>
            </w:r>
          </w:p>
        </w:tc>
        <w:tc>
          <w:tcPr>
            <w:tcW w:w="4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108</w:t>
            </w:r>
            <w:r>
              <w:rPr>
                <w:color w:val="000000"/>
              </w:rPr>
              <w:t> </w:t>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88</w:t>
            </w:r>
            <w:r>
              <w:rPr>
                <w:color w:val="000000"/>
              </w:rPr>
              <w:t> </w:t>
            </w:r>
          </w:p>
        </w:tc>
        <w:tc>
          <w:tcPr>
            <w:tcW w:w="5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157</w:t>
            </w:r>
            <w:r>
              <w:rPr>
                <w:color w:val="000000"/>
              </w:rPr>
              <w:t> </w:t>
            </w:r>
          </w:p>
        </w:tc>
        <w:tc>
          <w:tcPr>
            <w:tcW w:w="5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w:t>
            </w:r>
            <w:r>
              <w:rPr>
                <w:color w:val="000000"/>
              </w:rPr>
              <w:t> </w:t>
            </w:r>
          </w:p>
        </w:tc>
        <w:tc>
          <w:tcPr>
            <w:tcW w:w="4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w:t>
            </w:r>
            <w:r>
              <w:rPr>
                <w:color w:val="000000"/>
              </w:rPr>
              <w:t>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w:t>
            </w:r>
            <w:r>
              <w:rPr>
                <w:color w:val="000000"/>
              </w:rPr>
              <w:t> </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w:t>
            </w:r>
            <w:r>
              <w:rPr>
                <w:color w:val="000000"/>
              </w:rPr>
              <w:t> </w:t>
            </w:r>
          </w:p>
        </w:tc>
        <w:tc>
          <w:tcPr>
            <w:tcW w:w="5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&amp; realignment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w:t>
            </w:r>
            <w:r>
              <w:rPr>
                <w:color w:val="000000"/>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w:t>
            </w: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w:t>
            </w:r>
            <w:r>
              <w:rPr>
                <w:color w:val="000000"/>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w:t>
            </w:r>
            <w:r>
              <w:rPr>
                <w:color w:val="000000"/>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w:t>
            </w:r>
            <w:r>
              <w:rPr>
                <w:color w:val="000000"/>
              </w:rPr>
              <w:t>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w:t>
            </w:r>
            <w:r>
              <w:rPr>
                <w:color w:val="000000"/>
              </w:rPr>
              <w:t>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sale of businesses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w:t>
            </w:r>
            <w:r>
              <w:rPr>
                <w:color w:val="000000"/>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182</w:t>
            </w:r>
            <w:r>
              <w:rPr>
                <w:color w:val="000000"/>
              </w:rPr>
              <w:t> </w:t>
            </w:r>
          </w:p>
        </w:tc>
        <w:tc>
          <w:tcPr>
            <w:tcW w:w="4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106</w:t>
            </w:r>
            <w:r>
              <w:rPr>
                <w:color w:val="000000"/>
              </w:rPr>
              <w:t> </w:t>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107</w:t>
            </w:r>
            <w:r>
              <w:rPr>
                <w:color w:val="000000"/>
              </w:rPr>
              <w:t> </w:t>
            </w:r>
          </w:p>
        </w:tc>
        <w:tc>
          <w:tcPr>
            <w:tcW w:w="5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163</w:t>
            </w:r>
            <w:r>
              <w:rPr>
                <w:color w:val="000000"/>
              </w:rPr>
              <w:t> </w:t>
            </w:r>
          </w:p>
        </w:tc>
        <w:tc>
          <w:tcPr>
            <w:tcW w:w="5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26.6</w:t>
            </w:r>
            <w:r>
              <w:rPr>
                <w:color w:val="000000"/>
              </w:rPr>
              <w:t> </w:t>
            </w:r>
          </w:p>
        </w:tc>
        <w:tc>
          <w:tcPr>
            <w:tcW w:w="43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21.2</w:t>
            </w:r>
            <w:r>
              <w:rPr>
                <w:color w:val="000000"/>
              </w:rPr>
              <w:t> </w:t>
            </w:r>
          </w:p>
        </w:tc>
        <w:tc>
          <w:tcPr>
            <w:tcW w:w="3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21.1</w:t>
            </w:r>
            <w:r>
              <w:rPr>
                <w:color w:val="000000"/>
              </w:rPr>
              <w:t> </w:t>
            </w:r>
          </w:p>
        </w:tc>
        <w:tc>
          <w:tcPr>
            <w:tcW w:w="58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25.3</w:t>
            </w:r>
            <w:r>
              <w:rPr>
                <w:color w:val="000000"/>
              </w:rPr>
              <w:t> </w:t>
            </w:r>
          </w:p>
        </w:tc>
        <w:tc>
          <w:tcPr>
            <w:tcW w:w="54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59"/>
        <w:gridCol w:w="798"/>
        <w:gridCol w:w="726"/>
        <w:gridCol w:w="109"/>
        <w:gridCol w:w="109"/>
        <w:gridCol w:w="109"/>
        <w:gridCol w:w="332"/>
        <w:gridCol w:w="759"/>
        <w:gridCol w:w="430"/>
        <w:gridCol w:w="109"/>
        <w:gridCol w:w="109"/>
        <w:gridCol w:w="109"/>
        <w:gridCol w:w="242"/>
        <w:gridCol w:w="552"/>
        <w:gridCol w:w="311"/>
        <w:gridCol w:w="109"/>
        <w:gridCol w:w="109"/>
        <w:gridCol w:w="109"/>
        <w:gridCol w:w="453"/>
        <w:gridCol w:w="1036"/>
        <w:gridCol w:w="587"/>
        <w:gridCol w:w="109"/>
        <w:gridCol w:w="109"/>
        <w:gridCol w:w="109"/>
        <w:gridCol w:w="357"/>
        <w:gridCol w:w="813"/>
        <w:gridCol w:w="542"/>
      </w:tblGrid>
      <w:tr>
        <w:trPr/>
        <w:tc>
          <w:tcPr>
            <w:tcW w:w="95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2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Three Months Ended </w:t>
            </w:r>
          </w:p>
        </w:tc>
      </w:tr>
      <w:tr>
        <w:trPr/>
        <w:tc>
          <w:tcPr>
            <w:tcW w:w="2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r>
      <w:tr>
        <w:trPr/>
        <w:tc>
          <w:tcPr>
            <w:tcW w:w="2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Water Infrastructure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Applied Water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Measurement and Control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Water Solutions and Services</w:t>
            </w:r>
          </w:p>
        </w:tc>
      </w:tr>
      <w:tr>
        <w:trPr/>
        <w:tc>
          <w:tcPr>
            <w:tcW w:w="2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103</w:t>
            </w:r>
            <w:r>
              <w:rPr>
                <w:color w:val="000000"/>
              </w:rPr>
              <w:t> </w:t>
            </w:r>
          </w:p>
        </w:tc>
        <w:tc>
          <w:tcPr>
            <w:tcW w:w="4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84</w:t>
            </w:r>
            <w:r>
              <w:rPr>
                <w:color w:val="000000"/>
              </w:rPr>
              <w:t>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68</w:t>
            </w:r>
            <w:r>
              <w:rPr>
                <w:color w:val="000000"/>
              </w:rPr>
              <w:t> </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78</w:t>
            </w:r>
            <w:r>
              <w:rPr>
                <w:color w:val="000000"/>
              </w:rPr>
              <w:t> </w:t>
            </w:r>
          </w:p>
        </w:tc>
        <w:tc>
          <w:tcPr>
            <w:tcW w:w="5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15.8</w:t>
            </w:r>
            <w:r>
              <w:rPr>
                <w:color w:val="000000"/>
              </w:rPr>
              <w:t> </w:t>
            </w:r>
          </w:p>
        </w:tc>
        <w:tc>
          <w:tcPr>
            <w:tcW w:w="4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17.4</w:t>
            </w:r>
            <w:r>
              <w:rPr>
                <w:color w:val="000000"/>
              </w:rPr>
              <w:t> </w:t>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12.6</w:t>
            </w:r>
            <w:r>
              <w:rPr>
                <w:color w:val="000000"/>
              </w:rPr>
              <w:t> </w:t>
            </w:r>
          </w:p>
        </w:tc>
        <w:tc>
          <w:tcPr>
            <w:tcW w:w="5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12.4</w:t>
            </w:r>
            <w:r>
              <w:rPr>
                <w:color w:val="000000"/>
              </w:rPr>
              <w:t> </w:t>
            </w:r>
          </w:p>
        </w:tc>
        <w:tc>
          <w:tcPr>
            <w:tcW w:w="5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r>
        <w:trPr/>
        <w:tc>
          <w:tcPr>
            <w:tcW w:w="2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r>
      <w:tr>
        <w:trPr/>
        <w:tc>
          <w:tcPr>
            <w:tcW w:w="2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non-operating expense, excluding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125</w:t>
            </w:r>
            <w:r>
              <w:rPr>
                <w:color w:val="000000"/>
              </w:rPr>
              <w:t> </w:t>
            </w:r>
          </w:p>
        </w:tc>
        <w:tc>
          <w:tcPr>
            <w:tcW w:w="4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94</w:t>
            </w:r>
            <w:r>
              <w:rPr>
                <w:color w:val="000000"/>
              </w:rPr>
              <w:t>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115</w:t>
            </w:r>
            <w:r>
              <w:rPr>
                <w:color w:val="000000"/>
              </w:rPr>
              <w:t> </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148</w:t>
            </w:r>
            <w:r>
              <w:rPr>
                <w:color w:val="000000"/>
              </w:rPr>
              <w:t> </w:t>
            </w:r>
          </w:p>
        </w:tc>
        <w:tc>
          <w:tcPr>
            <w:tcW w:w="5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4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5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5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&amp; realignment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2" w:type="dxa"/>
            <w:gridSpan w:val="3"/>
            <w:tcBorders/>
            <w:vAlign w:val="center"/>
          </w:tcPr>
          <w:p>
            <w:pPr>
              <w:pStyle w:val="TableContents"/>
              <w:bidi w:val="0"/>
              <w:spacing w:before="0" w:after="283"/>
              <w:jc w:val="left"/>
              <w:rPr>
                <w:sz w:val="4"/>
                <w:szCs w:val="4"/>
              </w:rPr>
            </w:pPr>
            <w:r>
              <w:rPr>
                <w:sz w:val="4"/>
                <w:szCs w:val="4"/>
              </w:rPr>
            </w:r>
          </w:p>
        </w:tc>
      </w:tr>
      <w:tr>
        <w:trPr/>
        <w:tc>
          <w:tcPr>
            <w:tcW w:w="2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142</w:t>
            </w:r>
            <w:r>
              <w:rPr>
                <w:color w:val="000000"/>
              </w:rPr>
              <w:t> </w:t>
            </w:r>
          </w:p>
        </w:tc>
        <w:tc>
          <w:tcPr>
            <w:tcW w:w="4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105</w:t>
            </w:r>
            <w:r>
              <w:rPr>
                <w:color w:val="000000"/>
              </w:rPr>
              <w:t> </w:t>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125</w:t>
            </w:r>
            <w:r>
              <w:rPr>
                <w:color w:val="000000"/>
              </w:rPr>
              <w:t> </w:t>
            </w:r>
          </w:p>
        </w:tc>
        <w:tc>
          <w:tcPr>
            <w:tcW w:w="5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153</w:t>
            </w:r>
            <w:r>
              <w:rPr>
                <w:color w:val="000000"/>
              </w:rPr>
              <w:t> </w:t>
            </w:r>
          </w:p>
        </w:tc>
        <w:tc>
          <w:tcPr>
            <w:tcW w:w="5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21.8</w:t>
            </w:r>
            <w:r>
              <w:rPr>
                <w:color w:val="000000"/>
              </w:rPr>
              <w:t> </w:t>
            </w:r>
          </w:p>
        </w:tc>
        <w:tc>
          <w:tcPr>
            <w:tcW w:w="43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21.7</w:t>
            </w:r>
            <w:r>
              <w:rPr>
                <w:color w:val="000000"/>
              </w:rPr>
              <w:t> </w:t>
            </w:r>
          </w:p>
        </w:tc>
        <w:tc>
          <w:tcPr>
            <w:tcW w:w="3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23.1</w:t>
            </w:r>
            <w:r>
              <w:rPr>
                <w:color w:val="000000"/>
              </w:rPr>
              <w:t> </w:t>
            </w:r>
          </w:p>
        </w:tc>
        <w:tc>
          <w:tcPr>
            <w:tcW w:w="58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24.4</w:t>
            </w:r>
            <w:r>
              <w:rPr>
                <w:color w:val="000000"/>
              </w:rPr>
              <w:t> </w:t>
            </w:r>
          </w:p>
        </w:tc>
        <w:tc>
          <w:tcPr>
            <w:tcW w:w="54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r>
    </w:tbl>
    <w:tbl>
      <w:tblPr>
        <w:tblW w:w="10205" w:type="dxa"/>
        <w:jc w:val="left"/>
        <w:tblInd w:w="0" w:type="dxa"/>
        <w:tblLayout w:type="fixed"/>
        <w:tblCellMar>
          <w:top w:w="28" w:type="dxa"/>
          <w:left w:w="28" w:type="dxa"/>
          <w:bottom w:w="28" w:type="dxa"/>
          <w:right w:w="28" w:type="dxa"/>
        </w:tblCellMar>
      </w:tblPr>
      <w:tblGrid>
        <w:gridCol w:w="1059"/>
        <w:gridCol w:w="734"/>
        <w:gridCol w:w="747"/>
        <w:gridCol w:w="109"/>
        <w:gridCol w:w="109"/>
        <w:gridCol w:w="109"/>
        <w:gridCol w:w="465"/>
        <w:gridCol w:w="828"/>
        <w:gridCol w:w="241"/>
        <w:gridCol w:w="109"/>
        <w:gridCol w:w="109"/>
        <w:gridCol w:w="109"/>
        <w:gridCol w:w="300"/>
        <w:gridCol w:w="536"/>
        <w:gridCol w:w="157"/>
        <w:gridCol w:w="109"/>
        <w:gridCol w:w="109"/>
        <w:gridCol w:w="109"/>
        <w:gridCol w:w="641"/>
        <w:gridCol w:w="1143"/>
        <w:gridCol w:w="332"/>
        <w:gridCol w:w="109"/>
        <w:gridCol w:w="109"/>
        <w:gridCol w:w="109"/>
        <w:gridCol w:w="485"/>
        <w:gridCol w:w="866"/>
        <w:gridCol w:w="363"/>
      </w:tblGrid>
      <w:tr>
        <w:trPr/>
        <w:tc>
          <w:tcPr>
            <w:tcW w:w="105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8"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8" w:type="dxa"/>
            <w:gridSpan w:val="21"/>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2026 versus 2025</w:t>
            </w:r>
          </w:p>
        </w:tc>
      </w:tr>
      <w:tr>
        <w:trPr/>
        <w:tc>
          <w:tcPr>
            <w:tcW w:w="2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Water Infrastructure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Applied Water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Measurement and Control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Water Solutions and Services</w:t>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54</w:t>
            </w:r>
            <w:r>
              <w:rPr>
                <w:color w:val="000000"/>
              </w:rPr>
              <w:t>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w:t>
            </w: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w:t>
            </w:r>
            <w:r>
              <w:rPr>
                <w:color w:val="000000"/>
              </w:rPr>
              <w:t> </w:t>
            </w:r>
          </w:p>
        </w:tc>
        <w:tc>
          <w:tcPr>
            <w:tcW w:w="3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720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280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170 bps</w:t>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sale of businesses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non-operating expense, excluding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50</w:t>
            </w:r>
            <w:r>
              <w:rPr>
                <w:color w:val="000000"/>
              </w:rPr>
              <w:t>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w:t>
            </w:r>
            <w:r>
              <w:rPr>
                <w:color w:val="000000"/>
              </w:rPr>
              <w:t>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(27)</w:t>
            </w:r>
          </w:p>
        </w:tc>
        <w:tc>
          <w:tcPr>
            <w:tcW w:w="3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w:t>
            </w:r>
            <w:r>
              <w:rPr>
                <w:color w:val="000000"/>
              </w:rPr>
              <w:t> </w:t>
            </w:r>
          </w:p>
        </w:tc>
        <w:tc>
          <w:tcPr>
            <w:tcW w:w="3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3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&amp; realignment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from sale of businesses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w:t>
            </w:r>
            <w:r>
              <w:rPr>
                <w:color w:val="000000"/>
              </w:rPr>
              <w:t>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w:t>
            </w:r>
            <w:r>
              <w:rPr>
                <w:color w:val="000000"/>
              </w:rPr>
              <w:t>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(18)</w:t>
            </w:r>
          </w:p>
        </w:tc>
        <w:tc>
          <w:tcPr>
            <w:tcW w:w="3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w:t>
            </w:r>
            <w:r>
              <w:rPr>
                <w:color w:val="000000"/>
              </w:rPr>
              <w:t> </w:t>
            </w:r>
          </w:p>
        </w:tc>
        <w:tc>
          <w:tcPr>
            <w:tcW w:w="3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480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90 bps</w:t>
            </w:r>
          </w:p>
        </w:tc>
      </w:tr>
    </w:tbl>
    <w:p>
      <w:pPr>
        <w:pStyle w:val="TextBody"/>
        <w:bidi w:val="0"/>
        <w:spacing w:before="20" w:after="120"/>
        <w:ind w:left="0" w:right="0" w:firstLine="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59"/>
        <w:gridCol w:w="798"/>
        <w:gridCol w:w="725"/>
        <w:gridCol w:w="109"/>
        <w:gridCol w:w="109"/>
        <w:gridCol w:w="109"/>
        <w:gridCol w:w="332"/>
        <w:gridCol w:w="759"/>
        <w:gridCol w:w="430"/>
        <w:gridCol w:w="109"/>
        <w:gridCol w:w="109"/>
        <w:gridCol w:w="109"/>
        <w:gridCol w:w="242"/>
        <w:gridCol w:w="552"/>
        <w:gridCol w:w="311"/>
        <w:gridCol w:w="109"/>
        <w:gridCol w:w="109"/>
        <w:gridCol w:w="109"/>
        <w:gridCol w:w="453"/>
        <w:gridCol w:w="1036"/>
        <w:gridCol w:w="587"/>
        <w:gridCol w:w="109"/>
        <w:gridCol w:w="109"/>
        <w:gridCol w:w="109"/>
        <w:gridCol w:w="357"/>
        <w:gridCol w:w="813"/>
        <w:gridCol w:w="543"/>
      </w:tblGrid>
      <w:tr>
        <w:trPr/>
        <w:tc>
          <w:tcPr>
            <w:tcW w:w="95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2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2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r>
      <w:tr>
        <w:trPr/>
        <w:tc>
          <w:tcPr>
            <w:tcW w:w="24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Water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Applied Water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Measurement and Control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Water Solutions and Services</w:t>
            </w:r>
          </w:p>
        </w:tc>
      </w:tr>
      <w:tr>
        <w:trPr/>
        <w:tc>
          <w:tcPr>
            <w:tcW w:w="2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233</w:t>
            </w:r>
            <w:r>
              <w:rPr>
                <w:color w:val="000000"/>
              </w:rPr>
              <w:t> </w:t>
            </w:r>
          </w:p>
        </w:tc>
        <w:tc>
          <w:tcPr>
            <w:tcW w:w="4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178</w:t>
            </w:r>
            <w:r>
              <w:rPr>
                <w:color w:val="000000"/>
              </w:rPr>
              <w:t>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120</w:t>
            </w:r>
            <w:r>
              <w:rPr>
                <w:color w:val="000000"/>
              </w:rPr>
              <w:t> </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147</w:t>
            </w:r>
            <w:r>
              <w:rPr>
                <w:color w:val="000000"/>
              </w:rPr>
              <w:t> </w:t>
            </w:r>
          </w:p>
        </w:tc>
        <w:tc>
          <w:tcPr>
            <w:tcW w:w="5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18.1</w:t>
            </w:r>
            <w:r>
              <w:rPr>
                <w:color w:val="000000"/>
              </w:rPr>
              <w:t> </w:t>
            </w:r>
          </w:p>
        </w:tc>
        <w:tc>
          <w:tcPr>
            <w:tcW w:w="4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18.8</w:t>
            </w:r>
            <w:r>
              <w:rPr>
                <w:color w:val="000000"/>
              </w:rPr>
              <w:t> </w:t>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11.8</w:t>
            </w:r>
            <w:r>
              <w:rPr>
                <w:color w:val="000000"/>
              </w:rPr>
              <w:t> </w:t>
            </w:r>
          </w:p>
        </w:tc>
        <w:tc>
          <w:tcPr>
            <w:tcW w:w="5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12.1</w:t>
            </w:r>
            <w:r>
              <w:rPr>
                <w:color w:val="000000"/>
              </w:rPr>
              <w:t> </w:t>
            </w:r>
          </w:p>
        </w:tc>
        <w:tc>
          <w:tcPr>
            <w:tcW w:w="5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r>
        <w:trPr/>
        <w:tc>
          <w:tcPr>
            <w:tcW w:w="2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w:t>
            </w:r>
            <w:r>
              <w:rPr>
                <w:color w:val="000000"/>
              </w:rPr>
              <w:t> </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sale of businesses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w:t>
            </w:r>
            <w:r>
              <w:rPr>
                <w:color w:val="000000"/>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w:t>
            </w:r>
            <w:r>
              <w:rPr>
                <w:color w:val="000000"/>
              </w:rPr>
              <w:t>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w:t>
            </w: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w:t>
            </w:r>
            <w:r>
              <w:rPr>
                <w:color w:val="000000"/>
              </w:rPr>
              <w:t> </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78</w:t>
            </w:r>
            <w:r>
              <w:rPr>
                <w:color w:val="000000"/>
              </w:rPr>
              <w:t>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w:t>
            </w:r>
            <w:r>
              <w:rPr>
                <w:color w:val="000000"/>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w:t>
            </w: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66</w:t>
            </w:r>
            <w:r>
              <w:rPr>
                <w:color w:val="000000"/>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53</w:t>
            </w:r>
            <w:r>
              <w:rPr>
                <w:color w:val="000000"/>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non-operating expense, excluding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275</w:t>
            </w:r>
            <w:r>
              <w:rPr>
                <w:color w:val="000000"/>
              </w:rPr>
              <w:t> </w:t>
            </w:r>
          </w:p>
        </w:tc>
        <w:tc>
          <w:tcPr>
            <w:tcW w:w="4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192</w:t>
            </w:r>
            <w:r>
              <w:rPr>
                <w:color w:val="000000"/>
              </w:rPr>
              <w:t> </w:t>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193</w:t>
            </w:r>
            <w:r>
              <w:rPr>
                <w:color w:val="000000"/>
              </w:rPr>
              <w:t> </w:t>
            </w:r>
          </w:p>
        </w:tc>
        <w:tc>
          <w:tcPr>
            <w:tcW w:w="5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273</w:t>
            </w:r>
            <w:r>
              <w:rPr>
                <w:color w:val="000000"/>
              </w:rPr>
              <w:t> </w:t>
            </w:r>
          </w:p>
        </w:tc>
        <w:tc>
          <w:tcPr>
            <w:tcW w:w="5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w:t>
            </w:r>
            <w:r>
              <w:rPr>
                <w:color w:val="000000"/>
              </w:rPr>
              <w:t> </w:t>
            </w:r>
          </w:p>
        </w:tc>
        <w:tc>
          <w:tcPr>
            <w:tcW w:w="4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w:t>
            </w:r>
            <w:r>
              <w:rPr>
                <w:color w:val="000000"/>
              </w:rPr>
              <w:t>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w:t>
            </w:r>
            <w:r>
              <w:rPr>
                <w:color w:val="000000"/>
              </w:rPr>
              <w:t> </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w:t>
            </w:r>
            <w:r>
              <w:rPr>
                <w:color w:val="000000"/>
              </w:rPr>
              <w:t> </w:t>
            </w:r>
          </w:p>
        </w:tc>
        <w:tc>
          <w:tcPr>
            <w:tcW w:w="5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&amp; realignment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w:t>
            </w:r>
            <w:r>
              <w:rPr>
                <w:color w:val="000000"/>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w:t>
            </w: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w:t>
            </w:r>
            <w:r>
              <w:rPr>
                <w:color w:val="000000"/>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w:t>
            </w:r>
            <w:r>
              <w:rPr>
                <w:color w:val="000000"/>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w:t>
            </w:r>
            <w:r>
              <w:rPr>
                <w:color w:val="000000"/>
              </w:rPr>
              <w:t>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w:t>
            </w:r>
            <w:r>
              <w:rPr>
                <w:color w:val="000000"/>
              </w:rPr>
              <w:t> </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w:t>
            </w:r>
            <w:r>
              <w:rPr>
                <w:color w:val="000000"/>
              </w:rPr>
              <w:t>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sale of businesses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w:t>
            </w:r>
            <w:r>
              <w:rPr>
                <w:color w:val="000000"/>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314</w:t>
            </w:r>
            <w:r>
              <w:rPr>
                <w:color w:val="000000"/>
              </w:rPr>
              <w:t> </w:t>
            </w:r>
          </w:p>
        </w:tc>
        <w:tc>
          <w:tcPr>
            <w:tcW w:w="4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194</w:t>
            </w:r>
            <w:r>
              <w:rPr>
                <w:color w:val="000000"/>
              </w:rPr>
              <w:t> </w:t>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213</w:t>
            </w:r>
            <w:r>
              <w:rPr>
                <w:color w:val="000000"/>
              </w:rPr>
              <w:t> </w:t>
            </w:r>
          </w:p>
        </w:tc>
        <w:tc>
          <w:tcPr>
            <w:tcW w:w="5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288</w:t>
            </w:r>
            <w:r>
              <w:rPr>
                <w:color w:val="000000"/>
              </w:rPr>
              <w:t> </w:t>
            </w:r>
          </w:p>
        </w:tc>
        <w:tc>
          <w:tcPr>
            <w:tcW w:w="54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24.4</w:t>
            </w:r>
            <w:r>
              <w:rPr>
                <w:color w:val="000000"/>
              </w:rPr>
              <w:t> </w:t>
            </w:r>
          </w:p>
        </w:tc>
        <w:tc>
          <w:tcPr>
            <w:tcW w:w="43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20.4</w:t>
            </w:r>
            <w:r>
              <w:rPr>
                <w:color w:val="000000"/>
              </w:rPr>
              <w:t> </w:t>
            </w:r>
          </w:p>
        </w:tc>
        <w:tc>
          <w:tcPr>
            <w:tcW w:w="3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21.0</w:t>
            </w:r>
            <w:r>
              <w:rPr>
                <w:color w:val="000000"/>
              </w:rPr>
              <w:t> </w:t>
            </w:r>
          </w:p>
        </w:tc>
        <w:tc>
          <w:tcPr>
            <w:tcW w:w="58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23.8</w:t>
            </w:r>
            <w:r>
              <w:rPr>
                <w:color w:val="000000"/>
              </w:rPr>
              <w:t> </w:t>
            </w:r>
          </w:p>
        </w:tc>
        <w:tc>
          <w:tcPr>
            <w:tcW w:w="54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59"/>
        <w:gridCol w:w="798"/>
        <w:gridCol w:w="726"/>
        <w:gridCol w:w="109"/>
        <w:gridCol w:w="109"/>
        <w:gridCol w:w="109"/>
        <w:gridCol w:w="332"/>
        <w:gridCol w:w="759"/>
        <w:gridCol w:w="430"/>
        <w:gridCol w:w="109"/>
        <w:gridCol w:w="109"/>
        <w:gridCol w:w="109"/>
        <w:gridCol w:w="242"/>
        <w:gridCol w:w="552"/>
        <w:gridCol w:w="311"/>
        <w:gridCol w:w="109"/>
        <w:gridCol w:w="109"/>
        <w:gridCol w:w="109"/>
        <w:gridCol w:w="453"/>
        <w:gridCol w:w="1036"/>
        <w:gridCol w:w="587"/>
        <w:gridCol w:w="109"/>
        <w:gridCol w:w="109"/>
        <w:gridCol w:w="109"/>
        <w:gridCol w:w="357"/>
        <w:gridCol w:w="813"/>
        <w:gridCol w:w="542"/>
      </w:tblGrid>
      <w:tr>
        <w:trPr/>
        <w:tc>
          <w:tcPr>
            <w:tcW w:w="95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2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Six Months Ended </w:t>
            </w:r>
          </w:p>
        </w:tc>
      </w:tr>
      <w:tr>
        <w:trPr/>
        <w:tc>
          <w:tcPr>
            <w:tcW w:w="2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2025</w:t>
            </w:r>
          </w:p>
        </w:tc>
      </w:tr>
      <w:tr>
        <w:trPr/>
        <w:tc>
          <w:tcPr>
            <w:tcW w:w="2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Water Infrastructure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Applied Water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0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Measurement and Control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Water Solutions and Services</w:t>
            </w:r>
          </w:p>
        </w:tc>
      </w:tr>
      <w:tr>
        <w:trPr/>
        <w:tc>
          <w:tcPr>
            <w:tcW w:w="2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183</w:t>
            </w:r>
            <w:r>
              <w:rPr>
                <w:color w:val="000000"/>
              </w:rPr>
              <w:t> </w:t>
            </w:r>
          </w:p>
        </w:tc>
        <w:tc>
          <w:tcPr>
            <w:tcW w:w="4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156</w:t>
            </w:r>
            <w:r>
              <w:rPr>
                <w:color w:val="000000"/>
              </w:rPr>
              <w:t>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124</w:t>
            </w:r>
            <w:r>
              <w:rPr>
                <w:color w:val="000000"/>
              </w:rPr>
              <w:t> </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122</w:t>
            </w:r>
            <w:r>
              <w:rPr>
                <w:color w:val="000000"/>
              </w:rPr>
              <w:t> </w:t>
            </w:r>
          </w:p>
        </w:tc>
        <w:tc>
          <w:tcPr>
            <w:tcW w:w="5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14.9</w:t>
            </w:r>
            <w:r>
              <w:rPr>
                <w:color w:val="000000"/>
              </w:rPr>
              <w:t> </w:t>
            </w:r>
          </w:p>
        </w:tc>
        <w:tc>
          <w:tcPr>
            <w:tcW w:w="4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17.0</w:t>
            </w:r>
            <w:r>
              <w:rPr>
                <w:color w:val="000000"/>
              </w:rPr>
              <w:t> </w:t>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12.0</w:t>
            </w:r>
            <w:r>
              <w:rPr>
                <w:color w:val="000000"/>
              </w:rPr>
              <w:t> </w:t>
            </w:r>
          </w:p>
        </w:tc>
        <w:tc>
          <w:tcPr>
            <w:tcW w:w="5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10.2</w:t>
            </w:r>
            <w:r>
              <w:rPr>
                <w:color w:val="000000"/>
              </w:rPr>
              <w:t> </w:t>
            </w:r>
          </w:p>
        </w:tc>
        <w:tc>
          <w:tcPr>
            <w:tcW w:w="5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r>
        <w:trPr/>
        <w:tc>
          <w:tcPr>
            <w:tcW w:w="2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sale of businesses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non-operating expense, excluding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216</w:t>
            </w:r>
            <w:r>
              <w:rPr>
                <w:color w:val="000000"/>
              </w:rPr>
              <w:t> </w:t>
            </w:r>
          </w:p>
        </w:tc>
        <w:tc>
          <w:tcPr>
            <w:tcW w:w="4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173</w:t>
            </w:r>
            <w:r>
              <w:rPr>
                <w:color w:val="000000"/>
              </w:rPr>
              <w:t> </w:t>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210</w:t>
            </w:r>
            <w:r>
              <w:rPr>
                <w:color w:val="000000"/>
              </w:rPr>
              <w:t> </w:t>
            </w:r>
          </w:p>
        </w:tc>
        <w:tc>
          <w:tcPr>
            <w:tcW w:w="5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260</w:t>
            </w:r>
            <w:r>
              <w:rPr>
                <w:color w:val="000000"/>
              </w:rPr>
              <w:t> </w:t>
            </w:r>
          </w:p>
        </w:tc>
        <w:tc>
          <w:tcPr>
            <w:tcW w:w="5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4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5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5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&amp; realignment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sale of businesses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5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262</w:t>
            </w:r>
            <w:r>
              <w:rPr>
                <w:color w:val="000000"/>
              </w:rPr>
              <w:t> </w:t>
            </w:r>
          </w:p>
        </w:tc>
        <w:tc>
          <w:tcPr>
            <w:tcW w:w="4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190</w:t>
            </w:r>
            <w:r>
              <w:rPr>
                <w:color w:val="000000"/>
              </w:rPr>
              <w:t> </w:t>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0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228</w:t>
            </w:r>
            <w:r>
              <w:rPr>
                <w:color w:val="000000"/>
              </w:rPr>
              <w:t> </w:t>
            </w:r>
          </w:p>
        </w:tc>
        <w:tc>
          <w:tcPr>
            <w:tcW w:w="5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275</w:t>
            </w:r>
            <w:r>
              <w:rPr>
                <w:color w:val="000000"/>
              </w:rPr>
              <w:t> </w:t>
            </w:r>
          </w:p>
        </w:tc>
        <w:tc>
          <w:tcPr>
            <w:tcW w:w="5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21.3</w:t>
            </w:r>
            <w:r>
              <w:rPr>
                <w:color w:val="000000"/>
              </w:rPr>
              <w:t> </w:t>
            </w:r>
          </w:p>
        </w:tc>
        <w:tc>
          <w:tcPr>
            <w:tcW w:w="43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20.7</w:t>
            </w:r>
            <w:r>
              <w:rPr>
                <w:color w:val="000000"/>
              </w:rPr>
              <w:t> </w:t>
            </w:r>
          </w:p>
        </w:tc>
        <w:tc>
          <w:tcPr>
            <w:tcW w:w="3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22.1</w:t>
            </w:r>
            <w:r>
              <w:rPr>
                <w:color w:val="000000"/>
              </w:rPr>
              <w:t> </w:t>
            </w:r>
          </w:p>
        </w:tc>
        <w:tc>
          <w:tcPr>
            <w:tcW w:w="58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23.1</w:t>
            </w:r>
            <w:r>
              <w:rPr>
                <w:color w:val="000000"/>
              </w:rPr>
              <w:t> </w:t>
            </w:r>
          </w:p>
        </w:tc>
        <w:tc>
          <w:tcPr>
            <w:tcW w:w="54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r>
    </w:tbl>
    <w:tbl>
      <w:tblPr>
        <w:tblW w:w="10205" w:type="dxa"/>
        <w:jc w:val="left"/>
        <w:tblInd w:w="0" w:type="dxa"/>
        <w:tblLayout w:type="fixed"/>
        <w:tblCellMar>
          <w:top w:w="28" w:type="dxa"/>
          <w:left w:w="28" w:type="dxa"/>
          <w:bottom w:w="28" w:type="dxa"/>
          <w:right w:w="28" w:type="dxa"/>
        </w:tblCellMar>
      </w:tblPr>
      <w:tblGrid>
        <w:gridCol w:w="1059"/>
        <w:gridCol w:w="734"/>
        <w:gridCol w:w="747"/>
        <w:gridCol w:w="109"/>
        <w:gridCol w:w="109"/>
        <w:gridCol w:w="109"/>
        <w:gridCol w:w="465"/>
        <w:gridCol w:w="828"/>
        <w:gridCol w:w="241"/>
        <w:gridCol w:w="109"/>
        <w:gridCol w:w="109"/>
        <w:gridCol w:w="109"/>
        <w:gridCol w:w="300"/>
        <w:gridCol w:w="536"/>
        <w:gridCol w:w="157"/>
        <w:gridCol w:w="109"/>
        <w:gridCol w:w="109"/>
        <w:gridCol w:w="109"/>
        <w:gridCol w:w="641"/>
        <w:gridCol w:w="1143"/>
        <w:gridCol w:w="332"/>
        <w:gridCol w:w="109"/>
        <w:gridCol w:w="109"/>
        <w:gridCol w:w="109"/>
        <w:gridCol w:w="485"/>
        <w:gridCol w:w="866"/>
        <w:gridCol w:w="363"/>
      </w:tblGrid>
      <w:tr>
        <w:trPr/>
        <w:tc>
          <w:tcPr>
            <w:tcW w:w="105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2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2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8"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2026 versus 2025</w:t>
            </w:r>
          </w:p>
        </w:tc>
      </w:tr>
      <w:tr>
        <w:trPr/>
        <w:tc>
          <w:tcPr>
            <w:tcW w:w="2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Water Infrastructure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Applied Water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Measurement and Control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Water Solutions and Services</w:t>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50</w:t>
            </w:r>
            <w:r>
              <w:rPr>
                <w:color w:val="000000"/>
              </w:rPr>
              <w:t>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w:t>
            </w: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w:t>
            </w:r>
            <w:r>
              <w:rPr>
                <w:color w:val="000000"/>
              </w:rPr>
              <w:t> </w:t>
            </w:r>
          </w:p>
        </w:tc>
        <w:tc>
          <w:tcPr>
            <w:tcW w:w="3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320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180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190 bps</w:t>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sale of businesses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non-operating expense, excluding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59</w:t>
            </w:r>
            <w:r>
              <w:rPr>
                <w:color w:val="000000"/>
              </w:rPr>
              <w:t>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w:t>
            </w:r>
            <w:r>
              <w:rPr>
                <w:color w:val="000000"/>
              </w:rPr>
              <w:t>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(17)</w:t>
            </w:r>
          </w:p>
        </w:tc>
        <w:tc>
          <w:tcPr>
            <w:tcW w:w="3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w:t>
            </w:r>
            <w:r>
              <w:rPr>
                <w:color w:val="000000"/>
              </w:rPr>
              <w:t> </w:t>
            </w:r>
          </w:p>
        </w:tc>
        <w:tc>
          <w:tcPr>
            <w:tcW w:w="3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3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&amp; realignment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from sale of businesses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w:t>
            </w:r>
            <w:r>
              <w:rPr>
                <w:color w:val="000000"/>
              </w:rPr>
              <w:t>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w:t>
            </w:r>
            <w:r>
              <w:rPr>
                <w:color w:val="000000"/>
              </w:rPr>
              <w:t>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1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w:t>
            </w:r>
          </w:p>
        </w:tc>
        <w:tc>
          <w:tcPr>
            <w:tcW w:w="3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w:t>
            </w:r>
            <w:r>
              <w:rPr>
                <w:color w:val="000000"/>
              </w:rPr>
              <w:t> </w:t>
            </w:r>
          </w:p>
        </w:tc>
        <w:tc>
          <w:tcPr>
            <w:tcW w:w="3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310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(110)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70 bps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 w:after="12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Water Infrastructure</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Operating income for our Water Infrastructure segment was $157 million (operating margin of 23.0%) during the second quarter of 2026, an increase of $54 million, or 52.4%, when compared to operating income of $103 million (operating margin of 15.8%) during the prior year, or a total increase in operating margin of 720 basis points. Operating margin expansion included net favorable impacts of 210 basis points from decreased restructuring and realignment costs, special charges and acquired intangible asset amortization as compared to the prior year. Additionally, operating margin expansion included 870 basis points of favorable operating impacts driven by 490 basis points of productivity improvements, 190 basis points of favorable mix and 80 basis points of price realization. Margin expansion was partially offset by 360 basis points of unfavorable operational impacts, driven by 200 basis points of inflation and 60 basis points of increased spending on strategic investments. Excluding restructuring and realignment costs, amortization of acquired intangibles, and special charges, adjusted operating income was $168 million (adjusted operating margin of 24.6%) for the second quarter of 2026 as compared to adjusted operating income of $127 million (adjusted operating margin of 19.5%) for the second quarter of 2025, an increase of 510 basis points. </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Adjusted EBITDA was $182 million (adjusted EBITDA margin of 26.6%) for the second quarter of 2026, an increase of $40 million, or 28.2%, when compared to adjusted EBITDA of $142 million (adjusted EBITDA margin of 21.8%) during the prior year. The increase in adjusted EBITDA margin of 480 basis points was primarily driven by the same factors impacting the increase in adjusted operating margin.</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Operating income for our Water Infrastructure segment was $233 million (operating margin of 18.1%) during the six months ended June 30, 2026, an increase of $50 million, or 27.3%, when compared to operating income of $183 million (operating margin of 14.9%) during the prior year, or a total increase in operating margin of 320 basis points. Operating margin expansion included 680 basis points of favorable operating impacts driven by 510 basis points of productivity savings and 70 basis points of favorable price realization. Margin expansion was partially offset by 360 basis points of unfavorable operational impacts, driven by 230 basis points of inflation and 50 basis points of increased spending on strategic investments. Excluding restructuring and realignment costs, amortization of acquired intangibles, and special charges, adjusted operating income was $285 million (adjusted operating margin of 22.2%) for the six months ended June 30, 2026 as compared to adjusted operating income of $234 million (adjusted operating margin of 19.0%) for the six months ended June 30, 2025, an increase of 320 basis points. </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Adjusted EBITDA was $314 million (adjusted EBITDA margin of 24.4%) for the six months ended June 30, 2026, an increase of $52 million, or 19.8%, when compared to adjusted EBITDA of $262 million (adjusted EBITDA margin of 21.3%) during the prior year. The increase in adjusted EBITDA margin of 310 basis points was primarily driven by the same factors impacting the increase in adjusted operating margin.</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Applied Water </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Operating income for our Applied Water segment was $101 million (operating margin of 20.2%) during the second quarter of 2026, an increase of $17 million, or 20.2%, when compared to operating income of $84 million (operating margin of 17.4%) during the prior year, or a total increase in operating margin of 280 basis points. Operating margin expansion included 270 basis points from decreased restructuring and realignment costs and an increase in income from special items as compared to the prior year. Additionally, operating margin expansion included 770 basis points of favorable operational impacts consisting primarily of 610 basis points of productivity savings and 140 basis points of price realization. Operating margin expansion was offset by 760 basis points of unfavorable operational impacts driven primarily by 480 basis points of inflation, 140 basis points of decreased volume and 70 basis points of unfavorable foreign currency impacts. Excluding restructuring and realignment costs, adjusted operating income was $98 million (adjusted operating margin of 19.6%) for the second quarter of 2026 as compared to adjusted operating income of $94 million (adjusted operating margin of 19.5%) for the second quarter of 2025, an increase of 10 basis points.</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Adjusted EBITDA was $106 million (adjusted EBITDA margin of 21.2%) for the second quarter of 2026, an increase of $1 million, or 1.0%, when compared to adjusted EBITDA of $105 million (adjusted EBITDA margin of 21.7%) during the prior year, a decrease of 50 basis points. The decrease in adjusted EBITDA margin was primarily due to the same factors impacting the increase in adjusted operating margin; however, adjusted EBITDA did not benefit from the relative impact of decreased depreciation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Operating income for our Applied Water segment was $178 million (operating margin of 18.8%) during the six months ended June 30, 2026, an increase of $22 million, or 14.1%, when compared to operating income of $156 million (operating margin of 17.0%) during the prior year, or a total increase in operating margin of 180 basis points. Operating margin expansion included 170 basis points from decreased restructuring and realignment costs and an increase in income from special items as compared to the prior year. Additionally, operating margin expansion included 850 basis points of favorable operational impacts consisting primarily of 680 basis points of productivity savings and 160 basis points of price realization. Operating margin expansion was offset by 840 basis points of unfavorable operational impacts driven primarily by 420 basis points of inflation, 200 basis points of decreased volume, 110 basis points of unfavorable mix, and 60 basis points of increased spending on strategic investments. Excluding restructuring and realignment costs, adjusted operating income was $177 million (adjusted operating margin of 18.7%) for the six months ended June 30, 2026 as compared to adjusted operating income of $171 million (adjusted operating margin of 18.6%) for the six months ended June 30, 2025, an increase of 10 basis points.</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Adjusted EBITDA was $194 million (adjusted EBITDA margin of 20.4%) for the six months ended June 30, 2026, an increase of $4 million, or 2.1%, when compared to adjusted EBITDA of $190 million (adjusted EBITDA margin of 20.7%) during the prior year, a decrease of 30 basis points. The decrease in adjusted EBITDA margin was primarily due to the same factors impacting the increase in adjusted operating margin; however, adjusted EBITDA did not benefit from the relative impact of decreased depreciation expense.</w:t>
      </w:r>
    </w:p>
    <w:p>
      <w:pPr>
        <w:pStyle w:val="TextBody"/>
        <w:bidi w:val="0"/>
        <w:spacing w:lineRule="auto" w:line="288" w:before="120" w:after="12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Measurement and Control Solutions</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Operating income for our Measurement and Control Solutions segment was $63 million (operating margin of 12.4%) during the second quarter of 2026, a decrease of $5 million, or 7.4%, when compared to operating income of $68 million (operating margin of 12.6%) during the prior year, or a total decrease in operating margin of 20 basis points. The operating margin declines were partially offset by net favorable impacts of 160 basis points from lower special charges and restructuring and realignment costs compared to the prior year. Additionally, operating margin declines included 620 basis points of unfavorable operational impacts, primarily consisting of 270 basis points of inflation, 170 basis points of unfavorable mix and 100 basis points of decreased volume. The decline in margin was partially offset by positive operational impacts of 440 basis points consisting of 240 basis points of productivity savings, 140 basis points of price realization, and 60 basis points of favorable margin impact from divestiture activity. Excluding restructuring and realignment costs, acquired intangible asset amortization and special charges, adjusted operating income was $83 million (adjusted operating margin of 16.3%) for the second quarter of 2026 as compared to adjusted operating income of $98 million (adjusted operating margin of 18.1%) for the second quarter of 2025, a decrease of 180 basis points.</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Adjusted EBITDA was $107 million (adjusted EBITDA margin of 21.1%) for the second quarter of 2026, a decrease of $18 million, or 14.4%, when compared to adjusted EBITDA of $125 million (adjusted EBITDA margin of 23.1%) during the prior year, a decrease of 200 basis points. The decrease in adjusted EBITDA margin was primarily due to the same factors as those impacting the decrease in adjusted operating margin.</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Operating income for our Measurement and Control Solutions segment was $120 million (operating margin of 11.8%) during the six months ended June 30, 2026, a decrease of $4 million, or 3.2%, when compared to operating income of $124 million (operating margin of 12.0%) during the prior year, or a total decrease in operating margin of 20 basis points. The operating margin declines were partially offset by net favorable impacts of 100 basis points from lower special charges and restructuring and realignment costs compared to the prior year. Additionally, operating margin declines included 610 basis points of unfavorable operational impacts, driven primarily by 240 basis points of inflation, 200 basis points of unfavorable mix and 80 basis points of decreased volume. The decline in margin was partially offset by positive operational impacts of 490 basis points driven by 280 basis points of productivity savings and 170 basis points of price realization. Excluding restructuring and realignment costs, acquired intangible asset amortization and special charges, adjusted operating income was $166 million (adjusted operating margin of 16.3%) for the six months ended June 30, 2026 as compared to adjusted operating income of $180 million (adjusted operating margin of 17.5%) for the six months ended June 30, 2025, a decrease of 120 basis points.</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Adjusted EBITDA was $213 million (adjusted EBITDA margin of 21.0%) for the six months ended June 30, 2026, a decrease of $15 million, or 6.6%, when compared to adjusted EBITDA of $228 million (adjusted EBITDA margin of 22.1%) during the prior year, a decrease of 110 basis points. The decrease in adjusted EBITDA margin was primarily due to the same factors as those impacting the decrease in adjusted operating margin.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 xml:space="preserve">Water Solutions and Services </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Operating income for our Water Solutions and Services segment was $91 million (operating margin of 14.1%) during the second quarter of 2026, an increase of $13 million, or 16.7%, when compared to operating income of $78 million (operating margin of 12.4%) during the prior year, or a total increase in operating margin of 170 basis points. Operating margin expansion included 910 basis points of favorable operational impacts, driven by 570 basis points of price realization, including contract expansion benefit, 250 basis points of favorable mix, and 70 basis points of productivity savings. Margin expansion was partially offset by unfavorable operational impacts of 740 basis points driven primarily by 430 basis points of unfavorable volume, and 230 basis points of inflation. Excluding special charges, acquired intangible asset amortization, and restructuring and realignment costs, adjusted operating income was $120 million (adjusted operating margin of 18.6%) for the second quarter of 2026 as compared to adjusted operating income of $106 million (adjusted operating margin of 16.9%) for the second quarter of 2025, an increase of 170 basis points.</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Adjusted EBITDA was $163 million (adjusted EBITDA margin of 25.3%) for the second quarter of 2026, an increase of $10 million, or 6.5%, when compared to adjusted EBITDA of $153 million (adjusted EBITDA margin of 24.4%) during the prior year, an increase of 90 basis points. The increase in adjusted EBITDA margin was primarily due to the same factors as those impacting the increase in adjusted operating margin; however, adjusted EBITDA margin did not benefit from the relative impact of decreased depreciation and amortization expense.</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Operating income for our Water Solutions and Services segment was $147 million (operating margin of 12.1%) during the six months ended June 30, 2026, an increase of $25 million, or 20.5%, when compared to operating income of $122 million (operating margin of 10.2%) during the prior year, or a total increase in operating margin of 190 basis points. The operating margin expansion included favorable impacts of 50 basis points from decreased special charges and acquired intangible asset amortization relative to the prior year period. Additionally, operating margin expansion included 750 basis points of favorable operational impacts including 410 basis points of price realization, 160 basis points of favorable mix, and 120 basis points of productivity savings. Margin expansion was partially offset by unfavorable operational impacts of 610 basis points driven primarily by 280 basis points of unfavorable volume and 260 basis points of inflation. Excluding special charges, acquired intangible asset amortization, and restructuring and realignment costs, adjusted operating income was $203 million (adjusted operating margin of 16.8%) for the six months ended June 30, 2026 as compared to adjusted operating income of $184 million (adjusted operating margin of 15.4%) for the six months ended June 30, 2025, an increase of 140 basis points.</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Adjusted EBITDA was $288 million (adjusted EBITDA margin of 23.8%) for the six months ended June 30, 2026, an increase of $13 million, or 4.7%, when compared to adjusted EBITDA of $275 million (adjusted EBITDA margin of 23.1%) during the prior year, an increase of 70 basis points. The increase in adjusted EBITDA margin was primarily due to the same factors as those impacting the increase in adjusted operating margin; however, adjusted EBITDA margin did not benefit from the relative impact of decreased depreciation and amortization expense.</w:t>
      </w:r>
    </w:p>
    <w:p>
      <w:pPr>
        <w:pStyle w:val="TextBody"/>
        <w:bidi w:val="0"/>
        <w:spacing w:lineRule="auto" w:line="288" w:before="120" w:after="12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 xml:space="preserve">Corporate and Other </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Operating loss for corporate and other decreased $6 million, or 21.4%, during the second quarter of 2026 compared to the prior year period. Operating loss decreased primarily due to lower special charges and spending on and timing of strategic investments. Excluding special charges, adjusted operating loss for corporate and other decreased $1 million, or 4.3%, for the three months ended June 30, 2026, driven by lower spending on and timing of strategic investments.</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Operating loss for corporate and other decreased $5 million, or 10.2%, during the six months ended June 30, 2026 compared to the prior year period. Operating loss decreased primarily due to lower special charges. Excluding special charges, adjusted operating loss for corporate and other remained flat for the six months ended June 30, 2026.</w:t>
      </w:r>
    </w:p>
    <w:p>
      <w:pPr>
        <w:pStyle w:val="TextBody"/>
        <w:bidi w:val="0"/>
        <w:spacing w:lineRule="auto" w:line="288" w:before="120" w:after="120"/>
        <w:jc w:val="left"/>
        <w:rPr>
          <w:rFonts w:ascii="Arial;sans-serif" w:hAnsi="Arial;sans-serif"/>
          <w:b/>
          <w:i/>
          <w:color w:val="000000"/>
          <w:sz w:val="20"/>
          <w:shd w:fill="FFFFFF" w:val="clear"/>
        </w:rPr>
      </w:pPr>
      <w:r>
        <w:rPr>
          <w:rFonts w:ascii="Arial;sans-serif" w:hAnsi="Arial;sans-serif"/>
          <w:b/>
          <w:i/>
          <w:color w:val="000000"/>
          <w:sz w:val="20"/>
          <w:shd w:fill="FFFFFF" w:val="clear"/>
        </w:rPr>
        <w:t xml:space="preserve">Interest Expense </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Interest expense was $7 million for the three months ended June 30, 2026, compared to $9 million for the comparable prior year period. The decrease in interest expense was primarily driven by increased interest income generated on cross currency swaps reducing interest expense and lower outstanding equipment financing obligations, partially offset by increased interest expense from the Senior Notes due 2033 and Blue Notes due 2036.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Interest expense was $11 million for the six months ended June 30, 2026, compared to $17 million for the comparable prior year period. The decrease in interest expense was primarily driven by the same dynamics impacting the decrease for the quarter.</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See Note 10, “Derivative Financial Instruments” and Note 12, "Credit Facilities and Debt," of our condensed consolidated financial statements for a description of our net investment hedges and credit facilities and long-term debt, respectively. </w:t>
      </w:r>
    </w:p>
    <w:p>
      <w:pPr>
        <w:pStyle w:val="TextBody"/>
        <w:bidi w:val="0"/>
        <w:spacing w:lineRule="auto" w:line="288" w:before="120" w:after="120"/>
        <w:jc w:val="left"/>
        <w:rPr>
          <w:rFonts w:ascii="Arial;sans-serif" w:hAnsi="Arial;sans-serif"/>
          <w:b/>
          <w:i/>
          <w:color w:val="000000"/>
          <w:sz w:val="20"/>
          <w:shd w:fill="FFFFFF" w:val="clear"/>
        </w:rPr>
      </w:pPr>
      <w:r>
        <w:rPr>
          <w:rFonts w:ascii="Arial;sans-serif" w:hAnsi="Arial;sans-serif"/>
          <w:b/>
          <w:i/>
          <w:color w:val="000000"/>
          <w:sz w:val="20"/>
          <w:shd w:fill="FFFFFF" w:val="clear"/>
        </w:rPr>
        <w:t xml:space="preserve">Income Tax Expense </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income tax provision for the three months ended June 30, 2026 was $103 million resulting in an effective tax rate of 28.3%, compared to $75 million of expense resulting in an effective tax rate of 25.0% for the same period in 2025. The income tax provision for the six months ended June 30, 2026 was $158 million resulting in an effective tax rate of 26.0%, compared to $125 million of expense resulting in an effective tax rate of 24.2% for the same period in 2025. The effective tax rate for the three and six month period ended June 30, 2026 was higher than the effective tax rate for the same period in 2025, primarily due to the impact of the 2026 international metering business divestiture.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shd w:fill="FFFFFF" w:val="clear"/>
        </w:rPr>
      </w:pPr>
      <w:r>
        <w:rPr>
          <w:rFonts w:ascii="Arial;sans-serif" w:hAnsi="Arial;sans-serif"/>
          <w:b/>
          <w:color w:val="000000"/>
          <w:sz w:val="20"/>
          <w:shd w:fill="FFFFFF" w:val="clear"/>
        </w:rPr>
        <w:t xml:space="preserve">Liquidity and Capital Resources </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summarizes our sources and (uses) of cash:</w:t>
      </w:r>
    </w:p>
    <w:tbl>
      <w:tblPr>
        <w:tblW w:w="8066" w:type="dxa"/>
        <w:jc w:val="left"/>
        <w:tblInd w:w="0" w:type="dxa"/>
        <w:tblLayout w:type="fixed"/>
        <w:tblCellMar>
          <w:top w:w="28" w:type="dxa"/>
          <w:left w:w="28" w:type="dxa"/>
          <w:bottom w:w="28" w:type="dxa"/>
          <w:right w:w="28" w:type="dxa"/>
        </w:tblCellMar>
      </w:tblPr>
      <w:tblGrid>
        <w:gridCol w:w="1755"/>
        <w:gridCol w:w="1531"/>
        <w:gridCol w:w="1558"/>
        <w:gridCol w:w="211"/>
        <w:gridCol w:w="541"/>
        <w:gridCol w:w="109"/>
        <w:gridCol w:w="109"/>
        <w:gridCol w:w="109"/>
        <w:gridCol w:w="109"/>
        <w:gridCol w:w="211"/>
        <w:gridCol w:w="481"/>
        <w:gridCol w:w="109"/>
        <w:gridCol w:w="109"/>
        <w:gridCol w:w="109"/>
        <w:gridCol w:w="109"/>
        <w:gridCol w:w="211"/>
        <w:gridCol w:w="541"/>
        <w:gridCol w:w="154"/>
      </w:tblGrid>
      <w:tr>
        <w:trPr/>
        <w:tc>
          <w:tcPr>
            <w:tcW w:w="1755"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Investing activities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Financing activities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exchange (a)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Increase in cash classified within assets held for sale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 cash classified within assets held for sale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(a)The impact is primarily due to weakening of the Euro, Canadian Dollar and the Chilean Peso against the U.S. Dollar.</w:t>
      </w:r>
    </w:p>
    <w:p>
      <w:pPr>
        <w:pStyle w:val="TextBody"/>
        <w:bidi w:val="0"/>
        <w:spacing w:lineRule="auto" w:line="288" w:before="120" w:after="120"/>
        <w:jc w:val="left"/>
        <w:rPr>
          <w:rFonts w:ascii="Arial;sans-serif" w:hAnsi="Arial;sans-serif"/>
          <w:b/>
          <w:i/>
          <w:color w:val="000000"/>
          <w:sz w:val="20"/>
          <w:shd w:fill="FFFFFF" w:val="clear"/>
        </w:rPr>
      </w:pPr>
      <w:r>
        <w:rPr>
          <w:rFonts w:ascii="Arial;sans-serif" w:hAnsi="Arial;sans-serif"/>
          <w:b/>
          <w:i/>
          <w:color w:val="000000"/>
          <w:sz w:val="20"/>
          <w:shd w:fill="FFFFFF" w:val="clear"/>
        </w:rPr>
        <w:t xml:space="preserve">Sources and Uses of Liquidity </w:t>
      </w:r>
    </w:p>
    <w:p>
      <w:pPr>
        <w:pStyle w:val="TextBody"/>
        <w:bidi w:val="0"/>
        <w:spacing w:lineRule="auto" w:line="288" w:before="120" w:after="12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 xml:space="preserve">Operating Activities </w:t>
      </w:r>
    </w:p>
    <w:p>
      <w:pPr>
        <w:pStyle w:val="TextBody"/>
        <w:bidi w:val="0"/>
        <w:spacing w:lineRule="auto" w:line="276"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Cash generated by operating activities was $398 million for the six months ended June 30, 2026 as compared to cash generated by operating activities of $338 million in the comparable prior year period. The increase in cash provided was primarily driven by increased cash earnings, timing of payments for prepaid and accrued expenses, as well as lower annual incentives, offset by increased investment in working capital and increased use of cash related to long-term outsourced water projects. </w:t>
      </w:r>
    </w:p>
    <w:p>
      <w:pPr>
        <w:pStyle w:val="TextBody"/>
        <w:bidi w:val="0"/>
        <w:spacing w:lineRule="auto" w:line="288" w:before="120" w:after="12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 xml:space="preserve">Investing Activities </w:t>
      </w:r>
    </w:p>
    <w:p>
      <w:pPr>
        <w:pStyle w:val="TextBody"/>
        <w:bidi w:val="0"/>
        <w:spacing w:lineRule="auto" w:line="276"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Cash used in investing activities was $98 million for the six months ended June 30, 2026 as compared to $140 million used in the comparable prior year period. The decrease in cash used primarily reflects lower cash paid for asset acquisitions and higher proceeds from sales of businesses and fixed assets, offset by increased investments in capital expenditures.</w:t>
      </w:r>
    </w:p>
    <w:p>
      <w:pPr>
        <w:pStyle w:val="TextBody"/>
        <w:bidi w:val="0"/>
        <w:spacing w:lineRule="auto" w:line="288" w:before="120" w:after="120"/>
        <w:jc w:val="left"/>
        <w:rPr>
          <w:rFonts w:ascii="Arial;sans-serif" w:hAnsi="Arial;sans-serif"/>
          <w:b w:val="false"/>
          <w:i/>
          <w:color w:val="000000"/>
          <w:sz w:val="20"/>
          <w:shd w:fill="FFFFFF" w:val="clear"/>
        </w:rPr>
      </w:pPr>
      <w:r>
        <w:rPr>
          <w:rFonts w:ascii="Arial;sans-serif" w:hAnsi="Arial;sans-serif"/>
          <w:b w:val="false"/>
          <w:i/>
          <w:color w:val="000000"/>
          <w:sz w:val="20"/>
          <w:shd w:fill="FFFFFF" w:val="clear"/>
        </w:rPr>
        <w:t>Financing Activities</w:t>
      </w:r>
    </w:p>
    <w:p>
      <w:pPr>
        <w:pStyle w:val="TextBody"/>
        <w:bidi w:val="0"/>
        <w:spacing w:lineRule="auto" w:line="276"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Cash used in financing activities was $484 million for the six months ended June 30, 2026 as compared to cash used of $244 million in the comparable prior year period. The increase in cash used reflects the repurchase of common stock and higher dividend payments during the period, offset by the issuance of new long-term debt in the form of senior notes.</w:t>
      </w:r>
    </w:p>
    <w:p>
      <w:pPr>
        <w:pStyle w:val="TextBody"/>
        <w:bidi w:val="0"/>
        <w:spacing w:lineRule="auto" w:line="288" w:before="120" w:after="120"/>
        <w:jc w:val="left"/>
        <w:rPr>
          <w:rFonts w:ascii="Arial;sans-serif" w:hAnsi="Arial;sans-serif"/>
          <w:b/>
          <w:i/>
          <w:color w:val="000000"/>
          <w:sz w:val="20"/>
          <w:shd w:fill="FFFFFF" w:val="clear"/>
        </w:rPr>
      </w:pPr>
      <w:r>
        <w:rPr>
          <w:rFonts w:ascii="Arial;sans-serif" w:hAnsi="Arial;sans-serif"/>
          <w:b/>
          <w:i/>
          <w:color w:val="000000"/>
          <w:sz w:val="20"/>
          <w:shd w:fill="FFFFFF" w:val="clear"/>
        </w:rPr>
        <w:t xml:space="preserve">Funding and Liquidity Strategy </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Our ability to fund our capital needs depends on our ongoing ability to generate cash from operations and access to bank financing and the capital markets. We continually evaluate aspects of our spending, including capital expenditures, strategic investments and dividends.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If our cash flows from operations are less than we expect, we may need to incur debt or issue equity. From time to time, we may need to access the long-term and short-term capital markets to obtain financing. Our access to, and the availability of, financing on acceptable terms and conditions in the future will be impacted by many factors, including: (i) our credit ratings or absence of a credit rating, (ii) the liquidity of the overall capital markets, and (iii) the current state of the economy. There can be no assurance that such financing will be available to us on acceptable terms or that such financing will be available at all. Our securities are rated investment grade. A significant change in credit rating could impact our ability to borrow at favorable rates. Refer to Note 12, "Credit Facilities and Debt", of our condensed consolidated financial statements for a description of limitations on obtaining additional funding.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We monitor our global funding requirements and seek to meet our liquidity needs on a cost-effective basis. In addition, our existing committed credit facilities and access to the public debt markets would provide further liquidity if required.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Based on our current global cash positions, cash flows from operations and access to the capital markets, we believe there is sufficient liquidity to meet our funding requirements and service debt and other obligations in both the U.S. and outside of the U.S. during the year. Currently, we have available liquidity of approximately $2.3 billion, consisting of $1.3 billion of cash and $1 billion of available credit facilities as disclosed in Note 12, "Credit Facilities and Debt", of our condensed consolidated financial statements.</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Credit Facilities &amp; Long-Term Contractual Commitments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See Note 12, "Credit Facilities and Debt," of our condensed consolidated financial statements for a description of our credit facilities and long-term debt. </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Non-U.S. Operations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As we continue to grow our operations outside of the U.S., we expect to continue to generate significant revenue from non-U.S. operations and expect that a substantial portion of our cash will be held by our foreign subsidiaries. We expect to manage our worldwide cash requirements considering available funds among the many subsidiaries through which we conduct business and the cost effectiveness with which those funds can be accessed. We may transfer cash from certain international subsidiaries to the U.S. and other international subsidiaries when we believe it is cost-effective to do so. We continually review our domestic and foreign cash profile, expected future cash generation and investment opportunities, and reassess whether there is a need to repatriate funds held internationally to support our U.S. operations.</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Tariff Developments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See Note 1, "Background and Basis of Presentation," of our condensed consolidated financial statements for a description of tariff developments in 2026.</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Critical Accounting Estimates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Our discussion and analysis of our results of operations and capital resources are based on our condensed consolidated financial statements, which have been prepared in conformity with GAAP. The preparation of these condensed consolidated financial statements requires management to make estimates and assumptions that affect the reported amounts of assets, liabilities, revenue and expenses and the disclosure of contingent assets and liabilities. We believe the most complex and sensitive judgments, because of their significance to the condensed consolidated financial statements, result primarily from the need to make estimates about the effects of matters that are inherently uncertain. Management’s Discussion and Analysis of Financial Condition and Results of Operations in the 2025 Annual Report describes the critical accounting estimates used in preparation of the condensed consolidated financial statements. Actual results in these areas could differ from management’s estimates. There have been no significant changes in the information concerning our critical accounting estimates as stated in our 2025 Annual Report. </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 xml:space="preserve">2026 Outlook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We are updating our total revenue growth outlook to approximately 2%, and updating our organic revenue growth outlook to 2% to 3% in 2026. Our outlook is being provided in the context of the current volatility, including due to geopolitical, trade, macroeconomic and regulatory uncertainty. Our ability to meet our expectations is subject to a number of risks, including, but not limited to, those described in "Item 1A. Risk Factors" in our 2025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76" w:before="120" w:after="120"/>
        <w:jc w:val="left"/>
        <w:rPr>
          <w:rFonts w:ascii="Arial;sans-serif" w:hAnsi="Arial;sans-serif"/>
          <w:b w:val="false"/>
          <w:color w:val="000000"/>
          <w:sz w:val="20"/>
        </w:rPr>
      </w:pPr>
      <w:r>
        <w:rPr>
          <w:rFonts w:ascii="Arial;sans-serif" w:hAnsi="Arial;sans-serif"/>
          <w:b w:val="false"/>
          <w:color w:val="000000"/>
          <w:sz w:val="20"/>
        </w:rPr>
        <w:t>There has been no material change in the information concerning market risk as stated in our 2025 Annual Report.</w:t>
      </w:r>
    </w:p>
    <w:p>
      <w:pPr>
        <w:pStyle w:val="TextBody"/>
        <w:bidi w:val="0"/>
        <w:spacing w:lineRule="auto" w:line="288" w:before="120" w:after="1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management, with the participation of the Chief Executive Officer and Chief Financial Officer of the Company, has evaluated the effectiveness of our disclosure controls and procedures (as defined in Rules 13a-15(e) and 15d-15(e) under the Securities Exchange Act of 1934, as amended) as of the end of the period covered by this quarterly report. Any controls and procedures, no matter how well designed and operated, can provide only reasonable assurance of achieving the desired control objectives. Based on such evaluation, the Chief Executive Officer and Chief Financial Officer have concluded that, as of the end of the period covered by this report, the Company’s disclosure controls and procedures were effective at the reasonable assurance level.</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There have been no changes in our internal control over financial reporting (as defined in Rule 13a-15(f) under the 1934 Act) during the fiscal quarter covered by this quarterly report that have materially affected, or are reasonably likely to materially affect, our internal control over financial reporting. </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From time to time, we are involved in legal and regulatory proceedings that are incidental to the operation of our businesses (or the business operations of previously owned entities). These proceedings may seek remedies relating to matters including environmental, tax, intellectual property, acquisitions or divestitures, product liability, property damage, personal injury, privacy, employment, labor and pension, government investigations or contract issues and commercial or contractual disputes.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See Note 18, "Commitments and Contingencies," to the condensed consolidated financial statements for further information and any updates.</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68" w:before="120" w:after="120"/>
        <w:jc w:val="left"/>
        <w:rPr>
          <w:rFonts w:ascii="Arial;sans-serif" w:hAnsi="Arial;sans-serif"/>
          <w:b w:val="false"/>
          <w:color w:val="000000"/>
          <w:sz w:val="20"/>
        </w:rPr>
      </w:pPr>
      <w:r>
        <w:rPr>
          <w:rFonts w:ascii="Arial;sans-serif" w:hAnsi="Arial;sans-serif"/>
          <w:b w:val="false"/>
          <w:color w:val="000000"/>
          <w:sz w:val="20"/>
        </w:rPr>
        <w:t>There have been no material changes from the risk factors previously disclosed in "Item 1A. Risk Factors" of our 2025 Annual Report.</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presents information with respect to purchases of the Company's common stock by the Company during the three months ended June 30, 2026:</w:t>
      </w:r>
    </w:p>
    <w:tbl>
      <w:tblPr>
        <w:tblW w:w="10205" w:type="dxa"/>
        <w:jc w:val="left"/>
        <w:tblInd w:w="0" w:type="dxa"/>
        <w:tblLayout w:type="fixed"/>
        <w:tblCellMar>
          <w:top w:w="28" w:type="dxa"/>
          <w:left w:w="28" w:type="dxa"/>
          <w:bottom w:w="28" w:type="dxa"/>
          <w:right w:w="28" w:type="dxa"/>
        </w:tblCellMar>
      </w:tblPr>
      <w:tblGrid>
        <w:gridCol w:w="314"/>
        <w:gridCol w:w="275"/>
        <w:gridCol w:w="277"/>
        <w:gridCol w:w="109"/>
        <w:gridCol w:w="109"/>
        <w:gridCol w:w="109"/>
        <w:gridCol w:w="505"/>
        <w:gridCol w:w="505"/>
        <w:gridCol w:w="506"/>
        <w:gridCol w:w="109"/>
        <w:gridCol w:w="109"/>
        <w:gridCol w:w="109"/>
        <w:gridCol w:w="421"/>
        <w:gridCol w:w="421"/>
        <w:gridCol w:w="423"/>
        <w:gridCol w:w="109"/>
        <w:gridCol w:w="109"/>
        <w:gridCol w:w="109"/>
        <w:gridCol w:w="805"/>
        <w:gridCol w:w="805"/>
        <w:gridCol w:w="807"/>
        <w:gridCol w:w="109"/>
        <w:gridCol w:w="109"/>
        <w:gridCol w:w="109"/>
        <w:gridCol w:w="826"/>
        <w:gridCol w:w="826"/>
        <w:gridCol w:w="1181"/>
      </w:tblGrid>
      <w:tr>
        <w:trPr/>
        <w:tc>
          <w:tcPr>
            <w:tcW w:w="31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PRICE PAID PER SHARE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 OF SHARES PURCHASED AS PART OF PUBLICLY ANNOUNCED PLANS OR PROGRAMS (b)(c)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APPROXIMATE DOLLAR VALUE OF SHARES THAT MAY YET BE PURCHASED UNDER THE PLANS OR PROGRAMS (b) (IN MILLIONS)</w:t>
            </w:r>
          </w:p>
        </w:tc>
      </w:tr>
      <w:tr>
        <w:trPr/>
        <w:tc>
          <w:tcPr>
            <w:tcW w:w="8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4/1/26 - 4/30/26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1,940,449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$120.58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1,939,493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$867</w:t>
            </w:r>
          </w:p>
        </w:tc>
      </w:tr>
      <w:tr>
        <w:trPr/>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5/1/26 - 5/31/26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1,945,000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$111.70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1,945,000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$650</w:t>
            </w:r>
          </w:p>
        </w:tc>
      </w:tr>
      <w:tr>
        <w:trPr/>
        <w:tc>
          <w:tcPr>
            <w:tcW w:w="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6/1/26 - 6/30/26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1,786,958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$110.33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1,786,302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$453</w:t>
            </w:r>
          </w:p>
        </w:tc>
      </w:tr>
      <w:tr>
        <w:trPr/>
        <w:tc>
          <w:tcPr>
            <w:tcW w:w="86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5,672,407</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$114.30</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5,670,795</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(a)Average price paid per share is calculated on a settlement basis.</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(b)On February 25, 2026, our Board of Directors authorized the repurchase of up to $1.5 billion in shares with no expiration date. The program's objective is to deploy our capital in a manner that benefits our stockholders and maintains our focus on growth. Repurchases made under the program can be effected through open market transactions, block purchases, accelerated share repurchase agreements or other negotiated transactions.</w:t>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(c)Amounts presented are exclusive of the excise tax on share repurchases.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(c) Trading Plans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During the quarter ended June 30, 2026 no director or Section 16 officer adopted or terminated any Rule 10b5-1 Plan or non-Rule 10b5-1 Plan arrangements (in each case, as defined in Item 408(a)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See the Exhibit Index for a list of exhibits filed as part of this report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XYLEM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272"/>
        <w:gridCol w:w="239"/>
        <w:gridCol w:w="240"/>
        <w:gridCol w:w="109"/>
        <w:gridCol w:w="109"/>
        <w:gridCol w:w="109"/>
        <w:gridCol w:w="1856"/>
        <w:gridCol w:w="1610"/>
        <w:gridCol w:w="1625"/>
        <w:gridCol w:w="1176"/>
        <w:gridCol w:w="1176"/>
        <w:gridCol w:w="1684"/>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w:t>
              <w:br/>
              <w:t>Number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c>
          <w:tcPr>
            <w:tcW w:w="4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Location</w:t>
            </w:r>
          </w:p>
        </w:tc>
      </w:tr>
      <w:tr>
        <w:trPr/>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Arial;sans-serif" w:hAnsi="Arial;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Fourth Amended and Restated Articles of Incorporation of Xylem Inc.</w:t>
            </w:r>
          </w:p>
        </w:tc>
        <w:tc>
          <w:tcPr>
            <w:tcW w:w="4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Incorporated by reference to Exhibit 3.1 of Xylem Inc.’s Form 8-K filed on May 15, 2017 (CIK No. 1524472, File No. 1-35229).</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
              <w:r>
                <w:rPr>
                  <w:rStyle w:val="InternetLink"/>
                  <w:rFonts w:ascii="Arial;sans-serif" w:hAnsi="Arial;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Fifth Amended and Restated By-laws of Xylem Inc.</w:t>
            </w:r>
          </w:p>
        </w:tc>
        <w:tc>
          <w:tcPr>
            <w:tcW w:w="4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Incorporated by reference to Exhibit 3.1 of Xylem Inc.’s Form 8-K filed on November 15, 2022 (CIK No. 1524472, File No. 1-35229).</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Arial;sans-serif" w:hAnsi="Arial;sans-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Fifth Supplemental Indenture, dated May 29, 2026, by and between the Company and Deutsche Bank Trust Company Americas, as trustee</w:t>
            </w:r>
          </w:p>
        </w:tc>
        <w:tc>
          <w:tcPr>
            <w:tcW w:w="4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Incorporated by reference to Exhibit 4.1 of Xylem Inc.'s Form 8-K filed May 29,2026 (CIK No. 1524472, File No. 1-35229)</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
              <w:r>
                <w:rPr>
                  <w:rStyle w:val="InternetLink"/>
                  <w:rFonts w:ascii="Arial;sans-serif" w:hAnsi="Arial;sans-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Form of 5.200% Senior Notes due 2033</w:t>
            </w:r>
          </w:p>
        </w:tc>
        <w:tc>
          <w:tcPr>
            <w:tcW w:w="4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Incorporated by reference to Exhibit 4.1 of Xylem Inc.'s Form 8-K filed in May 29, 2026 (CIK No. 1524472, File No. 1-35229</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Arial;sans-serif" w:hAnsi="Arial;sans-serif"/>
                  <w:b w:val="false"/>
                  <w:color w:val="0000FF"/>
                  <w:sz w:val="20"/>
                  <w:u w:val="single"/>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Form of 5.450% Senior Blue Notes due 2036</w:t>
            </w:r>
          </w:p>
        </w:tc>
        <w:tc>
          <w:tcPr>
            <w:tcW w:w="4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Incorporated by reference to Exhibit 4.1 of Xylem Inc.'s Form 8-K filed on May 29, 2026 (CIK No. 1524472, File No. 1-35229)</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xyl06302026ex311.htm">
              <w:r>
                <w:rPr>
                  <w:rStyle w:val="InternetLink"/>
                  <w:rFonts w:ascii="Arial;sans-serif" w:hAnsi="Arial;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Certification pursuant to Rule 13a-14(a)/15d-14(a) of the Securities Exchange Act of 1934, as adopted pursuant to Section 302 of the Sarbanes-Oxley Act of 2002</w:t>
            </w:r>
          </w:p>
        </w:tc>
        <w:tc>
          <w:tcPr>
            <w:tcW w:w="4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Filed herewith. </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xyl06302026ex312.htm">
              <w:r>
                <w:rPr>
                  <w:rStyle w:val="InternetLink"/>
                  <w:rFonts w:ascii="Arial;sans-serif" w:hAnsi="Arial;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Certification pursuant to Rule 13a-14(a)/15d-14(a) of the Securities Exchange Act of 1934, as adopted pursuant to Section 302 of the Sarbanes-Oxley Act of 2002</w:t>
            </w:r>
          </w:p>
        </w:tc>
        <w:tc>
          <w:tcPr>
            <w:tcW w:w="4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herewith.</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xyl06302026ex321.htm">
              <w:r>
                <w:rPr>
                  <w:rStyle w:val="InternetLink"/>
                  <w:rFonts w:ascii="Arial;sans-serif" w:hAnsi="Arial;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Certification Pursuant to 18 U.S.C. Section 1350, as adopted pursuant to Section 906 of the Sarbanes-Oxley Act of 2002</w:t>
            </w:r>
          </w:p>
        </w:tc>
        <w:tc>
          <w:tcPr>
            <w:tcW w:w="4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This Exhibit is intended to be furnished in accordance with Regulation S-K Item 601(b) (32) (ii) and shall not be deemed to be filed for purposes of Section 18 of the Securities Exchange Act of 1934 or incorporated by reference into any filing under the Securities Act of 1933 or the Securities Exchange Act of 1934, except as shall be expressly set forth by specific reference.</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following materials from Xylem Inc.’s Quarterly Report on Form 10-Q for the quarterly period ended June 30, 2026, formatted in Inline Extensible Business Reporting Language (Inline XBRL): (i) Condensed Consolidated Income Statements, (ii) Condensed Consolidated Statements of Comprehensive Income, (iii) Condensed Consolidated Balance Sheets, (iv) Condensed Consolidated Statements of Cash Flows and (v) Notes to Condensed Consolidated Financial Statements</w:t>
            </w:r>
          </w:p>
        </w:tc>
        <w:tc>
          <w:tcPr>
            <w:tcW w:w="4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instance document does not appear in the interactive data file because its XBRL tags are embedded within the Inline XBRL document.</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The cover page from Xylem Inc.'s Quarterly Report on Form 10-Q for the period ended June 30, 2026 formatted in Inline XBRL and contained in Exhibit 101.0.</w:t>
            </w:r>
          </w:p>
        </w:tc>
        <w:tc>
          <w:tcPr>
            <w:tcW w:w="4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Management contract or compensatory plan or arrangement</w:t>
            </w:r>
          </w:p>
        </w:tc>
        <w:tc>
          <w:tcPr>
            <w:tcW w:w="4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49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346"/>
        <w:gridCol w:w="1320"/>
        <w:gridCol w:w="16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XYLEM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/s/Geri-Michelle McShane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Geri-Michelle McShane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Chief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July 28,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302 OF THE SARBANES-OXLEY ACT OF 2002</w:t>
      </w:r>
    </w:p>
    <w:p>
      <w:pPr>
        <w:pStyle w:val="TextBody"/>
        <w:bidi w:val="0"/>
        <w:spacing w:before="0" w:after="0"/>
        <w:jc w:val="center"/>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I, Matthew F. Pine, certify that:</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Xylem Inc. for the period ended June 30, 2026;</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center"/>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Date: July 28, 2026</w:t>
      </w:r>
    </w:p>
    <w:tbl>
      <w:tblPr>
        <w:tblW w:w="3776" w:type="dxa"/>
        <w:jc w:val="left"/>
        <w:tblInd w:w="0" w:type="dxa"/>
        <w:tblLayout w:type="fixed"/>
        <w:tblCellMar>
          <w:top w:w="28" w:type="dxa"/>
          <w:left w:w="28" w:type="dxa"/>
          <w:bottom w:w="28" w:type="dxa"/>
          <w:right w:w="28" w:type="dxa"/>
        </w:tblCellMar>
      </w:tblPr>
      <w:tblGrid>
        <w:gridCol w:w="124"/>
        <w:gridCol w:w="109"/>
        <w:gridCol w:w="109"/>
        <w:gridCol w:w="1003"/>
        <w:gridCol w:w="1003"/>
        <w:gridCol w:w="14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Matthew F. Pine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Matthew F. Pine</w:t>
              <w:br/>
              <w:t>President and Chief Executive Officer</w:t>
            </w:r>
          </w:p>
        </w:tc>
      </w:tr>
    </w:tbl>
    <w:p>
      <w:pPr>
        <w:pStyle w:val="TextBody"/>
        <w:bidi w:val="0"/>
        <w:spacing w:before="100" w:after="10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302 OF THE SARBANES-OXLEY ACT OF 2002</w:t>
      </w:r>
    </w:p>
    <w:p>
      <w:pPr>
        <w:pStyle w:val="TextBody"/>
        <w:bidi w:val="0"/>
        <w:spacing w:before="0" w:after="0"/>
        <w:jc w:val="center"/>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I, William K. Grogan, certify that:</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Xylem Inc. for the period ended June 30, 2026;</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center"/>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Date: July 28, 2026</w:t>
      </w:r>
    </w:p>
    <w:tbl>
      <w:tblPr>
        <w:tblW w:w="4752" w:type="dxa"/>
        <w:jc w:val="left"/>
        <w:tblInd w:w="0" w:type="dxa"/>
        <w:tblLayout w:type="fixed"/>
        <w:tblCellMar>
          <w:top w:w="28" w:type="dxa"/>
          <w:left w:w="28" w:type="dxa"/>
          <w:bottom w:w="28" w:type="dxa"/>
          <w:right w:w="28" w:type="dxa"/>
        </w:tblCellMar>
      </w:tblPr>
      <w:tblGrid>
        <w:gridCol w:w="124"/>
        <w:gridCol w:w="109"/>
        <w:gridCol w:w="109"/>
        <w:gridCol w:w="1288"/>
        <w:gridCol w:w="1288"/>
        <w:gridCol w:w="18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William K. Grogan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William K. Grogan</w:t>
              <w:br/>
              <w:t>Executive Vice President, Chief Financial Officer</w:t>
            </w:r>
          </w:p>
        </w:tc>
      </w:tr>
    </w:tbl>
    <w:p>
      <w:pPr>
        <w:pStyle w:val="TextBody"/>
        <w:bidi w:val="0"/>
        <w:spacing w:before="100" w:after="10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In connection with the Quarterly Report on Form 10-Q of Xylem Inc. (the “Company”) for the period ended June 30, 2026 as filed with the Securities and Exchange Commission on the date hereof (the “Report”), each of the undersigned officers of the Company, certifies, pursuant to 18 U.S.C. 1350, as adopted pursuant to 906 of the Sarbanes-Oxley Act of 2002, to his knowledge, that: </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as amended; and</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4752" w:type="dxa"/>
        <w:jc w:val="center"/>
        <w:tblInd w:w="0" w:type="dxa"/>
        <w:tblLayout w:type="fixed"/>
        <w:tblCellMar>
          <w:top w:w="28" w:type="dxa"/>
          <w:left w:w="28" w:type="dxa"/>
          <w:bottom w:w="28" w:type="dxa"/>
          <w:right w:w="28" w:type="dxa"/>
        </w:tblCellMar>
      </w:tblPr>
      <w:tblGrid>
        <w:gridCol w:w="1585"/>
        <w:gridCol w:w="1389"/>
        <w:gridCol w:w="1406"/>
        <w:gridCol w:w="109"/>
        <w:gridCol w:w="109"/>
        <w:gridCol w:w="154"/>
      </w:tblGrid>
      <w:tr>
        <w:trPr/>
        <w:tc>
          <w:tcPr>
            <w:tcW w:w="1585"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Matthew F. Pine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Matthew F. Pine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28,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William K. Grogan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William K. Grogan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28,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Xylem Inc. and will be retained by Xylem Inc.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24472/000152447217000027/a8-k31xcharter.htm" TargetMode="External"/><Relationship Id="rId3" Type="http://schemas.openxmlformats.org/officeDocument/2006/relationships/hyperlink" Target="https://www.sec.gov/Archives/edgar/data/1524472/000152447222000055/xyl11102022ex31.htm" TargetMode="External"/><Relationship Id="rId4" Type="http://schemas.openxmlformats.org/officeDocument/2006/relationships/hyperlink" Target="https://www.sec.gov/Archives/edgar/data/1524472/000119312526248342/d142135dex41.htm" TargetMode="External"/><Relationship Id="rId5" Type="http://schemas.openxmlformats.org/officeDocument/2006/relationships/hyperlink" Target="https://www.sec.gov/Archives/edgar/data/1524472/000119312526248342/d142135dex41.htm" TargetMode="External"/><Relationship Id="rId6" Type="http://schemas.openxmlformats.org/officeDocument/2006/relationships/hyperlink" Target="https://www.sec.gov/Archives/edgar/data/1524472/000119312526248342/d142135dex4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27889</Words>
  <Characters>148455</Characters>
  <CharactersWithSpaces>173858</CharactersWithSpaces>
  <Paragraphs>5429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