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0255d424b5.htm"/>
        <w:bookmarkStart w:id="1" w:name="ksd180255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333-297937 </w:t>
      </w:r>
    </w:p>
    <w:p>
      <w:pPr>
        <w:pStyle w:val="TextBody"/>
        <w:bidi w:val="0"/>
        <w:spacing w:before="80" w:after="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jc w:val="left"/>
        <w:rPr>
          <w:rFonts w:ascii="Times New Roman" w:hAnsi="Times New Roman"/>
          <w:b/>
          <w:sz w:val="16"/>
        </w:rPr>
      </w:pPr>
      <w:r>
        <w:rPr>
          <w:rFonts w:ascii="Times New Roman" w:hAnsi="Times New Roman"/>
          <w:b/>
          <w:sz w:val="16"/>
        </w:rPr>
        <w:t xml:space="preserve">(To Prospectus dated August 3, 2026) </w:t>
      </w:r>
    </w:p>
    <w:p>
      <w:pPr>
        <w:pStyle w:val="TextBody"/>
        <w:bidi w:val="0"/>
        <w:spacing w:before="80" w:after="0"/>
        <w:jc w:val="center"/>
        <w:rPr>
          <w:rFonts w:ascii="Times New Roman" w:hAnsi="Times New Roman"/>
          <w:b/>
          <w:sz w:val="34"/>
        </w:rPr>
      </w:pPr>
      <w:r>
        <w:rPr>
          <w:rFonts w:ascii="Times New Roman" w:hAnsi="Times New Roman"/>
          <w:b/>
          <w:sz w:val="34"/>
        </w:rPr>
        <w:t xml:space="preserve">$1,500,000,000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824990" cy="722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4990" cy="722630"/>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46"/>
        </w:rPr>
      </w:pPr>
      <w:r>
        <w:rPr>
          <w:rFonts w:ascii="Times New Roman" w:hAnsi="Times New Roman"/>
          <w:b/>
          <w:sz w:val="46"/>
        </w:rPr>
        <w:t xml:space="preserve">Xylem Inc. </w:t>
      </w:r>
    </w:p>
    <w:p>
      <w:pPr>
        <w:pStyle w:val="TextBody"/>
        <w:bidi w:val="0"/>
        <w:spacing w:before="80" w:after="0"/>
        <w:jc w:val="center"/>
        <w:rPr>
          <w:rFonts w:ascii="Times New Roman" w:hAnsi="Times New Roman"/>
          <w:b/>
          <w:sz w:val="26"/>
        </w:rPr>
      </w:pPr>
      <w:r>
        <w:rPr>
          <w:rFonts w:ascii="Times New Roman" w:hAnsi="Times New Roman"/>
          <w:b/>
          <w:sz w:val="26"/>
        </w:rPr>
        <w:t xml:space="preserve">$500,000,000 5.250% Senior Notes due 2029 </w:t>
      </w:r>
    </w:p>
    <w:p>
      <w:pPr>
        <w:pStyle w:val="TextBody"/>
        <w:bidi w:val="0"/>
        <w:spacing w:before="0" w:after="0"/>
        <w:jc w:val="center"/>
        <w:rPr>
          <w:rFonts w:ascii="Times New Roman" w:hAnsi="Times New Roman"/>
          <w:b/>
          <w:sz w:val="26"/>
        </w:rPr>
      </w:pPr>
      <w:r>
        <w:rPr>
          <w:rFonts w:ascii="Times New Roman" w:hAnsi="Times New Roman"/>
          <w:b/>
          <w:sz w:val="26"/>
        </w:rPr>
        <w:t xml:space="preserve">$500,000,000 5.450% Senior Notes due 2032 </w:t>
      </w:r>
    </w:p>
    <w:p>
      <w:pPr>
        <w:pStyle w:val="TextBody"/>
        <w:bidi w:val="0"/>
        <w:spacing w:before="0" w:after="0"/>
        <w:jc w:val="center"/>
        <w:rPr>
          <w:rFonts w:ascii="Times New Roman" w:hAnsi="Times New Roman"/>
          <w:b/>
          <w:sz w:val="26"/>
        </w:rPr>
      </w:pPr>
      <w:r>
        <w:rPr>
          <w:rFonts w:ascii="Times New Roman" w:hAnsi="Times New Roman"/>
          <w:b/>
          <w:sz w:val="26"/>
        </w:rPr>
        <w:t xml:space="preserve">$500,000,000 5.850%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sz w:val="16"/>
        </w:rPr>
        <w:t xml:space="preserve">We are offering $1,500,000,000 aggregate principal amount of notes, consisting of $500,000,000 aggregate principal amount of our 5.250% Senior Notes due 2029, which we refer to as the “2029 notes,” $500,000,000 aggregate principal amount of our 5.450% Senior Notes due 2032, which we refer to as the “2032 notes” and $500,000,000 aggregate principal amount of our 5.850% Senior Notes due 2037, which we refer to as the “2037 notes.” The 2029 notes, the 2032 notes and the 2037 notes are collectively referred to as the “notes.” </w:t>
      </w:r>
    </w:p>
    <w:p>
      <w:pPr>
        <w:pStyle w:val="TextBody"/>
        <w:bidi w:val="0"/>
        <w:spacing w:before="80" w:after="0"/>
        <w:jc w:val="left"/>
        <w:rPr>
          <w:rFonts w:ascii="Times New Roman" w:hAnsi="Times New Roman"/>
          <w:sz w:val="16"/>
        </w:rPr>
      </w:pPr>
      <w:r>
        <w:rPr>
          <w:rFonts w:ascii="Times New Roman" w:hAnsi="Times New Roman"/>
          <w:sz w:val="16"/>
        </w:rPr>
        <w:t xml:space="preserve">We will pay interest on the 2029 notes semi-annually on March 28 and September 28 of each year, commencing on March 28, 2027. We will pay interest on the 2032 notes semi-annually on January 15 and July 15 of each year, commencing on January 15, 2027. We will pay interest on the 2037 notes semi-annually on January 15 and July 15 of each year, commencing on January 15, 2027. The 2029 notes will bear interest at the rate of 5.250% per annum. The 2032 notes will bear interest at the rate of 5.450% per annum. The 2037 notes will bear interest at the rate of 5.850% per annum. The 2029 notes will mature on September 28, 2029. The 2032 notes will mature on January 15, 2032. The 2037 notes will mature on January 15, 2037. </w:t>
      </w:r>
    </w:p>
    <w:p>
      <w:pPr>
        <w:pStyle w:val="TextBody"/>
        <w:bidi w:val="0"/>
        <w:spacing w:before="80" w:after="0"/>
        <w:jc w:val="left"/>
        <w:rPr>
          <w:rFonts w:ascii="Times New Roman" w:hAnsi="Times New Roman"/>
          <w:sz w:val="16"/>
        </w:rPr>
      </w:pPr>
      <w:r>
        <w:rPr>
          <w:rFonts w:ascii="Times New Roman" w:hAnsi="Times New Roman"/>
          <w:sz w:val="16"/>
        </w:rPr>
        <w:t xml:space="preserve">As described in “Use of Proceeds,” the notes are being offered to finance all or a portion of the purchase price payable for the Acquisition (as defined herein). This offering is not contingent on the consummation of the Acquisition, which, if completed, will occur subsequent to the closing of this offering. However, if (i) we do not consummate the Acquisition on or prior to the later of (x) August 10, 2027 and (y) such later date to which the termination date under the equity purchase agreement as in effect on the closing date of this offering may be amended in accordance with the terms thereof (such later date, the “Special Mandatory Redemption End Date”), (ii) on or prior to the Special Mandatory Redemption End Date, the equity purchase agreement with respect to the Acquisition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 (as defined herein). The net proceeds from the offering of the notes will not be deposited into an escrow account pending any Special Mandatory Redemption (as defined herein) of the notes. See “Description of Notes—Special Mandatory Redemption.” </w:t>
      </w:r>
    </w:p>
    <w:p>
      <w:pPr>
        <w:pStyle w:val="TextBody"/>
        <w:bidi w:val="0"/>
        <w:spacing w:before="80" w:after="0"/>
        <w:jc w:val="left"/>
        <w:rPr>
          <w:rFonts w:ascii="Times New Roman" w:hAnsi="Times New Roman"/>
          <w:sz w:val="16"/>
        </w:rPr>
      </w:pPr>
      <w:r>
        <w:rPr>
          <w:rFonts w:ascii="Times New Roman" w:hAnsi="Times New Roman"/>
          <w:sz w:val="16"/>
        </w:rPr>
        <w:t xml:space="preserve">We may also redeem some or all of each series of notes at any time and from time to time at the applicable redemption price described under “Description of Notes—Optional Redemption.” If we experience a change of control triggering event, as defined under the indenture governing the notes, each holder of notes may require us to repurchase some or all of its notes at a purchase price equal to 101% of the aggregate principal amount of the notes repurchased, plus any accrued and unpaid interest up to, but not including, the repurchase date. See “Description of Notes—Repurchase Upon Change of Control Triggering Event.” </w:t>
      </w:r>
    </w:p>
    <w:p>
      <w:pPr>
        <w:pStyle w:val="TextBody"/>
        <w:bidi w:val="0"/>
        <w:spacing w:before="80" w:after="0"/>
        <w:jc w:val="left"/>
        <w:rPr>
          <w:rFonts w:ascii="Times New Roman" w:hAnsi="Times New Roman"/>
          <w:sz w:val="16"/>
        </w:rPr>
      </w:pPr>
      <w:r>
        <w:rPr>
          <w:rFonts w:ascii="Times New Roman" w:hAnsi="Times New Roman"/>
          <w:sz w:val="16"/>
        </w:rPr>
        <w:t xml:space="preserve">The notes will be our senior unsecured obligations and rank equally with our other unsecured and unsubordinated indebtedness. The notes will be issued only in minimum denominations of $2,000 and integral multiples of $1,000 in excess thereof. </w:t>
      </w:r>
    </w:p>
    <w:p>
      <w:pPr>
        <w:pStyle w:val="TextBody"/>
        <w:bidi w:val="0"/>
        <w:spacing w:before="80" w:after="0"/>
        <w:jc w:val="left"/>
        <w:rPr>
          <w:rFonts w:ascii="Times New Roman" w:hAnsi="Times New Roman"/>
          <w:sz w:val="16"/>
        </w:rPr>
      </w:pPr>
      <w:r>
        <w:rPr>
          <w:rFonts w:ascii="Times New Roman" w:hAnsi="Times New Roman"/>
          <w:sz w:val="16"/>
        </w:rPr>
        <w:t xml:space="preserve">The notes are new issues of securities with no established trading markets. We do not intend to apply to list the notes on any securities exchange or to have the notes quoted on any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pPr>
      <w:r>
        <w:rPr>
          <w:rFonts w:ascii="Times New Roman" w:hAnsi="Times New Roman"/>
          <w:b/>
          <w:sz w:val="20"/>
        </w:rPr>
        <w:t xml:space="preserve">Investing in the notes involves risks. You should carefully read and consider the </w:t>
      </w:r>
      <w:hyperlink w:anchor="supprom180255_6">
        <w:r>
          <w:rPr>
            <w:rStyle w:val="InternetLink"/>
            <w:rFonts w:ascii="Times New Roman" w:hAnsi="Times New Roman"/>
            <w:b/>
            <w:sz w:val="20"/>
          </w:rPr>
          <w:t>risk factors</w:t>
        </w:r>
      </w:hyperlink>
      <w:r>
        <w:rPr>
          <w:rFonts w:ascii="Times New Roman" w:hAnsi="Times New Roman"/>
          <w:b/>
          <w:sz w:val="20"/>
        </w:rPr>
        <w:t xml:space="preserve"> included in this prospectus supplement beginning on page S-9 and included in our periodic reports and other information that we file with the Securities and Exchange Commission before you invest in the notes. </w:t>
      </w:r>
    </w:p>
    <w:p>
      <w:pPr>
        <w:pStyle w:val="TextBody"/>
        <w:bidi w:val="0"/>
        <w:spacing w:before="8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 notes or determined that this prospectus supplement or the accompanying prospectus is accurate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483"/>
        <w:gridCol w:w="237"/>
        <w:gridCol w:w="140"/>
        <w:gridCol w:w="1430"/>
        <w:gridCol w:w="275"/>
        <w:gridCol w:w="165"/>
        <w:gridCol w:w="176"/>
        <w:gridCol w:w="1262"/>
        <w:gridCol w:w="275"/>
        <w:gridCol w:w="165"/>
        <w:gridCol w:w="164"/>
        <w:gridCol w:w="1702"/>
        <w:gridCol w:w="281"/>
      </w:tblGrid>
      <w:tr>
        <w:trPr/>
        <w:tc>
          <w:tcPr>
            <w:tcW w:w="1483"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4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w:t>
              <w:br/>
              <w:t>Public (1)</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 us (1)</w:t>
            </w:r>
          </w:p>
        </w:tc>
        <w:tc>
          <w:tcPr>
            <w:tcW w:w="281" w:type="dxa"/>
            <w:tcBorders/>
            <w:vAlign w:val="bottom"/>
          </w:tcPr>
          <w:p>
            <w:pPr>
              <w:pStyle w:val="TableContents"/>
              <w:bidi w:val="0"/>
              <w:spacing w:before="0" w:after="283"/>
              <w:jc w:val="left"/>
              <w:rPr/>
            </w:pPr>
            <w:r>
              <w:rPr/>
              <w:t> </w:t>
            </w:r>
          </w:p>
        </w:tc>
      </w:tr>
      <w:tr>
        <w:trPr/>
        <w:tc>
          <w:tcPr>
            <w:tcW w:w="148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2029 Note</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99.959</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0.450</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99.509</w:t>
            </w:r>
          </w:p>
        </w:tc>
        <w:tc>
          <w:tcPr>
            <w:tcW w:w="281" w:type="dxa"/>
            <w:tcBorders/>
            <w:shd w:fill="CCEEFF" w:val="clear"/>
            <w:vAlign w:val="bottom"/>
          </w:tcPr>
          <w:p>
            <w:pPr>
              <w:pStyle w:val="TableContents"/>
              <w:bidi w:val="0"/>
              <w:spacing w:before="0" w:after="283"/>
              <w:jc w:val="left"/>
              <w:rPr/>
            </w:pPr>
            <w:r>
              <w:rPr/>
              <w:t>% </w:t>
            </w:r>
          </w:p>
        </w:tc>
      </w:tr>
      <w:tr>
        <w:trPr/>
        <w:tc>
          <w:tcPr>
            <w:tcW w:w="1483" w:type="dxa"/>
            <w:tcBorders/>
          </w:tcPr>
          <w:p>
            <w:pPr>
              <w:pStyle w:val="TableContents"/>
              <w:bidi w:val="0"/>
              <w:spacing w:before="0" w:after="0"/>
              <w:jc w:val="left"/>
              <w:rPr>
                <w:rFonts w:ascii="Times New Roman" w:hAnsi="Times New Roman"/>
                <w:sz w:val="16"/>
              </w:rPr>
            </w:pPr>
            <w:r>
              <w:rPr>
                <w:rFonts w:ascii="Times New Roman" w:hAnsi="Times New Roman"/>
                <w:sz w:val="16"/>
              </w:rPr>
              <w:t>2029 Notes Total</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30" w:type="dxa"/>
            <w:tcBorders/>
            <w:vAlign w:val="bottom"/>
          </w:tcPr>
          <w:p>
            <w:pPr>
              <w:pStyle w:val="TableContents"/>
              <w:bidi w:val="0"/>
              <w:spacing w:before="0" w:after="283"/>
              <w:jc w:val="right"/>
              <w:rPr/>
            </w:pPr>
            <w:r>
              <w:rPr/>
              <w:t>499,795,000</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2,250,000</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497,545,000</w:t>
            </w:r>
          </w:p>
        </w:tc>
        <w:tc>
          <w:tcPr>
            <w:tcW w:w="281" w:type="dxa"/>
            <w:tcBorders/>
            <w:vAlign w:val="bottom"/>
          </w:tcPr>
          <w:p>
            <w:pPr>
              <w:pStyle w:val="TableContents"/>
              <w:bidi w:val="0"/>
              <w:spacing w:before="0" w:after="283"/>
              <w:jc w:val="left"/>
              <w:rPr/>
            </w:pPr>
            <w:r>
              <w:rPr/>
              <w:t> </w:t>
            </w:r>
          </w:p>
        </w:tc>
      </w:tr>
      <w:tr>
        <w:trPr/>
        <w:tc>
          <w:tcPr>
            <w:tcW w:w="148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2032 Note</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99.841</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0.600</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99.241</w:t>
            </w:r>
          </w:p>
        </w:tc>
        <w:tc>
          <w:tcPr>
            <w:tcW w:w="281" w:type="dxa"/>
            <w:tcBorders/>
            <w:shd w:fill="CCEEFF" w:val="clear"/>
            <w:vAlign w:val="bottom"/>
          </w:tcPr>
          <w:p>
            <w:pPr>
              <w:pStyle w:val="TableContents"/>
              <w:bidi w:val="0"/>
              <w:spacing w:before="0" w:after="283"/>
              <w:jc w:val="left"/>
              <w:rPr/>
            </w:pPr>
            <w:r>
              <w:rPr/>
              <w:t>% </w:t>
            </w:r>
          </w:p>
        </w:tc>
      </w:tr>
      <w:tr>
        <w:trPr/>
        <w:tc>
          <w:tcPr>
            <w:tcW w:w="1483" w:type="dxa"/>
            <w:tcBorders/>
          </w:tcPr>
          <w:p>
            <w:pPr>
              <w:pStyle w:val="TableContents"/>
              <w:bidi w:val="0"/>
              <w:spacing w:before="0" w:after="0"/>
              <w:jc w:val="left"/>
              <w:rPr>
                <w:rFonts w:ascii="Times New Roman" w:hAnsi="Times New Roman"/>
                <w:sz w:val="16"/>
              </w:rPr>
            </w:pPr>
            <w:r>
              <w:rPr>
                <w:rFonts w:ascii="Times New Roman" w:hAnsi="Times New Roman"/>
                <w:sz w:val="16"/>
              </w:rPr>
              <w:t>2032 Notes Total</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30" w:type="dxa"/>
            <w:tcBorders/>
            <w:vAlign w:val="bottom"/>
          </w:tcPr>
          <w:p>
            <w:pPr>
              <w:pStyle w:val="TableContents"/>
              <w:bidi w:val="0"/>
              <w:spacing w:before="0" w:after="283"/>
              <w:jc w:val="right"/>
              <w:rPr/>
            </w:pPr>
            <w:r>
              <w:rPr/>
              <w:t>499,205,000</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3,000,000</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496,205,000</w:t>
            </w:r>
          </w:p>
        </w:tc>
        <w:tc>
          <w:tcPr>
            <w:tcW w:w="281" w:type="dxa"/>
            <w:tcBorders/>
            <w:vAlign w:val="bottom"/>
          </w:tcPr>
          <w:p>
            <w:pPr>
              <w:pStyle w:val="TableContents"/>
              <w:bidi w:val="0"/>
              <w:spacing w:before="0" w:after="283"/>
              <w:jc w:val="left"/>
              <w:rPr/>
            </w:pPr>
            <w:r>
              <w:rPr/>
              <w:t> </w:t>
            </w:r>
          </w:p>
        </w:tc>
      </w:tr>
      <w:tr>
        <w:trPr/>
        <w:tc>
          <w:tcPr>
            <w:tcW w:w="148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2037 Note</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99.918</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0.650</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02" w:type="dxa"/>
            <w:tcBorders/>
            <w:shd w:fill="CCEEFF" w:val="clear"/>
            <w:vAlign w:val="bottom"/>
          </w:tcPr>
          <w:p>
            <w:pPr>
              <w:pStyle w:val="TableContents"/>
              <w:bidi w:val="0"/>
              <w:spacing w:before="0" w:after="283"/>
              <w:jc w:val="right"/>
              <w:rPr/>
            </w:pPr>
            <w:r>
              <w:rPr/>
              <w:t>99.268</w:t>
            </w:r>
          </w:p>
        </w:tc>
        <w:tc>
          <w:tcPr>
            <w:tcW w:w="281" w:type="dxa"/>
            <w:tcBorders/>
            <w:shd w:fill="CCEEFF" w:val="clear"/>
            <w:vAlign w:val="bottom"/>
          </w:tcPr>
          <w:p>
            <w:pPr>
              <w:pStyle w:val="TableContents"/>
              <w:bidi w:val="0"/>
              <w:spacing w:before="0" w:after="283"/>
              <w:jc w:val="left"/>
              <w:rPr/>
            </w:pPr>
            <w:r>
              <w:rPr/>
              <w:t>% </w:t>
            </w:r>
          </w:p>
        </w:tc>
      </w:tr>
      <w:tr>
        <w:trPr/>
        <w:tc>
          <w:tcPr>
            <w:tcW w:w="1483" w:type="dxa"/>
            <w:tcBorders/>
          </w:tcPr>
          <w:p>
            <w:pPr>
              <w:pStyle w:val="TableContents"/>
              <w:bidi w:val="0"/>
              <w:spacing w:before="0" w:after="0"/>
              <w:jc w:val="left"/>
              <w:rPr>
                <w:rFonts w:ascii="Times New Roman" w:hAnsi="Times New Roman"/>
                <w:sz w:val="16"/>
              </w:rPr>
            </w:pPr>
            <w:r>
              <w:rPr>
                <w:rFonts w:ascii="Times New Roman" w:hAnsi="Times New Roman"/>
                <w:sz w:val="16"/>
              </w:rPr>
              <w:t>2037 Notes Total</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30" w:type="dxa"/>
            <w:tcBorders/>
            <w:vAlign w:val="bottom"/>
          </w:tcPr>
          <w:p>
            <w:pPr>
              <w:pStyle w:val="TableContents"/>
              <w:bidi w:val="0"/>
              <w:spacing w:before="0" w:after="283"/>
              <w:jc w:val="right"/>
              <w:rPr/>
            </w:pPr>
            <w:r>
              <w:rPr/>
              <w:t>499,590,000</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3,250,000</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702" w:type="dxa"/>
            <w:tcBorders/>
            <w:vAlign w:val="bottom"/>
          </w:tcPr>
          <w:p>
            <w:pPr>
              <w:pStyle w:val="TableContents"/>
              <w:bidi w:val="0"/>
              <w:spacing w:before="0" w:after="283"/>
              <w:jc w:val="right"/>
              <w:rPr/>
            </w:pPr>
            <w:r>
              <w:rPr/>
              <w:t>496,340,000</w:t>
            </w:r>
          </w:p>
        </w:tc>
        <w:tc>
          <w:tcPr>
            <w:tcW w:w="281" w:type="dxa"/>
            <w:tcBorders/>
            <w:vAlign w:val="bottom"/>
          </w:tcPr>
          <w:p>
            <w:pPr>
              <w:pStyle w:val="TableContents"/>
              <w:bidi w:val="0"/>
              <w:spacing w:before="0" w:after="283"/>
              <w:jc w:val="left"/>
              <w:rPr/>
            </w:pPr>
            <w:r>
              <w:rPr/>
              <w:t> </w:t>
            </w:r>
          </w:p>
        </w:tc>
      </w:tr>
      <w:tr>
        <w:trPr/>
        <w:tc>
          <w:tcPr>
            <w:tcW w:w="148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70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48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30" w:type="dxa"/>
            <w:tcBorders/>
            <w:shd w:fill="CCEEFF" w:val="clear"/>
            <w:vAlign w:val="bottom"/>
          </w:tcPr>
          <w:p>
            <w:pPr>
              <w:pStyle w:val="TableContents"/>
              <w:bidi w:val="0"/>
              <w:spacing w:before="0" w:after="283"/>
              <w:jc w:val="right"/>
              <w:rPr/>
            </w:pPr>
            <w:r>
              <w:rPr/>
              <w:t>1,498,590,000</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8,500,000</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702" w:type="dxa"/>
            <w:tcBorders/>
            <w:shd w:fill="CCEEFF" w:val="clear"/>
            <w:vAlign w:val="bottom"/>
          </w:tcPr>
          <w:p>
            <w:pPr>
              <w:pStyle w:val="TableContents"/>
              <w:bidi w:val="0"/>
              <w:spacing w:before="0" w:after="283"/>
              <w:jc w:val="right"/>
              <w:rPr/>
            </w:pPr>
            <w:r>
              <w:rPr/>
              <w:t>1,490,090,000</w:t>
            </w:r>
          </w:p>
        </w:tc>
        <w:tc>
          <w:tcPr>
            <w:tcW w:w="281" w:type="dxa"/>
            <w:tcBorders/>
            <w:shd w:fill="CCEEFF" w:val="clear"/>
            <w:vAlign w:val="bottom"/>
          </w:tcPr>
          <w:p>
            <w:pPr>
              <w:pStyle w:val="TableContents"/>
              <w:bidi w:val="0"/>
              <w:spacing w:before="0" w:after="283"/>
              <w:jc w:val="left"/>
              <w:rPr/>
            </w:pPr>
            <w:r>
              <w:rPr/>
              <w:t> </w:t>
            </w:r>
          </w:p>
        </w:tc>
      </w:tr>
      <w:tr>
        <w:trPr/>
        <w:tc>
          <w:tcPr>
            <w:tcW w:w="148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3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70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September 29, 2026, if settlement occurs after that date. </w:t>
            </w:r>
          </w:p>
        </w:tc>
      </w:tr>
    </w:tbl>
    <w:p>
      <w:pPr>
        <w:pStyle w:val="TextBody"/>
        <w:bidi w:val="0"/>
        <w:spacing w:before="80" w:after="0"/>
        <w:jc w:val="left"/>
        <w:rPr>
          <w:rFonts w:ascii="Times New Roman" w:hAnsi="Times New Roman"/>
          <w:sz w:val="16"/>
        </w:rPr>
      </w:pPr>
      <w:r>
        <w:rPr>
          <w:rFonts w:ascii="Times New Roman" w:hAnsi="Times New Roman"/>
          <w:sz w:val="16"/>
        </w:rPr>
        <w:t xml:space="preserve">The underwriters expect to deliver the notes in book-entry form only through the facilities of The Depository Trust Company and its participants, including Clearstream Banking, </w:t>
      </w:r>
      <w:r>
        <w:rPr>
          <w:rFonts w:ascii="Times New Roman" w:hAnsi="Times New Roman"/>
          <w:i/>
          <w:sz w:val="16"/>
        </w:rPr>
        <w:t xml:space="preserve">société anonyme </w:t>
      </w:r>
      <w:r>
        <w:rPr>
          <w:rFonts w:ascii="Times New Roman" w:hAnsi="Times New Roman"/>
          <w:sz w:val="16"/>
        </w:rPr>
        <w:t xml:space="preserve">and Euroclear Bank S.A./N.V., on or about September 29,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5"/>
        <w:gridCol w:w="101"/>
        <w:gridCol w:w="4185"/>
        <w:gridCol w:w="102"/>
        <w:gridCol w:w="3062"/>
      </w:tblGrid>
      <w:tr>
        <w:trPr/>
        <w:tc>
          <w:tcPr>
            <w:tcW w:w="27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r>
      <w:tr>
        <w:trPr/>
        <w:tc>
          <w:tcPr>
            <w:tcW w:w="2755" w:type="dxa"/>
            <w:tcBorders/>
          </w:tcPr>
          <w:p>
            <w:pPr>
              <w:pStyle w:val="TableContents"/>
              <w:bidi w:val="0"/>
              <w:spacing w:before="0" w:after="283"/>
              <w:jc w:val="left"/>
              <w:rPr>
                <w:b/>
              </w:rPr>
            </w:pPr>
            <w:r>
              <w:rPr>
                <w:b/>
              </w:rPr>
              <w:t>Citigroup</w:t>
            </w:r>
          </w:p>
        </w:tc>
        <w:tc>
          <w:tcPr>
            <w:tcW w:w="101"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r>
              <w:rPr>
                <w:b/>
              </w:rPr>
              <w:t>ING</w:t>
            </w:r>
          </w:p>
        </w:tc>
        <w:tc>
          <w:tcPr>
            <w:tcW w:w="1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right"/>
              <w:rPr>
                <w:b/>
              </w:rPr>
            </w:pPr>
            <w:r>
              <w:rPr>
                <w:b/>
              </w:rPr>
              <w:t>J.P. Morgan</w:t>
            </w:r>
          </w:p>
        </w:tc>
      </w:tr>
    </w:tbl>
    <w:tbl>
      <w:tblPr>
        <w:tblW w:w="5000" w:type="pct"/>
        <w:jc w:val="center"/>
        <w:tblInd w:w="0" w:type="dxa"/>
        <w:tblLayout w:type="fixed"/>
        <w:tblCellMar>
          <w:top w:w="0" w:type="dxa"/>
          <w:left w:w="0" w:type="dxa"/>
          <w:bottom w:w="0" w:type="dxa"/>
          <w:right w:w="0" w:type="dxa"/>
        </w:tblCellMar>
      </w:tblPr>
      <w:tblGrid>
        <w:gridCol w:w="1020"/>
        <w:gridCol w:w="101"/>
        <w:gridCol w:w="3471"/>
        <w:gridCol w:w="102"/>
        <w:gridCol w:w="4287"/>
        <w:gridCol w:w="102"/>
        <w:gridCol w:w="1122"/>
      </w:tblGrid>
      <w:tr>
        <w:trPr/>
        <w:tc>
          <w:tcPr>
            <w:tcW w:w="102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28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center"/>
              <w:rPr/>
            </w:pPr>
            <w:r>
              <w:rPr/>
              <w:t> </w:t>
            </w:r>
          </w:p>
        </w:tc>
        <w:tc>
          <w:tcPr>
            <w:tcW w:w="10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4287" w:type="dxa"/>
            <w:tcBorders/>
          </w:tcPr>
          <w:p>
            <w:pPr>
              <w:pStyle w:val="TableContents"/>
              <w:bidi w:val="0"/>
              <w:spacing w:before="0" w:after="283"/>
              <w:jc w:val="center"/>
              <w:rPr>
                <w:b/>
              </w:rPr>
            </w:pPr>
            <w:r>
              <w:rPr>
                <w:b/>
              </w:rPr>
              <w:t>Wells Fargo Securities</w:t>
            </w:r>
          </w:p>
        </w:tc>
        <w:tc>
          <w:tcPr>
            <w:tcW w:w="102"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center"/>
              <w:rPr/>
            </w:pPr>
            <w:r>
              <w:rPr/>
              <w:t> </w:t>
            </w:r>
          </w:p>
        </w:tc>
      </w:tr>
    </w:tbl>
    <w:p>
      <w:pPr>
        <w:pStyle w:val="TextBody"/>
        <w:bidi w:val="0"/>
        <w:spacing w:before="80" w:after="0"/>
        <w:jc w:val="center"/>
        <w:rPr>
          <w:rFonts w:ascii="Times New Roman" w:hAnsi="Times New Roman"/>
          <w:b/>
          <w:i/>
          <w:sz w:val="16"/>
        </w:rPr>
      </w:pPr>
      <w:r>
        <w:rPr>
          <w:rFonts w:ascii="Times New Roman" w:hAnsi="Times New Roman"/>
          <w:b/>
          <w:i/>
          <w:sz w:val="16"/>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102"/>
        <w:gridCol w:w="3981"/>
        <w:gridCol w:w="101"/>
        <w:gridCol w:w="3878"/>
        <w:gridCol w:w="102"/>
        <w:gridCol w:w="1021"/>
      </w:tblGrid>
      <w:tr>
        <w:trPr/>
        <w:tc>
          <w:tcPr>
            <w:tcW w:w="102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b/>
              </w:rPr>
            </w:pPr>
            <w:r>
              <w:rPr>
                <w:b/>
              </w:rPr>
              <w:t>TD Securities  </w:t>
            </w:r>
          </w:p>
        </w:tc>
        <w:tc>
          <w:tcPr>
            <w:tcW w:w="101"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b/>
              </w:rPr>
            </w:pPr>
            <w:r>
              <w:rPr>
                <w:b/>
              </w:rPr>
              <w:t>US Bancorp</w:t>
            </w:r>
          </w:p>
        </w:tc>
        <w:tc>
          <w:tcPr>
            <w:tcW w:w="102" w:type="dxa"/>
            <w:tcBorders/>
            <w:vAlign w:val="bottom"/>
          </w:tcPr>
          <w:p>
            <w:pPr>
              <w:pStyle w:val="TableContents"/>
              <w:bidi w:val="0"/>
              <w:spacing w:before="0" w:after="283"/>
              <w:jc w:val="left"/>
              <w:rPr/>
            </w:pPr>
            <w:r>
              <w:rPr/>
              <w:t> </w:t>
            </w:r>
          </w:p>
        </w:tc>
        <w:tc>
          <w:tcPr>
            <w:tcW w:w="1021" w:type="dxa"/>
            <w:tcBorders/>
          </w:tcPr>
          <w:p>
            <w:pPr>
              <w:pStyle w:val="TableContents"/>
              <w:bidi w:val="0"/>
              <w:spacing w:before="0" w:after="283"/>
              <w:jc w:val="right"/>
              <w:rPr/>
            </w:pPr>
            <w:r>
              <w:rPr/>
              <w:t> </w:t>
            </w:r>
          </w:p>
        </w:tc>
      </w:tr>
    </w:tbl>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Deutsche Bank Securities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Siebert Williams Shank</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SEB</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The date of this prospectus supplement is September 15,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283"/>
              <w:jc w:val="center"/>
              <w:rPr>
                <w:b/>
              </w:rPr>
            </w:pPr>
            <w:r>
              <w:rPr>
                <w:b/>
              </w:rPr>
              <w:t>Prospectus Supplement</w:t>
            </w:r>
          </w:p>
        </w:tc>
        <w:tc>
          <w:tcPr>
            <w:tcW w:w="145"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3">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4">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5">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6">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7">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8">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9">
              <w:r>
                <w:rPr>
                  <w:rStyle w:val="InternetLink"/>
                  <w:rFonts w:ascii="Times New Roman" w:hAnsi="Times New Roman"/>
                  <w:sz w:val="20"/>
                </w:rPr>
                <w:t>Description of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0">
              <w:r>
                <w:rPr>
                  <w:rStyle w:val="InternetLink"/>
                  <w:rFonts w:ascii="Times New Roman" w:hAnsi="Times New Roman"/>
                  <w:sz w:val="20"/>
                </w:rPr>
                <w:t>Material United States Federal Income Tax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1">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2">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80255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rHeight w:val="24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center"/>
              <w:rPr>
                <w:b/>
              </w:rPr>
            </w:pPr>
            <w:r>
              <w:rPr>
                <w:b/>
              </w:rPr>
              <w:t>Prospectus</w:t>
            </w:r>
          </w:p>
        </w:tc>
        <w:tc>
          <w:tcPr>
            <w:tcW w:w="145"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
              <w:r>
                <w:rPr>
                  <w:rStyle w:val="InternetLink"/>
                  <w:rFonts w:ascii="Times New Roman" w:hAnsi="Times New Roman"/>
                  <w:sz w:val="20"/>
                </w:rPr>
                <w:t>About This Prospectus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3">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4">
              <w:r>
                <w:rPr>
                  <w:rStyle w:val="InternetLink"/>
                  <w:rFonts w:ascii="Times New Roman" w:hAnsi="Times New Roman"/>
                  <w:sz w:val="20"/>
                </w:rPr>
                <w:t>Special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5">
              <w:r>
                <w:rPr>
                  <w:rStyle w:val="InternetLink"/>
                  <w:rFonts w:ascii="Times New Roman" w:hAnsi="Times New Roman"/>
                  <w:sz w:val="20"/>
                </w:rPr>
                <w:t>About the Registrant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6">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7">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8">
              <w:r>
                <w:rPr>
                  <w:rStyle w:val="InternetLink"/>
                  <w:rFonts w:ascii="Times New Roman" w:hAnsi="Times New Roman"/>
                  <w:sz w:val="20"/>
                </w:rPr>
                <w:t>Description of Debt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9">
              <w:r>
                <w:rPr>
                  <w:rStyle w:val="InternetLink"/>
                  <w:rFonts w:ascii="Times New Roman" w:hAnsi="Times New Roman"/>
                  <w:sz w:val="20"/>
                </w:rPr>
                <w:t>Description of Capital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0">
              <w:r>
                <w:rPr>
                  <w:rStyle w:val="InternetLink"/>
                  <w:rFonts w:ascii="Times New Roman" w:hAnsi="Times New Roman"/>
                  <w:sz w:val="20"/>
                </w:rPr>
                <w:t>Description of Other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1">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2">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80255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8025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the offering of the notes. The second part is the accompanying prospectus dated August 3, 2026, which we refer to as the “accompanying prospectus.” The accompanying prospectus contains a general description of our debt securities and other general information, some of which may not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or incorporated by reference in this prospectus supplement, the accompanying prospectus and in any related free writing prospectus we prepare or authorize. We have not, and the underwriters have not, authorized anyone to give you any other information, and neither we nor the underwriters take responsibility for any other information that others may give you. The notes are offered globally for sale only in those jurisdictions where it is lawful to make such offers. We are not, and the underwriters are not, making an offer of these securities in any jurisdiction where the offer or sale is not permitted.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to sell or the solicitation of an offer to buy (i) by any person in any jurisdiction in which such offer or solicitation is not authorized or in which the person making such offer or solicitation is not authorized or qualified to make such offer or solicitation or (ii) to any person to whom it is unlawful to make such offer or solicitation. See “Underwriting” in this prospectus supplement. You should not assume that the information provided by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in the notes, you should carefully read the registration statement (including the exhibits thereto) of which this prospectus supplement and the accompanying prospectus form a part, this prospectus supplement, the accompanying prospectus and the documents incorporated by reference into this prospectus supplement and the accompanying prospectus. The incorporated documents are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“Xylem,” the “Company,” “we,” “us,” and “our” refer to Xylem Inc. and its consolidated subsidiaries. </w:t>
      </w:r>
    </w:p>
    <w:p>
      <w:pPr>
        <w:pStyle w:val="TextBody"/>
        <w:bidi w:val="0"/>
        <w:spacing w:before="480" w:after="0"/>
        <w:jc w:val="center"/>
        <w:rPr>
          <w:rFonts w:ascii="Times New Roman" w:hAnsi="Times New Roman"/>
          <w:b/>
          <w:sz w:val="20"/>
        </w:rPr>
      </w:pPr>
      <w:bookmarkStart w:id="4" w:name="supprom180255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10-K, quarterly reports on Form 10-Q, current reports on Form 8-K, proxy and information statements and other information with the Securities and Exchange Commission (the “SEC”).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http://www.xylem.com. This reference to our website is for informational purposes only and shall not, under any circumstances, be deemed to incorporate the information available at or through such website into this prospectus supplement or the accompanying prospectus. </w:t>
      </w:r>
    </w:p>
    <w:p>
      <w:pPr>
        <w:pStyle w:val="TextBody"/>
        <w:bidi w:val="0"/>
        <w:spacing w:before="480" w:after="0"/>
        <w:jc w:val="center"/>
        <w:rPr>
          <w:rFonts w:ascii="Times New Roman" w:hAnsi="Times New Roman"/>
          <w:b/>
          <w:sz w:val="20"/>
        </w:rPr>
      </w:pPr>
      <w:bookmarkStart w:id="5" w:name="supprom180255_3"/>
      <w:bookmarkEnd w:id="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documents we file with the SEC into this prospectus supplement, which means that we can disclose important information to you by referring to those documents. The information incorporated by reference is considered part of this prospectus supplement. Any statement in this prospectus supplement or incorporated by reference into this prospectus supplement shall be automatically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modified or superseded for purposes of this prospectus supplement to the extent that a statement contained herein or in a subsequently filed document that is incorporated by reference in this prospectus supplement modifies or supersedes such prior statement. We incorporate by reference the following documents filed with the SEC (other than, in each case, any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March 30, 2026, to the extent specifically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and June 30, 2026, filed with the SEC on </w:t>
            </w:r>
            <w:hyperlink r:id="rId5">
              <w:r>
                <w:rPr>
                  <w:rStyle w:val="InternetLink"/>
                  <w:rFonts w:ascii="Times New Roman" w:hAnsi="Times New Roman"/>
                  <w:sz w:val="20"/>
                </w:rPr>
                <w:t>April  28, 2026</w:t>
              </w:r>
            </w:hyperlink>
            <w:r>
              <w:rPr>
                <w:rFonts w:ascii="Times New Roman" w:hAnsi="Times New Roman"/>
                <w:sz w:val="20"/>
              </w:rPr>
              <w:t xml:space="preserve"> and </w:t>
            </w:r>
            <w:hyperlink r:id="rId6">
              <w:r>
                <w:rPr>
                  <w:rStyle w:val="InternetLink"/>
                  <w:rFonts w:ascii="Times New Roman" w:hAnsi="Times New Roman"/>
                  <w:sz w:val="20"/>
                </w:rPr>
                <w:t>July 28,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25, 2026</w:t>
              </w:r>
            </w:hyperlink>
            <w:r>
              <w:rPr>
                <w:rFonts w:ascii="Times New Roman" w:hAnsi="Times New Roman"/>
                <w:sz w:val="20"/>
              </w:rPr>
              <w:t xml:space="preserve">, </w:t>
            </w:r>
            <w:hyperlink r:id="rId8">
              <w:r>
                <w:rPr>
                  <w:rStyle w:val="InternetLink"/>
                  <w:rFonts w:ascii="Times New Roman" w:hAnsi="Times New Roman"/>
                  <w:sz w:val="20"/>
                </w:rPr>
                <w:t>May  18, 2026</w:t>
              </w:r>
            </w:hyperlink>
            <w:r>
              <w:rPr>
                <w:rFonts w:ascii="Times New Roman" w:hAnsi="Times New Roman"/>
                <w:sz w:val="20"/>
              </w:rPr>
              <w:t xml:space="preserve">, </w:t>
            </w:r>
            <w:hyperlink r:id="rId9">
              <w:r>
                <w:rPr>
                  <w:rStyle w:val="InternetLink"/>
                  <w:rFonts w:ascii="Times New Roman" w:hAnsi="Times New Roman"/>
                  <w:sz w:val="20"/>
                </w:rPr>
                <w:t>May  29, 2026</w:t>
              </w:r>
            </w:hyperlink>
            <w:r>
              <w:rPr>
                <w:rFonts w:ascii="Times New Roman" w:hAnsi="Times New Roman"/>
                <w:sz w:val="20"/>
              </w:rPr>
              <w:t xml:space="preserve">, </w:t>
            </w:r>
            <w:hyperlink r:id="rId10">
              <w:r>
                <w:rPr>
                  <w:rStyle w:val="InternetLink"/>
                  <w:rFonts w:ascii="Times New Roman" w:hAnsi="Times New Roman"/>
                  <w:sz w:val="20"/>
                </w:rPr>
                <w:t>August  13, 2026</w:t>
              </w:r>
            </w:hyperlink>
            <w:r>
              <w:rPr>
                <w:rFonts w:ascii="Times New Roman" w:hAnsi="Times New Roman"/>
                <w:sz w:val="20"/>
              </w:rPr>
              <w:t xml:space="preserve">, </w:t>
            </w:r>
            <w:hyperlink r:id="rId11">
              <w:r>
                <w:rPr>
                  <w:rStyle w:val="InternetLink"/>
                  <w:rFonts w:ascii="Times New Roman" w:hAnsi="Times New Roman"/>
                  <w:sz w:val="20"/>
                </w:rPr>
                <w:t>August  18, 2026</w:t>
              </w:r>
            </w:hyperlink>
            <w:r>
              <w:rPr>
                <w:rFonts w:ascii="Times New Roman" w:hAnsi="Times New Roman"/>
                <w:sz w:val="20"/>
              </w:rPr>
              <w:t xml:space="preserve"> and </w:t>
            </w:r>
            <w:hyperlink r:id="rId12">
              <w:r>
                <w:rPr>
                  <w:rStyle w:val="InternetLink"/>
                  <w:rFonts w:ascii="Times New Roman" w:hAnsi="Times New Roman"/>
                  <w:sz w:val="20"/>
                </w:rPr>
                <w:t>September 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Securities Exchange Act of 1934, as amended (the “Exchange Act”) before the termination of the offering of the securities made under this prospectus supplement. Unless we specifically state to the contrary, none of the information we disclose under Items 2.02 or 7.01 of any Current Report on Form 8-K that we may from time to time furnish to the SEC will be incorporated by reference into, or otherwise included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to whom a copy of this prospectus has been delivered, including any beneficial owner, may request a copy of any or all of the documents referred to above which may have been or may be incorporated by reference into this prospectus supplement and accompanying prospectus (excluding certain exhibits to the documents) at no cost by making a written or oral request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Xylem Inc., Attention: Corporate Secretary, 301 Water Street SE, Washington, D.C. 20003, (202) 869-9150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YOU WITH ANY ADDITIONAL INFORMATION OR ANY INFORMATION THAT IS DIFFERENT FROM THAT CONTAINED IN OR INCORPORATED BY REFERENCE INTO THIS PROSPECTUS SUPPLEMENT OR THE ACCOMPANYING PROSPECTUS OR ANY FREE WRITING PROSPECTUS PROVIDED IN CONNECTION WITH THE OFFERING OF THE NOTES. WE AND THE UNDERWRITERS TAKE NO RESPONSIBILITY FOR, AND CAN PROVIDE NO ASSURANCE AS TO THE RELIABILITY OF, ANY OTHER INFORMATION THAT OTHERS MAY GIVE YOU. YOU SHOULD NOT ASSUME THAT THE INFORMATION CONTAINED IN THIS PROSPECTUS SUPPLEMENT OR THE ACCOMPANYING PROSPECTUS IS ACCURATE AS OF ANY DATE OTHER THAN THAT DATE, UNLESS WE OTHERWISE NOTE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80255_4"/>
      <w:bookmarkEnd w:id="6"/>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documents incorporated herein by reference, contains “forward-looking statements” within the meaning of Section 27A of the Securities Act of 1933, as amended (the “Securities Act”) and Section 21E of the Exchange Act. Generally, the words “anticipate,” “estimate,” “expect,” “project,” “intend,” “plan,” “contemplate,” “predict,”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to our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below under “Risk Factors” and those described from time to time in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and other statements in this prospectus supplement or the documents incorporated by reference herein regarding our environmental and other sustainability plans and goals are not an indication that these statements are necessarily material to investors, to our business, operating results,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outlook, or strategy, to our impacts on sustainability matters or other parties, or are required to be disclosed in our filings with the SEC or other regulatory authorities, and are not intended to create legal rights or obligations.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prospectus supplement. We undertake no obligation to publicly update or revise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rom180255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brief summary of some of the terms of this offering. It does not contain all of the information that you need to consider in making your investment decision. To understand all of the terms of the offering of the notes, you should carefully read this prospectus supplement and the accompanying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About Xylem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Infrastructure </w:t>
            </w:r>
            <w:r>
              <w:rPr>
                <w:rFonts w:ascii="Times New Roman" w:hAnsi="Times New Roman"/>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Applied Water </w:t>
            </w:r>
            <w:r>
              <w:rPr>
                <w:rFonts w:ascii="Times New Roman" w:hAnsi="Times New Roman"/>
                <w:sz w:val="20"/>
              </w:rPr>
              <w:t xml:space="preserve">serves the water usage applications sector with water pressure boosting systems for heating, ventilation and air 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Measurement and Control Solutions</w:t>
            </w:r>
            <w:r>
              <w:rPr>
                <w:rFonts w:ascii="Times New Roman" w:hAnsi="Times New Roman"/>
                <w:sz w:val="20"/>
              </w:rPr>
              <w:t xml:space="preserve"> 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Solutions and Services </w:t>
            </w:r>
            <w:r>
              <w:rPr>
                <w:rFonts w:ascii="Times New Roman" w:hAnsi="Times New Roman"/>
                <w:sz w:val="20"/>
              </w:rPr>
              <w:t xml:space="preserve">provides tailored services and solutions, in collaboration with customers, including on-demand water, outsourced water, recycle/reuse, pipeline assessment services, specialty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 external partners, and extensive service branch networks across the globe, including a rental fleet of transfer and treatment assets to serve our customers.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Xylem Inc. was incorporated under the laws of the State of Indiana on May 4, 2011. Our principal executive offices are located at 301 Water Street SE, Washington, D.C. 20003 USA, and our telephone number is (202) 869-9150.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11, 2026, we announced that we entered into a definitive agreement to acquire the Cornell Pump and Roper Pump businesses through a subsidiary from Indicor, LLC (“Indicor”) for a purchase price of approximately $1.46 billion in cash, subject to customary adjustments for working capital, cash, indebtedness, transaction expenses and other matters (the “Acquisition”). The Acquisition is expected to close in the fourth quarter of 2026, subject to customary closing conditions and required regulatory approvals set forth in the equity purchase agreement dated August 10, 2026 (the “EPA”). The EPA also provides for certain termination rights for both the Company and Indicor.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Acquisition, we entered into a debt commitment letter with a syndicate of commercial banks (the “Debt Financing Sources”). Subject to the satisfaction of certain customary conditions, the Debt Financing Sources committed to provide up to $1.5 billion in financing for the Acquisition, consisting of a 364-day senior unsecured bridge term loan facility (the “Bridge Facility”). We anticipate that the net proceeds from this offering, together with cash on hand, will be sufficient to fund the Acquisition, in which case we would not expect to borrow under the Bridge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offering is not contingent upon the consummation of the Acquisition. However, 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each series of notes at a redemption price equal to 101% of the aggregate principal amount of such notes, plus accrued and unpaid interest thereon, if any, to, but excluding, the Special Mandatory Redemption Date. The net proceeds from the offering of the notes will not be deposited into an escrow account pending any Special Mandatory Redemption of the notes. See “Description of Notes—Special Mandatory Redemption.”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New Revolving Credit Facility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8, 2026, we entered into a new $1.5 billion senior unsecured revolving credit facility, with substantially the same terms as our existing credit facilities (the “New Revolving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Issuer </w:t>
            </w:r>
          </w:p>
        </w:tc>
        <w:tc>
          <w:tcPr>
            <w:tcW w:w="6329" w:type="dxa"/>
            <w:tcBorders/>
          </w:tcPr>
          <w:p>
            <w:pPr>
              <w:pStyle w:val="TableContents"/>
              <w:bidi w:val="0"/>
              <w:spacing w:before="0" w:after="283"/>
              <w:jc w:val="left"/>
              <w:rPr/>
            </w:pPr>
            <w:r>
              <w:rPr/>
              <w:t xml:space="preserve">Xylem Inc., an Indiana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6" w:type="dxa"/>
            <w:tcBorders/>
          </w:tcPr>
          <w:p>
            <w:pPr>
              <w:pStyle w:val="TableContents"/>
              <w:bidi w:val="0"/>
              <w:spacing w:before="0" w:after="283"/>
              <w:jc w:val="left"/>
              <w:rPr/>
            </w:pPr>
            <w:r>
              <w:rPr/>
              <w:t xml:space="preserve">$1,500,000,000 aggregate principal amount of our notes, consisting of $500,000,000 aggregate principal amount of 5.250% Senior Notes due 2029, $500,000,000 aggregate principal amount of 5.450% Senior Notes due 2032 and $500,000,000 aggregate principal amount of 5.850% Senior Notes due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Original Issue Date </w:t>
            </w:r>
          </w:p>
        </w:tc>
        <w:tc>
          <w:tcPr>
            <w:tcW w:w="6328" w:type="dxa"/>
            <w:tcBorders/>
          </w:tcPr>
          <w:p>
            <w:pPr>
              <w:pStyle w:val="TableContents"/>
              <w:bidi w:val="0"/>
              <w:spacing w:before="0" w:after="283"/>
              <w:jc w:val="left"/>
              <w:rPr/>
            </w:pPr>
            <w:r>
              <w:rPr/>
              <w:t xml:space="preserve">September 29,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7" w:type="dxa"/>
            <w:tcBorders/>
          </w:tcPr>
          <w:p>
            <w:pPr>
              <w:pStyle w:val="TableContents"/>
              <w:bidi w:val="0"/>
              <w:spacing w:before="0" w:after="283"/>
              <w:jc w:val="left"/>
              <w:rPr/>
            </w:pPr>
            <w:r>
              <w:rPr/>
              <w:t xml:space="preserve">The 2029 notes will mature on September 28, 2029. The 2032 notes will mature on January 15, 2032. The 2037 notes will mature on January 15,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6" w:type="dxa"/>
            <w:tcBorders/>
          </w:tcPr>
          <w:p>
            <w:pPr>
              <w:pStyle w:val="TableContents"/>
              <w:bidi w:val="0"/>
              <w:spacing w:before="0" w:after="283"/>
              <w:jc w:val="left"/>
              <w:rPr/>
            </w:pPr>
            <w:r>
              <w:rPr/>
              <w:t xml:space="preserve">Interest on the 2029 notes will be paid semi-annually on March 28 and September 28 of each year, commencing on March 28, 2027. Interest on the 2032 notes and the 2037 notes will be paid semi-annually on January 15 and July 15 of each year, commencing on January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6" w:type="dxa"/>
            <w:tcBorders/>
          </w:tcPr>
          <w:p>
            <w:pPr>
              <w:pStyle w:val="TableContents"/>
              <w:bidi w:val="0"/>
              <w:spacing w:before="0" w:after="283"/>
              <w:jc w:val="left"/>
              <w:rPr/>
            </w:pPr>
            <w:r>
              <w:rPr/>
              <w:t xml:space="preserve">The 2029 notes will bear interest at a rate of 5.250% per annum. The 2032 notes will bear interest at a rate of 5.450% per annum. The 2037 notes will bear interest at a rate of 5.850%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Repurchase at the Option of the Holders of the Notes </w:t>
            </w:r>
          </w:p>
        </w:tc>
        <w:tc>
          <w:tcPr>
            <w:tcW w:w="6328" w:type="dxa"/>
            <w:tcBorders/>
          </w:tcPr>
          <w:p>
            <w:pPr>
              <w:pStyle w:val="TableContents"/>
              <w:bidi w:val="0"/>
              <w:spacing w:before="0" w:after="283"/>
              <w:jc w:val="left"/>
              <w:rPr/>
            </w:pPr>
            <w:r>
              <w:rPr/>
              <w:t xml:space="preserve">If we experience a change of control triggering event, each holder of notes may require us to repurchase some or all of the notes at a purchase price equal to 101% of the aggregate principal amount of the notes repurchased, plus any accrued and unpaid interest up to, but not including, the repurchase date. See “Description of Notes—Repurchase Upon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at our option, redeem some or all of each series of notes, at any time and from time to time, in whole or in part, at the redemption prices described under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Special Mandatory Redemption </w:t>
            </w:r>
          </w:p>
        </w:tc>
        <w:tc>
          <w:tcPr>
            <w:tcW w:w="6328" w:type="dxa"/>
            <w:tcBorders/>
          </w:tcPr>
          <w:p>
            <w:pPr>
              <w:pStyle w:val="TableContents"/>
              <w:bidi w:val="0"/>
              <w:spacing w:before="0" w:after="283"/>
              <w:jc w:val="left"/>
              <w:rPr/>
            </w:pPr>
            <w:r>
              <w:rPr/>
              <w:t xml:space="preserve">The completion of this offering is not contingent upon the consummation of the Acquisition. However, 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 The net proceeds from the offering of the notes will not be deposited into an escrow account pending any Special Mandatory Redemption of the notes. See “Description of Notes—Special Mandatory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intend to use the net proceeds from this offering, together with cash on hand, to finance all or a portion of the purchase price payable for the Acquisition, to pay associated costs and expenses and for general corporate purposes.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This offering is not contingent upon the consummation of the Acquisition. However, if a Special Mandatory Redemption Event occurs, we will be required to redeem the notes of each series at the Special Mandatory Redemption Price (as defined herein). See “Description of Notes—Special Mandatory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unsecured obligations of ours and will rank equally with our other unsecured and unsubordinated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only in minimum denominations of $2,000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w:t>
            </w:r>
          </w:p>
        </w:tc>
        <w:tc>
          <w:tcPr>
            <w:tcW w:w="6329" w:type="dxa"/>
            <w:tcBorders/>
          </w:tcPr>
          <w:p>
            <w:pPr>
              <w:pStyle w:val="TableContents"/>
              <w:bidi w:val="0"/>
              <w:spacing w:before="0" w:after="283"/>
              <w:jc w:val="left"/>
              <w:rPr/>
            </w:pPr>
            <w:r>
              <w:rPr/>
              <w:t xml:space="preserve">The notes of each series will be represented by global certificates deposited with, or on behalf of, The Depository Trust Company (“DTC”), or its nominee.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Absence of Public Market </w:t>
            </w:r>
          </w:p>
        </w:tc>
        <w:tc>
          <w:tcPr>
            <w:tcW w:w="6327" w:type="dxa"/>
            <w:tcBorders/>
          </w:tcPr>
          <w:p>
            <w:pPr>
              <w:pStyle w:val="TableContents"/>
              <w:bidi w:val="0"/>
              <w:spacing w:before="0" w:after="283"/>
              <w:jc w:val="left"/>
              <w:rPr/>
            </w:pPr>
            <w:r>
              <w:rPr/>
              <w:t xml:space="preserve">The notes are new securities for which there is currently no public trading market. Accordingly, we cannot assure you as to the development or liquidity of any market for the notes. We have been advised by the underwriters that they presently intend to make a market in the notes after completion of this offering. However, they are under no obligation to do so and may discontinue any market-making activities at any time without any notice. We do not intend to apply to list the notes on any securities exchange or to have the notes quoted on any automated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Issues </w:t>
            </w:r>
          </w:p>
        </w:tc>
        <w:tc>
          <w:tcPr>
            <w:tcW w:w="6328" w:type="dxa"/>
            <w:tcBorders/>
          </w:tcPr>
          <w:p>
            <w:pPr>
              <w:pStyle w:val="TableContents"/>
              <w:bidi w:val="0"/>
              <w:spacing w:before="0" w:after="283"/>
              <w:jc w:val="left"/>
              <w:rPr/>
            </w:pPr>
            <w:r>
              <w:rPr/>
              <w:t xml:space="preserve">We may from time to time, without notice to or the consent of the holders of notes, create and issue further notes of any series ranking equally and ratably with the notes of the applicable series in all respects, or in all respects except for the payment of interest accruing prior to the issue date or except for the first payment of interest following the issue date of those further notes. Any further notes will have the same terms as to status, redemption or otherwise as the notes. If such further notes are not fungible with the notes of such series in this offering for United States federal income tax purposes, the further notes will have different ISIN and CUSIP numbers.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under which they will be issued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Paying Agent </w:t>
            </w:r>
          </w:p>
        </w:tc>
        <w:tc>
          <w:tcPr>
            <w:tcW w:w="6327" w:type="dxa"/>
            <w:tcBorders/>
          </w:tcPr>
          <w:p>
            <w:pPr>
              <w:pStyle w:val="TableContents"/>
              <w:bidi w:val="0"/>
              <w:spacing w:before="0" w:after="283"/>
              <w:jc w:val="left"/>
              <w:rPr/>
            </w:pPr>
            <w:r>
              <w:rPr/>
              <w:t xml:space="preserve">Deutsche Bank Trust Company Americas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the notes involves risks. See “Risk Factors” for more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80255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notes involves risk. Before you decide whether to purchase any notes, you should carefully consider the risks described under “Risk Factors” in Item 1A of our Annual Report on Form 10-K for the year ended December 31, 2025 and our Quarterly Reports on Form 10-Q for the quarterly periods ended March 31, 2026 and June 30, 2026 (which Risk Factors are incorporated by reference herein), as such descriptions may be updated or amended in any future reports we file with the SEC, as well as the risks described below and the other information contained or incorporated by reference in this prospectus supplement and the accompanying prospectus. See “Where You Can Find More Information” above.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the Notes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be able to repurchase the notes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Upon a change of control triggering event, as defined under the indenture governing the notes, we are required to offer to repurchase all of the notes then outstanding at a price equal to 101% of the aggregate principal amount of the notes repurchased, plus accrued interest. In order to obtain sufficient funds to pay the purchase price of the outstanding notes, we expect that we would have to refinance the notes. We cannot assure you that we would be able to refinance the notes on favorable terms or at all. Our failure to offer to purchase all outstanding notes or to purchase all validly tendered notes would be an event of default under the indenture governing the notes. Such an event of default may cause the acceleration of our other indebtedness. Our future indebtedness may also contain restrictions on repayment requirements with respect to specified events or transactions that constitute a change of control triggering event under the indenture. Please see the section entitled “Description of Notes—Repurchase Upon Change of Control Triggering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 and, as a result, holders of the notes may not obtain their expected return on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complete the Acquisition is subject to various conditions, certain of which are beyond our control. The EPA contains termination provisions permitting termination of the agreement in certain circumstances. 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outstanding notes of each series on the Special Mandatory Redemption Date at a redemption price equal to 101% of the aggregate principal amount of the notes plus accrued and unpaid interest thereon, if any, to, but excluding, the Special Mandatory Redemption Date. See “Description of Notes—Special Mandatory Redemption” in this prospectus supplement. If we redeem the notes pursuant to a Special Mandatory Redemption, you may not obtain the return that you expected on your investment in such notes. Whether or not a Special Mandatory Redemption is ultimately triggered, it may adversely affect trading prices for the notes prior to the Special Mandatory Redemption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not obligated to place the net proceeds from the sale of the notes in escrow prior to the closing of the Acquisition and, as a result, we may not be able to redeem the notes upon a 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net proceeds from the sale of the notes will not be deposited into an escrow account pending any Special Mandatory Redemption of the notes, and the indenture governing the notes imposes no restrictions on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 of proceeds from this offering. Accordingly, the source of funds for any redemption of notes upon a Special Mandatory Redemption would be the proceeds that we have voluntarily retained or other sources of liquidity, including available cash, borrowings, sales of assets or sales of equity securities. It is possible that we will not have sufficient financial resources available to satisfy our obligations, if any, to redeem the notes if we are required to do so pursuant to a Special Mandatory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current public market for the notes and a market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new issues of securities with no established trading markets. As a result, no assurance is given by us or any joint book-running manager or co-manager that markets will develop for the notes or that you will be able to sell the notes. If any of the notes are traded after their initial issuance, they may trade at a discount from their initial offering prices. Future trading prices of the notes will depend on many factors, including prevailing interest rates, the market for similar securities, general economic conditions, our financial condition and performance, as well as other factors. Accordingly, you may be required to bear the financial risk of an investment in the notes for an indefinite period of time. We do not intend to apply for listing or quotation of the notes on any securities exchange or automated quotation system,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choose to redeem the notes when prevailing interest rates are relatively low. </w:t>
      </w:r>
    </w:p>
    <w:p>
      <w:pPr>
        <w:pStyle w:val="TextBody"/>
        <w:bidi w:val="0"/>
        <w:spacing w:before="120" w:after="0"/>
        <w:jc w:val="left"/>
        <w:rPr>
          <w:rFonts w:ascii="Times New Roman" w:hAnsi="Times New Roman"/>
          <w:sz w:val="20"/>
        </w:rPr>
      </w:pPr>
      <w:r>
        <w:rPr>
          <w:rFonts w:ascii="Times New Roman" w:hAnsi="Times New Roman"/>
          <w:sz w:val="20"/>
        </w:rPr>
        <w:t xml:space="preserve">The notes are redeemable at our option, and we may choose to redeem some or all of the notes from time to time, especially when prevailing interest rates are lower than the rate borne by the notes. If prevailing rates are lower at the time of redemption, you would not be able to reinvest the redemption proceeds in a comparable security at an effective interest rate as high as the interest rate on the notes being redeemed. See “Description of Notes—Optional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structurally subordinated to the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obligations exclusively and not obligations of any of our subsidiaries. A significant portion of our operations is conducted through our subsidiaries. Our subsidiaries are separate legal entities that have no obligation to pay any amounts due under the notes or to make any funds available therefor, whether by dividends, loans or other payments. Except to the extent we are a creditor with recognized claims against our subsidiaries, all claims of creditors (including trade creditors) and holders of preferred stock, if any, of our subsidiaries will have priority with respect to the assets of such subsidiaries over our claims (and therefore the claims of our creditors, including holders of the notes). Consequently, the notes will be effectively subordinated to all existing and future liabilities of any of our subsidiaries and any subsidiaries that we may in the future acquire or establish.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subject to prior claims of any secured creditors, and if a default occurs, we may not have sufficient funds to fulfill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unsecured general obligations, ranking equally with other unsecured and unsubordinated indebtedness. As of June 30, 2026, we had $2.90 billion of unsecured senior notes but no amounts under our revolving credit facility outstanding. The indenture governing the notes permits us to incur additional debt, including secured debt. If we incur any secured debt, our assets will be subject to prior claims by our secured creditors.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and the previously issued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indenture governing the notes does not contain financial covenants and only provides limited protection against significant corporate events and other actions we may take that could adversely impact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While the indenture governing the notes contains terms intended to provide protection to the holders of the notes upon the occurrence of certain events involving significant corporate transactions, such terms are limited and may not be sufficient to protect your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for the notes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and, accordingly, does not protect holders of the notes in the event we experience significant adverse changes in our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that would be senior to our equity interests in our subsidiaries and therefore rank effectively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any other of our securities or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enter into highly leveraged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80255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the sale of the notes will be approximately $1,486,776,544 after deducting the underwriting discounts and our estimated expenses of this offering. We intend to use the net proceeds from the sale of the notes, together with cash on hand, to finance all or a portion of the purchase price payable for the Acquisition, to pay associated costs and expenses and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80255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consolidated capitalization as of June 30, 2026, on an actual basis and as adjusted to give effect to the issuance and sale of the notes offered hereby and the application of the net proceeds from the sale of the notes as described under “Use of Proceeds” (assuming the net proceeds of this offering are initially held as cash or cash equivalents); however, neither the “Actual” nor the “As Adjusted” column reflects issuances under our existing commercial paper program subsequent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table together with our consolidated financial statements and the notes thereto incorporated by reference into this prospectus supplement and the accompanying prospectus.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97"/>
        <w:gridCol w:w="478"/>
        <w:gridCol w:w="140"/>
        <w:gridCol w:w="691"/>
        <w:gridCol w:w="60"/>
        <w:gridCol w:w="478"/>
        <w:gridCol w:w="233"/>
        <w:gridCol w:w="1145"/>
        <w:gridCol w:w="66"/>
      </w:tblGrid>
      <w:tr>
        <w:trPr/>
        <w:tc>
          <w:tcPr>
            <w:tcW w:w="6097"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09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7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6"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Adjusted(1)</w:t>
            </w:r>
          </w:p>
        </w:tc>
        <w:tc>
          <w:tcPr>
            <w:tcW w:w="66"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283"/>
              <w:jc w:val="center"/>
              <w:rPr>
                <w:b/>
              </w:rPr>
            </w:pPr>
            <w:r>
              <w:rPr>
                <w:b/>
              </w:rPr>
              <w:t>(amounts in millions)</w:t>
            </w:r>
          </w:p>
        </w:tc>
        <w:tc>
          <w:tcPr>
            <w:tcW w:w="66" w:type="dxa"/>
            <w:tcBorders/>
            <w:vAlign w:val="bottom"/>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1,276</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1,303</w:t>
            </w:r>
          </w:p>
        </w:tc>
        <w:tc>
          <w:tcPr>
            <w:tcW w:w="66" w:type="dxa"/>
            <w:tcBorders/>
            <w:shd w:fill="CCEEFF" w:val="clear"/>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Debt included in current liabilities:</w:t>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borrowings and current maturities of long-term debt</w:t>
            </w:r>
          </w:p>
        </w:tc>
        <w:tc>
          <w:tcPr>
            <w:tcW w:w="4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531</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531</w:t>
            </w:r>
          </w:p>
        </w:tc>
        <w:tc>
          <w:tcPr>
            <w:tcW w:w="66"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Debt included in long-term liabilities:</w:t>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 notes offered hereby</w:t>
            </w:r>
          </w:p>
        </w:tc>
        <w:tc>
          <w:tcPr>
            <w:tcW w:w="4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500</w:t>
            </w:r>
          </w:p>
        </w:tc>
        <w:tc>
          <w:tcPr>
            <w:tcW w:w="66"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2032 notes offered hereby</w:t>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500</w:t>
            </w:r>
          </w:p>
        </w:tc>
        <w:tc>
          <w:tcPr>
            <w:tcW w:w="66" w:type="dxa"/>
            <w:tcBorders/>
            <w:vAlign w:val="bottom"/>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2037 notes offered hereby</w:t>
            </w:r>
          </w:p>
        </w:tc>
        <w:tc>
          <w:tcPr>
            <w:tcW w:w="4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500</w:t>
            </w:r>
          </w:p>
        </w:tc>
        <w:tc>
          <w:tcPr>
            <w:tcW w:w="66" w:type="dxa"/>
            <w:tcBorders/>
            <w:shd w:fill="CCEEFF" w:val="clear"/>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excluding current maturities (net of debt issuance costs and unamortized discount of approximately $21)</w:t>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2,395</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3,895</w:t>
            </w:r>
          </w:p>
        </w:tc>
        <w:tc>
          <w:tcPr>
            <w:tcW w:w="66"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4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2,926</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4,426</w:t>
            </w:r>
          </w:p>
        </w:tc>
        <w:tc>
          <w:tcPr>
            <w:tcW w:w="66"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10,421</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10,421</w:t>
            </w:r>
          </w:p>
        </w:tc>
        <w:tc>
          <w:tcPr>
            <w:tcW w:w="66"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and stockholders’ equity</w:t>
            </w:r>
          </w:p>
        </w:tc>
        <w:tc>
          <w:tcPr>
            <w:tcW w:w="4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13,347</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14,847</w:t>
            </w:r>
          </w:p>
        </w:tc>
        <w:tc>
          <w:tcPr>
            <w:tcW w:w="66" w:type="dxa"/>
            <w:tcBorders/>
            <w:shd w:fill="CCEEFF" w:val="clear"/>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proceeds from the notes offered hereby, net of underwriting discounts and expenses payable by us, together with cash on hand, will be used to finance all or a portion of the purchase price payable for the Acquisition; also assumes that there will be no borrowings under the Bridge Facility, which would be terminated no later than the closing date of the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80255_9"/>
      <w:bookmarkEnd w:id="11"/>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We are offering $1,500,000,000 aggregate principal amount of notes, consisting of $500,000,000 aggregate principal amount of 5.250% Senior Notes due 2029, which we refer to as the “2029 notes,” $500,000,000 aggregate principal amount of 5.450% Senior Notes due 2032, which we refer to as the “2032 notes,” and $500,000,000 aggregate principal amount of 5.850% Senior Notes due 2037, which we refer to as the “2037 notes.” We refer to the 2029 notes, the 2032 notes and the 2037 notes offered hereby collectively as the “notes.” The notes will be issued under the senior indenture, dated as of March 11, 2016, which is more fully described in the accompanying prospectus, as supplemented and amended by the first supplemental indenture, dated as of March 11, 2016 as further supplemented by the sixth supplemental indenture to be dated as of September 29, 2026, each between us and Deutsche Bank Trust Company Americas, as trustee. We refer to the senior indenture as so supplemented and amended as the “indenture.” </w:t>
      </w:r>
    </w:p>
    <w:p>
      <w:pPr>
        <w:pStyle w:val="TextBody"/>
        <w:bidi w:val="0"/>
        <w:spacing w:before="360" w:after="0"/>
        <w:jc w:val="left"/>
        <w:rPr>
          <w:rFonts w:ascii="Times New Roman" w:hAnsi="Times New Roman"/>
          <w:i/>
          <w:sz w:val="20"/>
        </w:rPr>
      </w:pPr>
      <w:r>
        <w:rPr>
          <w:rFonts w:ascii="Times New Roman" w:hAnsi="Times New Roman"/>
          <w:i/>
          <w:sz w:val="20"/>
        </w:rPr>
        <w:t xml:space="preserve">The following description supplements, and to the extent it is inconsistent with, replaces the description of the general terms and provisions of the debt securities contained in “Description of Debt Securities” in the accompanying prospectus. Because this section is a summary, it does not describe every aspect of the notes and the indenture. This summary is subject to, and qualified in its entirety by reference to, all the provisions of the notes and the indenture, including definitions of certain terms used therein. You may obtain copies of the notes and the indenture by requesting them from us or the trustee. </w:t>
      </w:r>
    </w:p>
    <w:p>
      <w:pPr>
        <w:pStyle w:val="TextBody"/>
        <w:bidi w:val="0"/>
        <w:spacing w:before="360" w:after="0"/>
        <w:jc w:val="left"/>
        <w:rPr>
          <w:rFonts w:ascii="Times New Roman" w:hAnsi="Times New Roman"/>
          <w:i/>
          <w:sz w:val="20"/>
        </w:rPr>
      </w:pPr>
      <w:r>
        <w:rPr>
          <w:rFonts w:ascii="Times New Roman" w:hAnsi="Times New Roman"/>
          <w:i/>
          <w:sz w:val="20"/>
        </w:rPr>
        <w:t xml:space="preserve">In this Description of Notes, the “Company,” “we,” “us,” “our” and similar words refer to Xylem Inc. and not to any of its subsidiaries. Any capitalized terms that are defined in the accompanying prospectus have the same meanings in this section unless a different definition appears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senior unsecured obligations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equally with all of our other unsecured and unsubordinated indebtedness from time to time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structurally subordinated to all existing and future obligations of our subsidiaries, including claims with respect to trade payables;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initially be limited to $500,000,000 aggregate principal amount in the case of the 2029 notes, $500,000,000 aggregate principal amount in the case of the 2032 notes and $500,000,000 aggregate principal amount in the case of the 2037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minimum denominations of $2,000 and integral multiples of $1,000 in excess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2029 notes will mature on September 28, 2029, the 2032 notes will mature on January 15, 2032 and the 2037 notes will mature on January 15, 2037 (unless earlier redeemed as described under “—Special Mandatory Redemption” or “—Optional Redemption”). On the maturity date of a series of notes, the holders of the notes of such series will be entitled to receive 100% of the principal amount of the notes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2029 notes will bear interest at a rate of 5.250% per annum, the 2032 notes will bear interest at a rate of 5.450% per annum and the 2037 notes will bear interest at a rate of 5.850% per annum, each from September 29, 2026, or from the most recent date to which interest has been paid or provided for, payable semi-annually in arrears on March 28 and September 28 of each year, in the case of the 2029 notes, and on January 15 and July 15 of each year, in the case of the 2032 notes and the 2037 notes (each, an “Interest Payment Date”), commencing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28, 2027 in the case of the 2029 notes and January 15, 2027 in the case of the 2032 notes and the 2037 notes, to holders of record at the close of business on the 15th calendar day (whether or not a business day) immediately preceding the applicable Interest Payment Date; provided, however, that interest payable on the maturity date of the notes or any redemption date of the notes shall be payable to the person to whom the principal of such notes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the notes on any Interest Payment Date, redemption date or maturity date shall be computed on the basis of a 360-day year of twelve 30-day months. Interest on the notes will accrue from September 29, 2026.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term “business day” means any day, other than a Saturday or Sunday, which is not a day on which banking institutions in The City of New York are authorized or required by law or executive order to close.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If (i) we do not consummate the Acquisition on or prior to the later of (x) August 10, 2027 and (y) such later date to which the termination date under the EPA as in effect on the closing date of this offering may be amended in accordance with the terms thereof (such later date, the “Special Mandatory Redemption End Date”), (ii) on or prior to the Special Mandatory Redemption End Date, the EPA is terminated or (iii) we otherwise notify the trustee in writing that we will not pursue the consummation of the Acquisition (any such event being a “Special Mandatory Redemption Event”), then we will be required to redeem (a “Special Mandatory Redemption”) all of the notes of each series at a redemption price (the “Special Mandatory Redemption Price”) equal to 101% of the aggregate principal amount of such notes, plus accrued and unpaid interest thereon, if any, to, but excluding, the Special Mandatory Redemption Date (as defined below). We will deliver or cause to be delivered to the registered holders of the notes (with a copy to the Trustee) a written notice of the Special Mandatory Redemption (a “Special Mandatory Redemption Notice”) within ten business days following the occurrence of a Special Mandatory Redemption Event. We may by five (5) business days (or such shorter period as the Trustee may in its sole discretion agree) advanced written notice to the Trustee (accompanied by an officer’s certificate to the Trustee’s satisfaction, and a copy of the applicable Special Mandatory Redemption Notice (prepared by us at our cost and expense) request that the Trustee provide such Special Mandatory Redemption Notice to each holder of the notes (in accordance with the procedures of DTC). The Special Mandatory Redemption Notice will set forth the date upon which the notes will be redeemed (the “Special Mandatory Redemption Date,” which date shall be no earlier than the third business day and no later than 30 days following the date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No later than 10 a.m. New York City time on the Special Mandatory Redemption Date, we will deposit with the Trustee any amounts necessary to fund the redemption of the notes at the applicable Special Mandatory Redemption Price. The Trustee shall use such amounts on deposit to pay the applicable Special Mandatory Redemption Price on the Special Mandatory Redemption Date, in accordance with the applicable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There is no escrow account for, or security interest in, the proceeds of the offering for the benefit of the holders of the notes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Acquisition, the foregoing provisions regarding a Special Mandatory Redemption will cease to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Applicable Par Call Date, we may redeem the notes of any series at our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on the notes of such series discounted to the relevant redemption date (assuming such notes matured on the Applicable Par Call Date) on a semi-annual basis (assuming a 360-day year consisting of twelve 30-day months) at the Treasury Rate plus 10 basis points for the 2029 notes, 10 basis points for the 2032 notes and 15 basis points for the 2037 notes less (b) interest accrued and unpaid to the relevant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for a series of notes, we may redeem the notes of such series, in whole or in part, at any time and from time to time, at a redemption price equal to 100% of the principal amount of such notes being redeemed plus accrued and unpaid interest thereon to the relevant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relevant to the determination of the redemption price. </w:t>
      </w:r>
    </w:p>
    <w:p>
      <w:pPr>
        <w:pStyle w:val="TextBody"/>
        <w:bidi w:val="0"/>
        <w:spacing w:before="240" w:after="0"/>
        <w:jc w:val="left"/>
        <w:rPr/>
      </w:pPr>
      <w:r>
        <w:rPr/>
        <w:t>“</w:t>
      </w:r>
      <w:r>
        <w:rPr>
          <w:rFonts w:ascii="Times New Roman" w:hAnsi="Times New Roman"/>
          <w:i/>
          <w:sz w:val="20"/>
        </w:rPr>
        <w:t xml:space="preserve">Applicable Par Call Date” </w:t>
      </w:r>
      <w:r>
        <w:rPr>
          <w:rFonts w:ascii="Times New Roman" w:hAnsi="Times New Roman"/>
          <w:sz w:val="20"/>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2029 notes, August 28, 2029 (one month prior to the maturity date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2032 notes, December 15, 2031 (one month prior to the maturity date of such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2037 notes, October 15, 2036 (three months prior to the maturity date of such notes). </w:t>
            </w:r>
          </w:p>
        </w:tc>
      </w:tr>
    </w:tbl>
    <w:p>
      <w:pPr>
        <w:pStyle w:val="TextBody"/>
        <w:bidi w:val="0"/>
        <w:spacing w:before="240" w:after="0"/>
        <w:jc w:val="left"/>
        <w:rPr/>
      </w:pPr>
      <w:r>
        <w:rPr/>
        <w:t>“</w:t>
      </w:r>
      <w:r>
        <w:rPr>
          <w:rFonts w:ascii="Times New Roman" w:hAnsi="Times New Roman"/>
          <w:i/>
          <w:sz w:val="20"/>
        </w:rPr>
        <w:t xml:space="preserve">Treasury Rate” </w:t>
      </w:r>
      <w:r>
        <w:rPr>
          <w:rFonts w:ascii="Times New Roman" w:hAnsi="Times New Roman"/>
          <w:sz w:val="20"/>
        </w:rPr>
        <w:t xml:space="preserve">means, with respect to any redemption date for a series of notes, the yield applicable to such series of notes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applicable to a series of notes shall be determined by us after 4:15 p.m., New York City time (or after such time as yields on U.S. government securities are posted daily by the Board of Governors of the Federal Reserve System), on the third business day preceding the relevant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applicable Treasury Rate, we shall select, as applicable: (1) the yield for the Treasury constant maturity on H.15 exactly equal to the period from the relevant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relevant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on the third business day preceding the relevant redemption date H.15 TCM is no longer published, we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relevant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relevant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deems appropriate and fair, subject, in the case of global notes, to the applicable procedures of DTC (or any successor depositary).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On or before the redemption date, we will deposit with the paying agent or set aside, segregate and hold in trust (if we are acting as paying agent), funds sufficient to pay the redemption price of, and accrued and unpaid interest on, such notes to be redeemed on that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of notes may, at our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subject to satisfaction of one or more conditions precedent, such notice shall describe each such condition, and such notice may be rescinded in the event that any or all such conditions shall not have been satisfied or otherwise waived on or prior to the fifth (5th) business day immediately preceding the relevant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We shall notify holders (with a copy to the Trustee) of any such rescission as soon as practicable, and in no case less than five (5) business days immediately preceding the relevant redemption date, after we determine that such conditions precedent will not be able to be satisfied or we are not able or willing to waive such conditions precedent, in each case subject to policies and procedures of DTC (or any successor depositary). In any event,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provide written notice to holders and the trustee prior to the close of business on the fifth (5th) business day prior to the relevant redemption date if any such redemption has been rescinded or delayed. We may by five (5) business days (or such shorter period to which the Trustee may in its sole discretion agree) advanced written notice to the Trustee (accompanied by an officer’s certificate to the Trustee’s satisfaction, and a copy of the written notice (prepared by us at our cost and expense) that such redemption has been rescinded or delayed) request that the trustee provide such notice to each holder of the notes in the same manner in which the notice of redemption was given. Once notice of redemption is mailed or sent, subject to the satisfaction of any conditions precedent provided in the notice of redemption, the notes called for redemption will become due and payable on the redemption date and at the applicable redemption price as set forth above under “—Optional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Upon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A change of control requiring us to repurchase all, or part, of the notes of a series as described below will be triggered in the event that the notes of such series cease to be rated equal to or higher than BBB- (or the equivalent) by Fitch Inc. (“Fitch”), Baa3 (or the equivalent) by Moody’s Investors Service, Inc. (“Moody’s”) or BBB- (or the equivalent) by S&amp;P Global Ratings, a division of S&amp;P Global Inc.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notes of such series is under publicly announced consideration for possible downgrade by any of the rating agencies. Unless at least one rating agency is providing a rating for the notes of such series at the commencement of any such period, the notes of such series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triggering a change of control occurs, unless we have exercised our right to redeem the notes of such series, we will be required to make an offer to repurchase all or, at the holder’s option, any part (equal to $2,000 or any multiple of $1,000 in excess thereof) of each holder’s notes of such series on the terms set forth in the notes of such series. In such offer, we will be required to offer payment in cash equal to 101% of the aggregate principal amount of the notes of such series repurchased plus accrued and unpaid interest, if any, on the notes of such series repurchased, to, but not including,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event triggering a change of control or, at our option, prior to any change of control, but after public announcement of the transaction that constitutes or may constitute the change of control, a notice will be mailed to holders of the notes of such series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On such payment date, we will be required, to the extent lawful,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the offer described in the first paragraph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required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purchased by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paying agent will be required to promptly mail to each holder who properly tendered notes the purchase price for such debt securities, and the trustee will be required to promptly authenticate and mail (or cause to be transferred by book entry) to each such holder a new debt security equal in principal amount to any unpurchased portion of the notes surrendered, if any; provided that each new debt security will be in a principal amount of $2,000 or a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upon an event triggering a change of control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on its offer, we will be required to make an offer treating the date of such termination or default as though it were the date of such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repurchase any notes if there has occurred and is continuing on the relevant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are required to offer to repurchase the notes upon the occurrence of a change of control triggering event, we may not have sufficient funds to repurchase the notes in cash at such time. In addition, our ability to repurchase the notes for cash may be limited by law or the terms of other agreements relating to our indebtedness outstanding at the time. The failure to make such repurchase would result in a default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 of any such laws or regulations conflicts with the offer provisions in respect of a change of control of the notes, we will comply with those securities laws and regulations and will not be deemed to have breached our obligations under such offer provisions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terms will be applicable: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one of the following: (1) the direct or indirect sale, lease, transfer, conveyance or other disposition (other than by way of merger, amalgamation, arrangement or 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and Covenants </w:t>
      </w:r>
    </w:p>
    <w:p>
      <w:pPr>
        <w:pStyle w:val="TextBody"/>
        <w:bidi w:val="0"/>
        <w:spacing w:before="120" w:after="0"/>
        <w:jc w:val="left"/>
        <w:rPr>
          <w:rFonts w:ascii="Times New Roman" w:hAnsi="Times New Roman"/>
          <w:sz w:val="20"/>
        </w:rPr>
      </w:pPr>
      <w:r>
        <w:rPr>
          <w:rFonts w:ascii="Times New Roman" w:hAnsi="Times New Roman"/>
          <w:sz w:val="20"/>
        </w:rPr>
        <w:t xml:space="preserve">In some circumstances, we may elect to discharge our obligations on the notes through defeasance or covenant defeasance. See “Description of Debt Securities—Satisfaction, Discharge and Defeasance” in the accompanying prospectus for more information about how we may do this.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generally does not limit our ability to incur additional debt and does not contain financial or similar restrictive covenants, except as described in the accompanying prospectus under the caption “Description of Debt Securities—Other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Issues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without notice to or the consent of the holders of the notes, create and issue further notes of any series ranking equally and ratably with the notes of the applicable series in all respects, or in all respects except for the payment of interest accruing prior to the issue date or except for the first payment of interest following the issue date of those further notes. Any further notes will have the same terms as to status, redemption or otherwise as the applicable series of notes. If such further notes are not fungible with the notes of such series in this offering for United States federal income tax purposes, the further notes will have different ISIN and CUSIP numbers.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Notices to holders of the notes will be sent by mail or email to the registered holders, or otherwise in accordance with the procedures of the applicable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Paying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Deutsche Bank Trust Company Americas will be the trustee, paying agent, registrar and DTC custodian with respect to the notes and maintains various commercial and investment banking relationships with us and with affiliates of ours. </w:t>
      </w:r>
    </w:p>
    <w:p>
      <w:pPr>
        <w:pStyle w:val="TextBody"/>
        <w:bidi w:val="0"/>
        <w:spacing w:before="240" w:after="0"/>
        <w:jc w:val="left"/>
        <w:rPr>
          <w:rFonts w:ascii="Times New Roman" w:hAnsi="Times New Roman"/>
          <w:sz w:val="20"/>
        </w:rPr>
      </w:pPr>
      <w:r>
        <w:rPr>
          <w:rFonts w:ascii="Times New Roman" w:hAnsi="Times New Roman"/>
          <w:sz w:val="20"/>
        </w:rPr>
        <w:t xml:space="preserve">Principal of, premium, if any, and interest on the notes will be payable at the office of the paying agent or, at our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depositary, and registered in the name of the nominee of the common depositary for the account of DTC will be made through the facilities of the common depositary. We may change the paying agent without prior notice to the holders, and we or any of our subsidiaries may act as paying agent.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80255_10"/>
      <w:bookmarkEnd w:id="12"/>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material U.S. federal income tax consequences of the ownership and disposition of the notes. This discussion is based upon the U.S. Internal Revenue Code of 1986, as amended (the “Code”), the U.S. Treasury regulations promulgated thereunder, administrative pronouncements and judicial decisions, all as of the date hereof and all of which are subject to differing interpretations or change, possibly with retroactive effect. Unless otherwise indicated, this summary addresses only the U.S. federal income tax consequences relevant to investors that purchase notes for cash at the time of original issuance at their “issue price” (generally the first price at which a substantial amount of the notes are sold for money to the public, not including purchases by bond houses, brokers or similar persons or organizations acting in the capacity of underwriters, placement agents or wholesalers) and applies only to beneficial owners that hold the notes as “capital assets” within the meaning of Section 1221 of the Code.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of the U.S. federal income tax considerations that may be relevant to a particular investor in light of the investor’s individual circumstances or to investors subject to special rules under U.S. federal income tax laws, such as banks and other financial institutions, insurance companies, real estate investment trusts, regulated investment companies, tax-exempt organizations, entities and arrangements classified as partnerships for U.S. federal income tax purposes and other pass-through entities (and investors in such partnerships and other entities), dealers in securities, traders in securities that elect to use a mark-to-market method of tax accounting, persons liable for any minimum tax, U.S. Holders (as defined below) whose functional currency is not the U.S. dollar, certain U.S. expatriates, “controlled foreign corporations,” “passive foreign investment companies,” corporations that accumulate earnings to avoid U.S. federal income tax, persons holding notes as part of a “straddle,” “hedge,” “conversion transaction,” or other integrated investment and persons subject to special tax accounting rules under Section 451(b) of the Code. The discussion does not address the Medicare tax on net investment income, nor any foreign, state, local or non-income tax consequences of the ownership or disposition of the notes. We will not seek a ruling from the Internal Revenue Service (the “IRS”) with respect to any of the matters discussed herein and there can be no assurance that the IRS will not challenge one or more of the tax consequences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the term “U.S. Holder” means a beneficial owner of a note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in or under the laws of the United States or any state or political subdivision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U.S. court is able to exercise primary supervision over the trust’s administration and one or more “United States persons,” as defined in the Code (“United States Person”) have the authority to control all substantial decisions of the trust, or (ii) the trust has in effect a valid election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means any beneficial owner of a note that is not a U.S. Holder and is not a partnership (including any entity or arrangement properly classified as a partnership for U.S. federal income tax purposes). For the purposes of this summary, U.S. Holders and Non-U.S. Holders are referred to collectively as “holders.”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classified as a partnership for U.S. federal income tax purposes) is a beneficial owner of a note, the U.S. federal income tax treatment of a partner in that partnership will generally depend upon the status of the partner and the activities of the partnership. A beneficial owner of a note that is a partnership and partners in such partnerships are urged to consult with their tax advisors regarding the U.S. federal income and other tax consequences of the ownership and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general purposes only. Investors are urged to consult their tax advisors regarding the application of the U.S. federal income tax laws to their particular situations and the consequences under federal estate or gift tax laws, as well as foreign, state, and local laws and tax treaties, and the possible effects of changes in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under Certain Events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under certain circumstances, to pay additional amounts in excess of stated interest and principal in respect of certain contingencies (including as described in “Description of Notes—Optional Redemption,” “—Repurchase Upon Change of Control Triggering Event,” and “—Special Mandatory Redemption”). Although the issue is not free from doubt, we intend to take the position that the possibility of payment of such additional amounts in respect of certain contingencies does not result in the notes being treated as contingent payment debt instruments under the applicable U.S. Treasury regulations. Our position that these contingencies do not result in the notes being treated as contingent payment debt instruments under the applicable U.S. Treasury regulations is binding on a holder, unless such holder explicitly discloses to the IRS on its tax return for the year during which it acquires the notes that it is taking a different position. However, our position is not binding on the IRS. If the IRS takes a contrary position to that described above, the timing and character of a holder’s income and the timing of our deductions with respect to the notes could be affected. Investors should consult their tax advisors regarding the tax consequences of the notes being treated as contingent payment debt instruments. The remainder of this discussion assumes that the notes will not be treated as contingent payment debt instruments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i/>
          <w:sz w:val="20"/>
        </w:rPr>
      </w:pPr>
      <w:r>
        <w:rPr>
          <w:rFonts w:ascii="Times New Roman" w:hAnsi="Times New Roman"/>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 less than a de minimis amount (as set forth in the Code and applicable Treasury regulations) of original issue discount. In such case, interest on the notes will generally be taxable to U.S. Holders as ordinary interest income at the time it is paid or accrued in accordance with the U.S. Holder’s regular method of accounting for U.S. federal income tax purposes. If, however, the notes are issued for an amount less than the principal amount and the difference is equal to or more than a de minimis amount, U.S. Holders will be required to include the difference in gross income as original issue discount as it accrues in accordance with a constant yield method based on a compounding of interest before the receipt of cash payments to which such income is attributable.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redemption or other taxable disposition of the notes, a U.S. Holder will generally recognize gain or loss equal to the difference, if any, between (i) the amount realized upon the sale, exchange, redemption or other taxable disposition, other than amounts attributable to accrued and unpaid interest (which will be treated as interest and recognized as ordinary interest income to the extent such interest has not been previously included in income) and (ii) the U.S. Holder’s adjusted tax basis in the notes. The amount realized by a U.S. Holder is the sum of cash plus the fair market value of all other property received on such sale, exchange, redemption or other taxable disposition. A U.S. Holder’s adjusted tax basis in a note will generally equal the cost of the note to such holder. </w:t>
      </w:r>
    </w:p>
    <w:p>
      <w:pPr>
        <w:pStyle w:val="TextBody"/>
        <w:bidi w:val="0"/>
        <w:spacing w:before="240" w:after="0"/>
        <w:jc w:val="left"/>
        <w:rPr>
          <w:rFonts w:ascii="Times New Roman" w:hAnsi="Times New Roman"/>
          <w:sz w:val="20"/>
        </w:rPr>
      </w:pPr>
      <w:r>
        <w:rPr>
          <w:rFonts w:ascii="Times New Roman" w:hAnsi="Times New Roman"/>
          <w:sz w:val="20"/>
        </w:rPr>
        <w:t xml:space="preserve">Such gain or loss will generally be long-term capital gain or loss if, at the time of the sale, exchange, redemption, or other taxable disposition, the U.S. Holder’s holding period in the notes exceeds one year. For non-corporate U.S. Holders, long-term capital gains are currently taxed at a lower rate than ordinary income. The deductibility of capital losses is subject to limitations. U.S. Holders are urged to consult their tax advisors regarding the deductibility of capital losses in light of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will be subject to U.S. federal backup withholding at the applicable statutory rate with respect to payments on the notes and the proceeds of a sale, exchange, redemption or other taxable disposition of the notes, unless the U.S. Holder timely provides its taxpayer identification number to the applicable withholding agent and certifies, under penalty of perjury, that it is not subject to backup withholding on an IRS Form W-9 (Request for Taxpayer Identification Number and Certification) or an applicable successor form and otherwise complies with the applicable requirements of the backup withholding rules or the U.S. Holder otherwise establishes by providing appropriate documentation that it is exempt from backup withholding. Backup withholding is not an additional tax. The amount of any backup withholding from a payment to a U.S. Holder may be allowed as a credit against such U.S. Holder’s U.S. federal income tax liability and may entitle such U.S. Holder to a refund, provided the required information is furnished to the IRS in a timely manner. In addition, payments on the notes made to, and the proceeds of a sale or other taxable disposition by, a U.S. Holder will generally be subject to information reporting requirements, unless such U.S. Holder is an exempt recipient and appropriately establishes that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i/>
          <w:sz w:val="20"/>
        </w:rPr>
      </w:pPr>
      <w:r>
        <w:rPr>
          <w:rFonts w:ascii="Times New Roman" w:hAnsi="Times New Roman"/>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“—FATCA,” a Non-U.S. Holder generally will not be subject to U.S. federal income or withholding tax on interest paid on the notes as long as that interest is not “effectively connected” with the Non-U.S. Holder’s conduct of a trade or business within the United States (and, if required by an applicable income tax treaty, is not attributable to a U.S. permanent establishment or fixed base maintained by the Non-U.S. Holder in the United States)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directly or indirectly, actually or constructively own 10% or more of the total combined voting power of all classes of our stock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for U.S. federal income tax purposes that is related to us, actually or by attribution,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receiving the interest pursuant to a loan agreement entered into in the ordinary course of the Non-U.S. Holder’s trade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the Non-U.S. Holder certifies under penalties of perjury on IRS Form W-8BEN or W-8BEN-E, as applicable, or an applicable successor form that it is not a United States Person, and provides its name, address and certain other required information or (ii) a securities clearing organization, bank or other financial institution that holds customers’ securities in the ordinary course of its trade or business and holds the notes on behalf of the Non-U.S. Holder certifies under penalties of perjury that the certification referred to in clause (i) has been received from the Non-U.S. Holder or an intermediate financial institution and furnishes to the applicable withholding agent a copy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that does not qualify for exemption from withholding as described above will generally be subject to withholding of U.S. federal income tax at a rate of 30% on payments of interest on the notes (except as described below with respect to effectively connected income). A Non-U.S. Holder may be entitled to the benefits of an income tax treaty under which interest on the notes is subject to a reduced rate of withholding tax or is exempt from U.S. withholding tax, provided the Non-U.S. Holder furnishes the applicable withholding agent with a properly executed IRS Form W-8BEN or W-8BEN-E, as applicable, or an applicable successor form claiming the reduction or exemption and the Non-U.S. Holder complies with any other applicable procedures.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Generally, subject to the discussion below under “—Backup Withholding and Information Reporting,” any gain recognized by a Non-U.S. Holder on the sale, exchange, redemption or other taxable disposition of a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amounts attributable to accrued and unpaid interest, which will generally be treated as described under “—Payments of Interest” above) will be exempt from U.S. federal income and withholding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is attributable to a permanent establishment or fixed base maintained by the Non-U.S. Holder in the United States), in which case the Non-U.S. Holder generally will be subject to U.S. federal income tax in the manner described below under “—Effectively Connected Income”;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during the taxable year of the sale or other taxable disposition and certain other conditions are met, in which case the Non-U.S. Holder generally will be subject to U.S. federal income tax at a rate of 30% (unless a lower treaty rate applies) on the amount by which its U.S. source capital gains exceed its U.S. source capital losses.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Effectively Connected Income </w:t>
      </w:r>
    </w:p>
    <w:p>
      <w:pPr>
        <w:pStyle w:val="TextBody"/>
        <w:bidi w:val="0"/>
        <w:spacing w:before="120" w:after="0"/>
        <w:jc w:val="left"/>
        <w:rPr>
          <w:rFonts w:ascii="Times New Roman" w:hAnsi="Times New Roman"/>
          <w:sz w:val="20"/>
        </w:rPr>
      </w:pPr>
      <w:r>
        <w:rPr>
          <w:rFonts w:ascii="Times New Roman" w:hAnsi="Times New Roman"/>
          <w:sz w:val="20"/>
        </w:rPr>
        <w:t xml:space="preserve">If interest or gain recognized by a Non-U.S. Holder on a note is “effectively connected” with the Non-U.S. Holder’s conduct of a trade or business within the United States (and, if required by an applicable income tax treaty, is attributable to a permanent establishment or fixed base maintained by the Non-U.S. Holder in the United States), then, subject to the discussions below under “—Backup Withholding and Information Reporting” and “—FATCA,” the Non-U.S. Holder will be exempt from the withholding tax on such interest if the Non-U.S. Holder provides the applicable withholding agent with a properly completed and executed IRS Form W-8ECI or an applicable successor form, but the Non-U.S. Holder will generally be subject to U.S. federal income tax on such interest or gain as if such Non-U.S. Holder were a United States Person. In addition to such U.S. federal income tax, if the Non-U.S. Holder is treated as a corporation for U.S. federal income tax purposes, it may be subject to an additional branch profits tax, currently at a rate of 30% or such lower rate provided by an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the applicable withholding agent) must report annually to the IRS and to each Non-U.S. Holder the amount of interest paid to the Non-U.S. Holder and the amount of tax withheld, if any, from those payments. These reporting requirements apply regardless of whether U.S. withholding tax on such payments was reduced or eliminated by any applicable tax treaty or otherwise. Copies of the information returns reporting those payments and the amounts withheld may also be made available to the tax authorities in the country where a Non-U.S. Holder is a resident under the provisions of an applicable income tax treaty or agreement. Backup withholding generally will not apply to payments of interest on the notes made to a Non-U.S. Holder if the certification described above under “—Payments of Interest” is received from the Non-U.S. Holder.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and information reporting will generally not apply to payments of proceeds from the sale or other taxable disposition of a note made to a Non-U.S. Holder by or through the foreign office of a broker. However, information reporting requirements, and possibly backup withholding, will apply if such broker is, for U.S. federal income tax purposes, a United States Person or has certain other enumerated connections with the United States, unless such broker has documentary evidence in its records that the Non-U.S. Holder is not a United States Person and certain other conditions are met, or the Non-U.S. Holder otherwise establishes an exemption. Payments of proceeds from the sale or other taxable disposition of a note made to a Non-U.S. Holder by or through the U.S. office of a broker are subject to information reporting and backup withholding at the applicable rate unless the Non-U.S. Holder certifies, under penalties of perjury, that it is not a United States Person and it satisfies certain other conditions, or the Non-U.S.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Non-U.S. Holder may be allowed as a credit against such Non-U.S. Holder’s U.S. federal income tax liability and may entitle such Non-U.S. Holder to a refund, provided the required information is furnished to the IRS in a timely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Holders are urged to consult their tax advisors regarding the application of information reporting and backup withholding in their particular situations, the availability of an exemption therefrom, and the procedures for obtaining such an exemption, if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U.S. federal withholding tax will generally apply to payments of interest on the notes made to a foreign financial institution (including amounts paid to a foreign financial institution on or behalf of a holder) and certain other nonfinancial foreign entities, unless (i) the foreign financial institution enters into an agreement with the U.S. Treasury to, among other things, collect and provide to it substantial information regarding such institution’s United States financial account holders, including certain account holders that are foreign entities with United States owners, (ii) the non-financial foreign entity provides the applicable withholding agent with a certification that it does not have any substantial United States owners or a certification identifying the direct and indirect substantial United States owners of the entity and meets certain other specified requirements or (iii) the foreign financial institution or non-financial foreign entity otherwise qualifies for an exemption from these rules. If the country in which a payee is resident has entered into an “intergovernmental agreement” with the United States regarding FATCA, that agreement may modify the above rules.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urged to consult their tax advisors regarding the application of FATCA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U.S. federal income tax discussion set forth above is included for general information only and may not be applicable depending upon an investor’s particular situation. Investors are urged to consult their tax advisors with respect to the tax consequences to them of the ownership and disposition of the notes, including the tax consequences under state, local, estate, foreign and other tax laws and tax treaties and the possible effects of changes in U.S.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80255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ING Financial Markets LLC, J.P. Morgan Securities LLC, BNP Paribas Securities Corp. and Wells Fargo Securities, LLC are acting as representatives of the underwriters named below. Subject to the terms and conditions stated in the underwriting agreement dated the date of this prospectus supplement, each underwriter named below has severally agreed to purchase, and we have agreed to sell to each underwriter, the principal amount of notes set forth opposite such underwriter’s name.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21"/>
        <w:gridCol w:w="277"/>
        <w:gridCol w:w="140"/>
        <w:gridCol w:w="1338"/>
        <w:gridCol w:w="60"/>
        <w:gridCol w:w="277"/>
        <w:gridCol w:w="140"/>
        <w:gridCol w:w="1338"/>
        <w:gridCol w:w="60"/>
        <w:gridCol w:w="277"/>
        <w:gridCol w:w="140"/>
        <w:gridCol w:w="1338"/>
        <w:gridCol w:w="66"/>
      </w:tblGrid>
      <w:tr>
        <w:trPr/>
        <w:tc>
          <w:tcPr>
            <w:tcW w:w="3121"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77"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2029 Notes</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2032 Notes</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2037 Notes</w:t>
            </w:r>
          </w:p>
        </w:tc>
        <w:tc>
          <w:tcPr>
            <w:tcW w:w="66"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145,500,000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145,500,000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145,500,000</w:t>
            </w:r>
          </w:p>
        </w:tc>
        <w:tc>
          <w:tcPr>
            <w:tcW w:w="66"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61,500,000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61,500,000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61,500,000</w:t>
            </w:r>
          </w:p>
        </w:tc>
        <w:tc>
          <w:tcPr>
            <w:tcW w:w="66"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61,500,000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61,500,000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61,500,000</w:t>
            </w:r>
          </w:p>
        </w:tc>
        <w:tc>
          <w:tcPr>
            <w:tcW w:w="66"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61,500,000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61,500,000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61,500,000</w:t>
            </w:r>
          </w:p>
        </w:tc>
        <w:tc>
          <w:tcPr>
            <w:tcW w:w="66"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61,500,000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61,500,000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61,500,000</w:t>
            </w:r>
          </w:p>
        </w:tc>
        <w:tc>
          <w:tcPr>
            <w:tcW w:w="66"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30,000,000</w:t>
            </w:r>
          </w:p>
        </w:tc>
        <w:tc>
          <w:tcPr>
            <w:tcW w:w="66"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30,000,000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30,000,000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30,000,000</w:t>
            </w:r>
          </w:p>
        </w:tc>
        <w:tc>
          <w:tcPr>
            <w:tcW w:w="66"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28,500,000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28,500,000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28,500,000</w:t>
            </w:r>
          </w:p>
        </w:tc>
        <w:tc>
          <w:tcPr>
            <w:tcW w:w="66"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10,000,000</w:t>
            </w:r>
          </w:p>
        </w:tc>
        <w:tc>
          <w:tcPr>
            <w:tcW w:w="66"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SEB Securities, Inc.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10,000,000</w:t>
            </w:r>
          </w:p>
        </w:tc>
        <w:tc>
          <w:tcPr>
            <w:tcW w:w="66" w:type="dxa"/>
            <w:tcBorders/>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500,000,000</w:t>
            </w:r>
          </w:p>
        </w:tc>
        <w:tc>
          <w:tcPr>
            <w:tcW w:w="66" w:type="dxa"/>
            <w:tcBorders/>
            <w:shd w:fill="CCEEFF" w:val="clear"/>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0.250% per 2029 note, 0.350% per 2032 note and 0.400% per 2037 note. Any such securities dealers may resell any notes purchased from the underwriters to certain other brokers or dealers at a discount from the initial public offering price not to exceed 0.200% per 2029 note, 0.250% per 2032 note and 0.250% per 2037 note. If all the notes are not sold at the initial public offering price, less applicable discounts, the underwriters may change the public offering price and the discounts.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that we are to pay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3"/>
        <w:gridCol w:w="689"/>
        <w:gridCol w:w="109"/>
        <w:gridCol w:w="1040"/>
        <w:gridCol w:w="278"/>
      </w:tblGrid>
      <w:tr>
        <w:trPr/>
        <w:tc>
          <w:tcPr>
            <w:tcW w:w="4823" w:type="dxa"/>
            <w:tcBorders/>
            <w:vAlign w:val="center"/>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823"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Xylem Inc.</w:t>
            </w:r>
          </w:p>
        </w:tc>
        <w:tc>
          <w:tcPr>
            <w:tcW w:w="278" w:type="dxa"/>
            <w:tcBorders/>
            <w:vAlign w:val="bottom"/>
          </w:tcPr>
          <w:p>
            <w:pPr>
              <w:pStyle w:val="TableContents"/>
              <w:bidi w:val="0"/>
              <w:spacing w:before="0" w:after="283"/>
              <w:jc w:val="left"/>
              <w:rPr/>
            </w:pPr>
            <w:r>
              <w:rPr/>
              <w:t> </w:t>
            </w:r>
          </w:p>
        </w:tc>
      </w:tr>
      <w:tr>
        <w:trPr/>
        <w:tc>
          <w:tcPr>
            <w:tcW w:w="4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2029 note</w:t>
            </w:r>
          </w:p>
        </w:tc>
        <w:tc>
          <w:tcPr>
            <w:tcW w:w="68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0.450</w:t>
            </w:r>
          </w:p>
        </w:tc>
        <w:tc>
          <w:tcPr>
            <w:tcW w:w="278" w:type="dxa"/>
            <w:tcBorders/>
            <w:shd w:fill="CCEEFF" w:val="clear"/>
            <w:vAlign w:val="bottom"/>
          </w:tcPr>
          <w:p>
            <w:pPr>
              <w:pStyle w:val="TableContents"/>
              <w:bidi w:val="0"/>
              <w:spacing w:before="0" w:after="283"/>
              <w:jc w:val="left"/>
              <w:rPr/>
            </w:pPr>
            <w:r>
              <w:rPr/>
              <w:t>% </w:t>
            </w:r>
          </w:p>
        </w:tc>
      </w:tr>
      <w:tr>
        <w:trPr/>
        <w:tc>
          <w:tcPr>
            <w:tcW w:w="4823" w:type="dxa"/>
            <w:tcBorders/>
          </w:tcPr>
          <w:p>
            <w:pPr>
              <w:pStyle w:val="TableContents"/>
              <w:bidi w:val="0"/>
              <w:spacing w:before="0" w:after="0"/>
              <w:jc w:val="left"/>
              <w:rPr>
                <w:rFonts w:ascii="Times New Roman" w:hAnsi="Times New Roman"/>
                <w:sz w:val="20"/>
              </w:rPr>
            </w:pPr>
            <w:r>
              <w:rPr>
                <w:rFonts w:ascii="Times New Roman" w:hAnsi="Times New Roman"/>
                <w:sz w:val="20"/>
              </w:rPr>
              <w:t>Per 2032 note</w:t>
            </w:r>
          </w:p>
        </w:tc>
        <w:tc>
          <w:tcPr>
            <w:tcW w:w="68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0.600</w:t>
            </w:r>
          </w:p>
        </w:tc>
        <w:tc>
          <w:tcPr>
            <w:tcW w:w="278" w:type="dxa"/>
            <w:tcBorders/>
            <w:vAlign w:val="bottom"/>
          </w:tcPr>
          <w:p>
            <w:pPr>
              <w:pStyle w:val="TableContents"/>
              <w:bidi w:val="0"/>
              <w:spacing w:before="0" w:after="283"/>
              <w:jc w:val="left"/>
              <w:rPr/>
            </w:pPr>
            <w:r>
              <w:rPr/>
              <w:t>% </w:t>
            </w:r>
          </w:p>
        </w:tc>
      </w:tr>
      <w:tr>
        <w:trPr/>
        <w:tc>
          <w:tcPr>
            <w:tcW w:w="4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2037 note</w:t>
            </w:r>
          </w:p>
        </w:tc>
        <w:tc>
          <w:tcPr>
            <w:tcW w:w="68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0.650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excluding the underwriting discounts, will be $3,313,456.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and there is currently no established trading market. We do not intend to apply for listing of the notes on any securities exchange or for inclusion of the notes on any automated dealer quotation system. Although the underwriters have advised us that they intend to make a market in the notes, they are not obligated to do so. The underwriters may discontinue any market making in the notes at any time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notice in their sole discretion. Therefore, we cannot assure you that a liquid trading market will develop for the notes, that you will be able to sell your notes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overallotments,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as applicable.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them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last paragraph of the cover page of this prospectus supplement,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notes on any date prior to the first business day before delivery will be required, by virtue of the fact that the notes initially will settle in T+10, to specify alternative settlement arrangements to prevent a failed settlement. As used in this paragraph, the term “business day” means any day, other than a Saturday or Sunday, that is not a day on which banking institutions in The City of New York are authorized or required by law or executive order to close.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Certain affiliates of the underwriters are lenders, and in some cases agents or managers for the lenders, under our revolving credit facility, our New Revolving Credit Facility and the Bridge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any offer of the notes in any Member State of the European Economic Area (“EEA”) will be made pursuant to an exemption under Regulation (EU) 2017/1129 (as amended, the “Prospectus Regulation”) from the requirement to publish a prospectus for offers of notes. Accordingly, any person making or intending to make any offer in that relevant Member State of the EEA of the notes which are the subject of the offering contemplated by this prospectus supplement and the accompanying prospectus may only do so in circumstances in which no obligation arises for us or any of the underwriters to produce a prospectus pursuant to Article 3 of the EU Prospectus Regulation in relation to such offer. Neither we nor the underwriters have authorized, nor do we or they authorize, the making of any offer of notes in circumstances in which an obligation arises for us or the underwriters to publish a prospectus for such offer. For the avoidance of doubt, whilst this document is referred to as a ‘prospectus supplement’ and there are references herein to a ‘prospectus’, neither this prospectus supplement nor the accompanying prospectus is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EEA. For these purposes, (a) the expression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Article 2 of the Prospectus Regulation; and (b) the expression “offer” includes the communication in any form and by any means of sufficient information on the terms of the offer and the notes to be offered so as to enable an investor to decide to purchase or subscribe for such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EEA, this prospectus supplement and the accompanying prospectus are being distributed only to, and is directed only at, and any offer subsequently made may only be directed at non-retail investors (being persons who are not retail investors as defined in the paragraph above). In the EEA, any investment or investment activity to which this prospectus supplement and the accompanying prospectus relate is available only to, and will be engaged in only with, non-retail investors. This prospectus supplement, the accompanying prospectus and their contents are confidential and should not be distributed, published or reproduced (in whole or in part) or disclosed by any recipients to any other person in the EEA. Any person in the EEA who is a retail investor should not act or rely on this prospectus supplement, the accompanying prospectus or any of their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any offer of the notes in the United Kingdom (“UK”) will be made pursuant to an exemption from the prohibition on public offers of relevant securities in The Public Offers and Admissions to Trading Regulations 2024 (the “UK POATRs”) in circumstances not requiring a prospectus pursuant to the UK Financial Conduct Authority Prospectus Rules: Admission to Trading on a Regulated Market Sourcebook (the “PRM Sourcebook”). For the avoidance of doubt, whilst this document is referred to as a ‘prospectus supplement’ and there are references herein to a ‘prospectus’, neither this prospectus supplement nor the accompanying prospectus is a prospectus for the purposes of the UK POATRs or the PRM Sourcebook.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a “qualified investor” as defined in paragraph 15 of Schedule 1 to the UK POATRs; and (b) the expression “offer” includes the communication in any form and by any means of sufficient information on the terms of the offer and the notes to be offered so as to enable an investor to decide to buy or subscribe for such notes. Consequently, no disclosure document required by the FCA Product Disclosure Sourcebook (the “DISC Sourcebook”) for offering or selling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being distributed only to, and are directed only at, and offer subsequently made may only be directed at non-retail investors (being persons who are not retail investors as defined in the paragraph above) who are also: (i) persons having professional experience in matters relating to investments who fall within the definition of “investment professionals” in Article 19(5) of the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and Markets Act 2000 (Financial Promotion) Order 2005 (as amended, the “Order”); (ii) high net worth companies, unincorporated associations and partnerships and trustees of high value trusts described in Article 49(2)(a) to (c) of the Order; or (iii) persons to whom an invitation or inducement to engage in investment activity (within the meaning of Section 21 of the FSMA) in connection with the issue or sale of any securities may otherwise lawfully be communicated (all such persons together being referred to as “relevant persons”). In the UK, any investment or investment activity to which this prospectus supplement, the accompanying prospectus, any related free writing prospectus and any such other document or materials relate is available only to, and will be engaged in only with, relevant persons. This prospectus supplement, the accompanying prospectus and their contents are confidential and should not be distributed, published or reproduced (in whole or in part) or disclosed by any recipients to any other person in the UK. Any person in the UK who is not a relevant person should not act or rely on this prospectus supplement, the accompanying prospectus, any related free writing prospectus or any other documents and/or materials relating to the issue of the notes offered hereby or any of their contents. </w:t>
      </w:r>
    </w:p>
    <w:p>
      <w:pPr>
        <w:pStyle w:val="TextBody"/>
        <w:bidi w:val="0"/>
        <w:spacing w:before="240" w:after="0"/>
        <w:jc w:val="left"/>
        <w:rPr>
          <w:rFonts w:ascii="Times New Roman" w:hAnsi="Times New Roman"/>
          <w:sz w:val="20"/>
        </w:rPr>
      </w:pPr>
      <w:r>
        <w:rPr>
          <w:rFonts w:ascii="Times New Roman" w:hAnsi="Times New Roman"/>
          <w:sz w:val="20"/>
        </w:rPr>
        <w:t xml:space="preserve">All applicable provisions of the FSMA must be complied with in respect to anything done by any person in relation to the notes in, from or otherwise involving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France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any other offering material relating to the notes described in this prospectus supplement has been submitted to the clearance procedures of the </w:t>
      </w:r>
      <w:r>
        <w:rPr>
          <w:rFonts w:ascii="Times New Roman" w:hAnsi="Times New Roman"/>
          <w:i/>
          <w:sz w:val="20"/>
        </w:rPr>
        <w:t xml:space="preserve">Autorité des Marchés Financiers </w:t>
      </w:r>
      <w:r>
        <w:rPr>
          <w:rFonts w:ascii="Times New Roman" w:hAnsi="Times New Roman"/>
          <w:sz w:val="20"/>
        </w:rPr>
        <w:t xml:space="preserve">or of the competent authority of another member state of the European Economic Area and notified to the </w:t>
      </w:r>
      <w:r>
        <w:rPr>
          <w:rFonts w:ascii="Times New Roman" w:hAnsi="Times New Roman"/>
          <w:i/>
          <w:sz w:val="20"/>
        </w:rPr>
        <w:t>Autorité des Marchés Financiers</w:t>
      </w:r>
      <w:r>
        <w:rPr>
          <w:rFonts w:ascii="Times New Roman" w:hAnsi="Times New Roman"/>
          <w:sz w:val="20"/>
        </w:rPr>
        <w:t xml:space="preserve">. The notes have not been offered or sold and will not be offered or sold, directly or indirectly, to the public in France. Neither this prospectus supplement nor any other offering material relating to the notes has been or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issued, distributed or caused to be released, issued or distributed to the public in France;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used in connection with any offer for subscription or sale of the notes to the public in France.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offers, sales and distributions will be made in France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qualified investors (</w:t>
            </w:r>
            <w:r>
              <w:rPr>
                <w:rFonts w:ascii="Times New Roman" w:hAnsi="Times New Roman"/>
                <w:i/>
                <w:sz w:val="20"/>
              </w:rPr>
              <w:t>investisseurs qualifiés</w:t>
            </w:r>
            <w:r>
              <w:rPr>
                <w:rFonts w:ascii="Times New Roman" w:hAnsi="Times New Roman"/>
                <w:sz w:val="20"/>
              </w:rPr>
              <w:t>) and/or to a restricted circle of investors (</w:t>
            </w:r>
            <w:r>
              <w:rPr>
                <w:rFonts w:ascii="Times New Roman" w:hAnsi="Times New Roman"/>
                <w:i/>
                <w:sz w:val="20"/>
              </w:rPr>
              <w:t>cercle restreint d’investisseurs</w:t>
            </w:r>
            <w:r>
              <w:rPr>
                <w:rFonts w:ascii="Times New Roman" w:hAnsi="Times New Roman"/>
                <w:sz w:val="20"/>
              </w:rPr>
              <w:t xml:space="preserve">), in each case investing for their own account, all as defined in, and in accordance with, articles L.411-2, D.411-1, D.411-2, D.734-1, D.744-1, D.754-1 and D.764-1 of the French Code monétaire et financier;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investment services providers authorized to engage in portfolio management on behalf of third parties;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transaction that, in accordance with article L.411-2-II-1° -or-2° -or 3° of the French Code </w:t>
            </w:r>
            <w:r>
              <w:rPr>
                <w:rFonts w:ascii="Times New Roman" w:hAnsi="Times New Roman"/>
                <w:i/>
                <w:sz w:val="20"/>
              </w:rPr>
              <w:t xml:space="preserve">monétaire et financier </w:t>
            </w:r>
            <w:r>
              <w:rPr>
                <w:rFonts w:ascii="Times New Roman" w:hAnsi="Times New Roman"/>
                <w:sz w:val="20"/>
              </w:rPr>
              <w:t xml:space="preserve">and article 211-2 of the General Regulations (Règlement Général) of the </w:t>
            </w:r>
            <w:r>
              <w:rPr>
                <w:rFonts w:ascii="Times New Roman" w:hAnsi="Times New Roman"/>
                <w:i/>
                <w:sz w:val="20"/>
              </w:rPr>
              <w:t>Autorité des Marchés Financiers</w:t>
            </w:r>
            <w:r>
              <w:rPr>
                <w:rFonts w:ascii="Times New Roman" w:hAnsi="Times New Roman"/>
                <w:sz w:val="20"/>
              </w:rPr>
              <w:t>, does not constitute a public offer (</w:t>
            </w:r>
            <w:r>
              <w:rPr>
                <w:rFonts w:ascii="Times New Roman" w:hAnsi="Times New Roman"/>
                <w:i/>
                <w:sz w:val="20"/>
              </w:rPr>
              <w:t>appel public à l’épargne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may be resold directly or indirectly, only in compliance with articles L.411-1, L.411-2, L.412-1 and L.621-8 through L.621-8-3 of the French Code </w:t>
      </w:r>
      <w:r>
        <w:rPr>
          <w:rFonts w:ascii="Times New Roman" w:hAnsi="Times New Roman"/>
          <w:i/>
          <w:sz w:val="20"/>
        </w:rPr>
        <w:t>monétaire et financier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under the Securities and Futures Act 2001 (“SFA”) by the Monetary Authority of Singapore, and the offer of the notes in Singapore is made primarily pursuant to the exemptions under Sections 274 and 275 of the SFA.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or any person pursuant to Section 275(1A),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debentures and units of shares and debentures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an Accredited Investor, a Relevant Person, or which arises from an offer referred to in Section 275(1A) of the SFA (in the case of that corporation) or Section 276(4)(c)(ii) of the SFA (in the case of that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Singapore SFA Product Classification—Solely for the purposes of its obligations pursuant to Sections 309B(1)(a) and 309B(1)(c) of the SFA, we have determined, and hereby notify all persons (including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in Switzerland.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180255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New York, New York, will provide opinions regarding the authorization and validity of the notes for us as to matters governed by the laws of the State of New York. Barnes &amp; Thornburg LLP, Indianapolis, Indiana, will provide opinions regarding the authorization and validity of the notes for us as to all matters governed by the laws of the State of Indiana. Certain legal matters will be passed upon for the underwriters by Davis Polk &amp; Wardwell LLP, New York, New York. </w:t>
      </w:r>
    </w:p>
    <w:p>
      <w:pPr>
        <w:pStyle w:val="TextBody"/>
        <w:bidi w:val="0"/>
        <w:spacing w:before="480" w:after="0"/>
        <w:jc w:val="center"/>
        <w:rPr>
          <w:rFonts w:ascii="Times New Roman" w:hAnsi="Times New Roman"/>
          <w:b/>
          <w:sz w:val="20"/>
        </w:rPr>
      </w:pPr>
      <w:bookmarkStart w:id="15" w:name="supprom180255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three years in the period ended December 31, 2025, incorporated by reference in this prospectus supplement,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73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657350"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w:t>
      </w:r>
    </w:p>
    <w:p>
      <w:pPr>
        <w:pStyle w:val="TextBody"/>
        <w:bidi w:val="0"/>
        <w:spacing w:before="0" w:after="0"/>
        <w:jc w:val="center"/>
        <w:rPr>
          <w:rFonts w:ascii="Times New Roman" w:hAnsi="Times New Roman"/>
          <w:b/>
          <w:sz w:val="20"/>
        </w:rPr>
      </w:pPr>
      <w:r>
        <w:rPr>
          <w:rFonts w:ascii="Times New Roman" w:hAnsi="Times New Roman"/>
          <w:b/>
          <w:sz w:val="20"/>
        </w:rPr>
        <w:t xml:space="preserve">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CONTRACTS </w:t>
      </w:r>
    </w:p>
    <w:p>
      <w:pPr>
        <w:pStyle w:val="TextBody"/>
        <w:bidi w:val="0"/>
        <w:spacing w:before="0" w:after="0"/>
        <w:jc w:val="center"/>
        <w:rPr>
          <w:rFonts w:ascii="Times New Roman" w:hAnsi="Times New Roman"/>
          <w:b/>
          <w:sz w:val="20"/>
        </w:rPr>
      </w:pPr>
      <w:r>
        <w:rPr>
          <w:rFonts w:ascii="Times New Roman" w:hAnsi="Times New Roman"/>
          <w:b/>
          <w:sz w:val="20"/>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and any applicable prospectus supplement that we file with the Securities and Exchange Commission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of Xylem Inc. trades on The New York Stock Exchange under the symbol “XYL.” </w:t>
      </w:r>
    </w:p>
    <w:p>
      <w:pPr>
        <w:pStyle w:val="TextBody"/>
        <w:bidi w:val="0"/>
        <w:spacing w:before="240" w:after="0"/>
        <w:jc w:val="left"/>
        <w:rPr/>
      </w:pPr>
      <w:r>
        <w:rPr>
          <w:rFonts w:ascii="Times New Roman" w:hAnsi="Times New Roman"/>
          <w:b/>
          <w:sz w:val="20"/>
        </w:rPr>
        <w:t>Investing in our securities involves certain risks. See the “Risk Factors” section of our filings with the Securities and Exchange Commission and the applicable prospectus supplement. Also see “</w:t>
      </w:r>
      <w:hyperlink w:anchor="tx180255_6">
        <w:r>
          <w:rPr>
            <w:rStyle w:val="InternetLink"/>
            <w:rFonts w:ascii="Times New Roman" w:hAnsi="Times New Roman"/>
            <w:b/>
            <w:sz w:val="20"/>
          </w:rPr>
          <w:t>Risk Factors</w:t>
        </w:r>
      </w:hyperlink>
      <w:r>
        <w:rPr>
          <w:rFonts w:ascii="Times New Roman" w:hAnsi="Times New Roman"/>
          <w:b/>
          <w:sz w:val="20"/>
        </w:rPr>
        <w:t xml:space="preserve">” on page 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2"/>
        <w:gridCol w:w="350"/>
        <w:gridCol w:w="96"/>
        <w:gridCol w:w="424"/>
        <w:gridCol w:w="63"/>
      </w:tblGrid>
      <w:tr>
        <w:trPr/>
        <w:tc>
          <w:tcPr>
            <w:tcW w:w="9272"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2"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
              <w:r>
                <w:rPr>
                  <w:rStyle w:val="InternetLink"/>
                  <w:rFonts w:ascii="Times New Roman" w:hAnsi="Times New Roman"/>
                  <w:b/>
                  <w:sz w:val="20"/>
                </w:rPr>
                <w:t>About This Prospectus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2">
              <w:r>
                <w:rPr>
                  <w:rStyle w:val="InternetLink"/>
                  <w:rFonts w:ascii="Times New Roman" w:hAnsi="Times New Roman"/>
                  <w:b/>
                  <w:sz w:val="20"/>
                </w:rPr>
                <w:t>Where You Can Find More Information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3">
              <w:r>
                <w:rPr>
                  <w:rStyle w:val="InternetLink"/>
                  <w:rFonts w:ascii="Times New Roman" w:hAnsi="Times New Roman"/>
                  <w:b/>
                  <w:sz w:val="20"/>
                </w:rPr>
                <w:t>Incorporation by Reference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4">
              <w:r>
                <w:rPr>
                  <w:rStyle w:val="InternetLink"/>
                  <w:rFonts w:ascii="Times New Roman" w:hAnsi="Times New Roman"/>
                  <w:b/>
                  <w:sz w:val="20"/>
                </w:rPr>
                <w:t>Special Note Regarding Forward-Looking Statements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3</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5">
              <w:r>
                <w:rPr>
                  <w:rStyle w:val="InternetLink"/>
                  <w:rFonts w:ascii="Times New Roman" w:hAnsi="Times New Roman"/>
                  <w:b/>
                  <w:sz w:val="20"/>
                </w:rPr>
                <w:t>About the Registrant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4</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6">
              <w:r>
                <w:rPr>
                  <w:rStyle w:val="InternetLink"/>
                  <w:rFonts w:ascii="Times New Roman" w:hAnsi="Times New Roman"/>
                  <w:b/>
                  <w:sz w:val="20"/>
                </w:rPr>
                <w:t>Risk Factors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5</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7">
              <w:r>
                <w:rPr>
                  <w:rStyle w:val="InternetLink"/>
                  <w:rFonts w:ascii="Times New Roman" w:hAnsi="Times New Roman"/>
                  <w:b/>
                  <w:sz w:val="20"/>
                </w:rPr>
                <w:t>Use of Proceeds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8">
              <w:r>
                <w:rPr>
                  <w:rStyle w:val="InternetLink"/>
                  <w:rFonts w:ascii="Times New Roman" w:hAnsi="Times New Roman"/>
                  <w:b/>
                  <w:sz w:val="20"/>
                </w:rPr>
                <w:t>Description of Debt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9">
              <w:r>
                <w:rPr>
                  <w:rStyle w:val="InternetLink"/>
                  <w:rFonts w:ascii="Times New Roman" w:hAnsi="Times New Roman"/>
                  <w:b/>
                  <w:sz w:val="20"/>
                </w:rPr>
                <w:t>Description of Capital Stock</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25</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0">
              <w:r>
                <w:rPr>
                  <w:rStyle w:val="InternetLink"/>
                  <w:rFonts w:ascii="Times New Roman" w:hAnsi="Times New Roman"/>
                  <w:b/>
                  <w:sz w:val="20"/>
                </w:rPr>
                <w:t>Description of Other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26</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1">
              <w:r>
                <w:rPr>
                  <w:rStyle w:val="InternetLink"/>
                  <w:rFonts w:ascii="Times New Roman" w:hAnsi="Times New Roman"/>
                  <w:b/>
                  <w:sz w:val="20"/>
                </w:rPr>
                <w:t>Plan of Distribution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27</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20"/>
              <w:jc w:val="left"/>
              <w:rPr/>
            </w:pPr>
            <w:hyperlink w:anchor="tx180255_12">
              <w:r>
                <w:rPr>
                  <w:rStyle w:val="InternetLink"/>
                  <w:rFonts w:ascii="Times New Roman" w:hAnsi="Times New Roman"/>
                  <w:b/>
                  <w:sz w:val="20"/>
                </w:rPr>
                <w:t>Legal Matters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28</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80255_13">
              <w:r>
                <w:rPr>
                  <w:rStyle w:val="InternetLink"/>
                  <w:rFonts w:ascii="Times New Roman" w:hAnsi="Times New Roman"/>
                  <w:b/>
                  <w:sz w:val="20"/>
                </w:rPr>
                <w:t>Experts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80255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utilizing a “shelf” registration process. By using a shelf registration statement, Xylem Inc. may sell, at any time and from time to time in one or more offerings, any combination of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“Xylem,” “Company,” “we,” “us” and “our” refer to Xylem Inc.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different information. We are not making an offer of these securities in any jurisdiction where the offer is not permitted. You should not assume that the information in this prospectus or a prospectus supplement is accurate as of any date other than the date on the front of the document.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containing specific information about the terms of that offering. That prospectus supplement may include a discussion of any risk factors or other special considerations applicable to those securities. The prospectus supplement also may add, update or change information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containing this prospectus, including the exhibits to the registration statement, provides additional information about us and the securities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exhibits to the registration statement contain the full text of certain contracts and other important documents we have summarized in this prospectus. You should review the full text of these documents because these summaries may not contain all the information that you may find important in deciding whether to purchase the securities we offer. The registration statement, including the exhibits, can be read at the SEC’s website or at the SEC’s offices mentioned under the heading “Where You Can Find More Information.” </w:t>
      </w:r>
    </w:p>
    <w:p>
      <w:pPr>
        <w:pStyle w:val="TextBody"/>
        <w:bidi w:val="0"/>
        <w:spacing w:before="480" w:after="0"/>
        <w:jc w:val="center"/>
        <w:rPr>
          <w:rFonts w:ascii="Times New Roman" w:hAnsi="Times New Roman"/>
          <w:b/>
          <w:sz w:val="20"/>
        </w:rPr>
      </w:pPr>
      <w:bookmarkStart w:id="17" w:name="tx180255_2"/>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10-K, quarterly reports on Form 10-Q, current reports on Form 8-K, proxy and information statements and amendments to reports filed or furnished pursuant to Sections 13(a), 14 and 15(d) of the Securities Exchange Act of 1934, as amended (the “Exchange Act”).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http://www.xylem.com. This reference to our Internet address is for informational purposes only and shall not, under any circumstances, be deemed to incorporate the information available at or through such Internet address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80255_3"/>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(including the portions of our Definitive Proxy Statement on </w:t>
            </w:r>
            <w:hyperlink r:id="rId15">
              <w:r>
                <w:rPr>
                  <w:rStyle w:val="InternetLink"/>
                  <w:rFonts w:ascii="Times New Roman" w:hAnsi="Times New Roman"/>
                  <w:sz w:val="20"/>
                </w:rPr>
                <w:t>Schedule 14A</w:t>
              </w:r>
            </w:hyperlink>
            <w:r>
              <w:rPr>
                <w:rFonts w:ascii="Times New Roman" w:hAnsi="Times New Roman"/>
                <w:sz w:val="20"/>
              </w:rPr>
              <w:t xml:space="preserve">, filed with the SEC on March 30,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Quarterly Report on Form 10-Q for the quarterly periods ended March 31, 2026 filed with the SEC on </w:t>
            </w:r>
            <w:hyperlink r:id="rId16">
              <w:r>
                <w:rPr>
                  <w:rStyle w:val="InternetLink"/>
                  <w:rFonts w:ascii="Times New Roman" w:hAnsi="Times New Roman"/>
                  <w:sz w:val="20"/>
                </w:rPr>
                <w:t>April  28, 2026</w:t>
              </w:r>
            </w:hyperlink>
            <w:r>
              <w:rPr>
                <w:rFonts w:ascii="Times New Roman" w:hAnsi="Times New Roman"/>
                <w:sz w:val="20"/>
              </w:rPr>
              <w:t xml:space="preserve"> and June 30, 2026 filed with the SEC on </w:t>
            </w:r>
            <w:hyperlink r:id="rId17">
              <w:r>
                <w:rPr>
                  <w:rStyle w:val="InternetLink"/>
                  <w:rFonts w:ascii="Times New Roman" w:hAnsi="Times New Roman"/>
                  <w:sz w:val="20"/>
                </w:rPr>
                <w:t>July 28,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8">
              <w:r>
                <w:rPr>
                  <w:rStyle w:val="InternetLink"/>
                  <w:rFonts w:ascii="Times New Roman" w:hAnsi="Times New Roman"/>
                  <w:sz w:val="20"/>
                </w:rPr>
                <w:t>February 25, 2026</w:t>
              </w:r>
            </w:hyperlink>
            <w:r>
              <w:rPr>
                <w:rFonts w:ascii="Times New Roman" w:hAnsi="Times New Roman"/>
                <w:sz w:val="20"/>
              </w:rPr>
              <w:t xml:space="preserve">, </w:t>
            </w:r>
            <w:hyperlink r:id="rId19">
              <w:r>
                <w:rPr>
                  <w:rStyle w:val="InternetLink"/>
                  <w:rFonts w:ascii="Times New Roman" w:hAnsi="Times New Roman"/>
                  <w:sz w:val="20"/>
                </w:rPr>
                <w:t>May 18, 2026</w:t>
              </w:r>
            </w:hyperlink>
            <w:r>
              <w:rPr>
                <w:rFonts w:ascii="Times New Roman" w:hAnsi="Times New Roman"/>
                <w:sz w:val="20"/>
              </w:rPr>
              <w:t xml:space="preserve"> and </w:t>
            </w:r>
            <w:hyperlink r:id="rId20">
              <w:r>
                <w:rPr>
                  <w:rStyle w:val="InternetLink"/>
                  <w:rFonts w:ascii="Times New Roman" w:hAnsi="Times New Roman"/>
                  <w:sz w:val="20"/>
                </w:rPr>
                <w:t>May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par value $0.01 per share, contained in </w:t>
            </w:r>
            <w:hyperlink r:id="rId21">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including any amendment or report filed for the purposes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Exchange Act after the date of this prospectus and before the termination of the offering of the securities made under this prospectus; provided, however, that we are not incorporating by reference any documents or information, including parts of documents that we file with the SEC, that are deemed to be furnished and not filed with the SEC. Unless specifically stated to the contrary, none of the information we disclose under Items 2.02 or 7.01 of any Current Report on Form 8-K that we may from time to time furnish to the SEC will be incorporated by reference into, or otherwise included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has been delivered, including any beneficial owner, a copy of any and all of the documents referred to herein that are summarized in and incorporated by reference into this prospectus, if such person makes a written or oral request directed to: </w:t>
      </w:r>
    </w:p>
    <w:p>
      <w:pPr>
        <w:pStyle w:val="TextBody"/>
        <w:bidi w:val="0"/>
        <w:spacing w:before="240" w:after="0"/>
        <w:jc w:val="center"/>
        <w:rPr>
          <w:rFonts w:ascii="Times New Roman" w:hAnsi="Times New Roman"/>
          <w:sz w:val="20"/>
        </w:rPr>
      </w:pPr>
      <w:r>
        <w:rPr>
          <w:rFonts w:ascii="Times New Roman" w:hAnsi="Times New Roman"/>
          <w:sz w:val="20"/>
        </w:rPr>
        <w:t xml:space="preserve">Xylem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301 Water Street SE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20003 </w:t>
      </w:r>
    </w:p>
    <w:p>
      <w:pPr>
        <w:pStyle w:val="TextBody"/>
        <w:bidi w:val="0"/>
        <w:spacing w:before="0" w:after="0"/>
        <w:jc w:val="center"/>
        <w:rPr>
          <w:rFonts w:ascii="Times New Roman" w:hAnsi="Times New Roman"/>
          <w:sz w:val="20"/>
        </w:rPr>
      </w:pPr>
      <w:r>
        <w:rPr>
          <w:rFonts w:ascii="Times New Roman" w:hAnsi="Times New Roman"/>
          <w:sz w:val="20"/>
        </w:rPr>
        <w:t>(202) 869-9150</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ADDITIONAL INFORMATION OR ANY INFORMATION THAT IS DIFFERENT FROM THAT CONTAINED IN OR INCORPORATED BY REFERENCE INTO THIS PROSPECTUS, ANY ACCOMPANYING PROSPECTUS SUPPLEMENT OR ANY FREE WRITING PROSPECTUS PROVIDED IN CONNECTION WITH AN OFFERING. WE TAKE NO RESPONSIBILITY FOR, AND CAN PROVIDE NO ASSURANCE AS TO THE RELIABILITY OF, ANY OTHER INFORMATION THAT OTHERS MAY GIVE YOU. YOU SHOULD NOT ASSUME THAT THE INFORMATION CONTAINED IN THIS PROSPECTUS IS ACCURATE AS OF ANY DATE OTHER THAN THAT DATE, UNLESS WE OTHERWISE NOTE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80255_4"/>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documents incorporated herein by reference, contains “forward-looking statements” within the meaning of Section 27A of the Securities Act of 1933, as amended (the “Securities Act”) and Section 21E of the Exchange Act. Generally, the words “anticipate,” “estimate,” “expect,” “project,” “intend,” “plan,” “contemplate,” “predict,” “outlook,”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expectations reflected in any of our forward-looking statements are reasonable, actual results could differ materially from those projected or assumed in any of our forward-looking statements. Our future financial condition, results of operations, and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for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below under “Risk Factors” and those described from time to time in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made herein are based on information currently available to us as of the date of this prospectus. We undertake no obligation to publicly update or revise any forward-looking statements, whether as a result of new information, future events or otherwise, except as required by law. You are advised to consult any additional disclosures we make in our Annual Reports on Form 10-K, Quarterly Reports on Form 10-Q and current reports on Form 8-K filed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80255_5"/>
      <w:bookmarkEnd w:id="20"/>
      <w:r>
        <w:rPr>
          <w:rFonts w:ascii="Times New Roman" w:hAnsi="Times New Roman"/>
          <w:b/>
          <w:sz w:val="20"/>
        </w:rPr>
        <w:t xml:space="preserve">ABOUT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Xylem is a leading global water technology company. We design, manufacture and service engineered products and solutions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Infrastructure </w:t>
            </w:r>
            <w:r>
              <w:rPr>
                <w:rFonts w:ascii="Times New Roman" w:hAnsi="Times New Roman"/>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Applied Water </w:t>
            </w:r>
            <w:r>
              <w:rPr>
                <w:rFonts w:ascii="Times New Roman" w:hAnsi="Times New Roman"/>
                <w:sz w:val="20"/>
              </w:rPr>
              <w:t xml:space="preserve">serves the water usage applications sector with water pressure boosting systems for heating, ventilation and air 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Measurement and Control Solutions</w:t>
            </w:r>
            <w:r>
              <w:rPr>
                <w:rFonts w:ascii="Times New Roman" w:hAnsi="Times New Roman"/>
                <w:sz w:val="20"/>
              </w:rPr>
              <w:t xml:space="preserve"> 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Solutions and Services </w:t>
            </w:r>
            <w:r>
              <w:rPr>
                <w:rFonts w:ascii="Times New Roman" w:hAnsi="Times New Roman"/>
                <w:sz w:val="20"/>
              </w:rPr>
              <w:t xml:space="preserve">provides tailored services and solutions, in collaboration with customers, including on-demand water, outsourced water, recycle/reuse, pipeline assessment services,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 external partners, and extensive service branch networks across the globe, including a rental fleet of transfer and treatment assets to serve our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Xylem Inc. was incorporated under the laws of the State of Indiana on May 4, 2011. Our principal executive offices are located at 301 Water Street SE, Washington, DC 20003 and our telephone number is (202) 869-9150.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80255_6"/>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Before you decide whether to purchase any of our securities, in addition to the other information, documents or reports included in or incorporated by reference into this prospectus and any accompanying prospectus supplement or other offering materials, you should carefully consider the risk factors in the section entitled “Risk Factors” in any prospectus supplement as well as our Annual Report on Form 10-K for the fiscal year ended December 31, 2025 which is incorporated by reference into this prospectus and any prospectus supplement in their entirety, as the same may be amended, supplemented or superseded from time to time by our filings under the Exchange Act. For more information, see the section entitled “Where You Can Find More Information.” These risks could materially and adversely affect our business, results of operations and financial condition and could result in a partial or complete loss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80255_7"/>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the applicable prospectus supplement, we will use the proceeds of any offering for general corporate purposes, which may include repayment of debt, repurchases of outstanding shares of common stock, payment of dividends, acquisitions of companies or businesses, investments, working capital and capital expenditures. We have not determined the amount of net proceeds to be used specifically for such purposes. As a result, management will retain broad discretion over the allocation of net proceeds. Net proceeds may be temporarily invested prior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80255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 </w:t>
      </w:r>
    </w:p>
    <w:p>
      <w:pPr>
        <w:pStyle w:val="TextBody"/>
        <w:bidi w:val="0"/>
        <w:spacing w:before="240" w:after="0"/>
        <w:jc w:val="left"/>
        <w:rPr>
          <w:rFonts w:ascii="Times New Roman" w:hAnsi="Times New Roman"/>
          <w:sz w:val="20"/>
        </w:rPr>
      </w:pPr>
      <w:r>
        <w:rPr>
          <w:rFonts w:ascii="Times New Roman" w:hAnsi="Times New Roman"/>
          <w:sz w:val="20"/>
        </w:rPr>
        <w:t xml:space="preserve">Xylem will be the issuer of any debt securities we may offer and references to “we,” “our” or “us” in this description do not, unless the context otherwise indicates, include any of its subsidiaries. Capitalized terms used but not defined in this section have the respective meanings set forth in the applicable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that we may offer will be either senior debt securities or subordinated debt securities. Any senior debt securities will be issued under an indenture, which we refer to as the senior indenture, dated as of March 11, 2016, between us and Deutsche Bank Trust Company Americas, as trustee, as supplemented and amended from time to time.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The terms of each series of debt securities will be set forth in a resolution of the board of directors of the Registrant, an officers’ certificate or by a supplemental indenture. You should read the indentures, including any amendments or supplements or any officers’ certificate setting forth the terms of any series of notes,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prospectus supplement for the following and other possible terms of each series of the debt securities with respect to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the series that may be authenticated and delivered under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date or issue dates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premium, if any, and additional amounts, if any, payable with respect to the debt securities of the series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will be issued at par of, at a premium over or a discount from their face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of the series shall bear interest, if any, and, if applicable, the manner of calculation of such rate or rates, if any, including any procedures to vary or reset such rate or rates,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shall accrue, the dates on which such interest will be payable or the manner of determination of such dates, and the record date for the determination of holders to whom interest is payable on any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the duration of such extension or deferral;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repay or purchase any of the debt securities of the series pursuant to any sinking fund, mandatory redemption, purchase obligation or analogous provisions, including payments made in cash in anticipation of future sinking fund obligations at the option of a holder thereof and the period or periods within which, the price or prices at which, and the terms and conditions upon which debt securities of the series shall be redeemed, repaid,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shall be issued in whole or in part in the form of a global security or securities, the type of global security to be issued, the identity of the depositary for such global security and the terms and conditions, if any, upon which interests in the debt securities of the series represented by such global security may be exchanged, in whole or in part, for other individual securities represented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debt securities, the subordination terms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or any multiple of $1,000 in excess thereof, the denominations in which the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additional amounts of the debt securities of the series shall be payable in respect of any taxes, assessments, or other governmental charges withheld or deducted and, if so, whether we will have the option to redeem the debt securities of such series rather than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are to be issuable in definitive form (whether upon original issue or upon exchange of a temporary debt security for a definitive security of such series) only upon receipt of certain certificates or other documents or upon satisfaction of other conditions, then the form and terms of such certificates, documents and/or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or conversion of the debt securities of such series, whether or not at the option of the holders thereof, for or into new debt securities of a different series or for or into any other securities which may include shares of our capital stock or any of our subsidiaries or securities directly or indirectly convertible into or exchangeable for any such shares or securities unaffiliated with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payment of the principal of, premium, if any, and interest on debt securities of the series shall be payable and the period or periods within which and the terms and conditions upon which such election may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or any premium or interest on debt securities of a series may be determined with reference to an index or pursuant to a formula,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 debt securities of a series, at the option of the holders thereof, for other debt securities of the same series of the same aggregate principal amount of a different authorized kind or different authorized denomination or denominations,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guarantees on the debt securities and the identity of any guarantor thereof, the conditions of such guarantee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by a trustee of an authenticating agent in one or more places other than the corporate trust office of such trustee, with power to act on behalf of such trustee, and subject to its direction, in the authentication and delivery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depositaries, paying agents, transfer agents, exchange agents, conversion agents, registrars or other agents with respect to such series, if different from those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the debt securities of the series, if other than the principal amount thereof, that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debt securities of a series may be defeased if different from the provisions set forth in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and conditions, if any, upon which any series of subordinated debt securities is subordinated to debt securities of another series or to our other indebtedness. The terms will include a description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indebtedness ranking senior to the debt securities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if any, on payments to the holders of the debt securities being offered while a default with respect to the senior indebtedness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requiring holders of the debt securities being offered to remit some payments to the holders of senior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If less than all of the debt securities of a series are to be redeemed at any time, the trustee will select the debt securities of such series for redemption by lot, based on the applicable procedures of The Depository Trust Company (“DTC”). </w:t>
      </w:r>
    </w:p>
    <w:p>
      <w:pPr>
        <w:pStyle w:val="TextBody"/>
        <w:bidi w:val="0"/>
        <w:spacing w:before="240" w:after="0"/>
        <w:jc w:val="left"/>
        <w:rPr>
          <w:rFonts w:ascii="Times New Roman" w:hAnsi="Times New Roman"/>
          <w:sz w:val="20"/>
        </w:rPr>
      </w:pPr>
      <w:r>
        <w:rPr>
          <w:rFonts w:ascii="Times New Roman" w:hAnsi="Times New Roman"/>
          <w:sz w:val="20"/>
        </w:rPr>
        <w:t xml:space="preserve">No debt securities in principal amount of $1,000 or less can be redeemed in part. Notices of redemption will be mailed by first-class mail (in case of notes held in book-entry form, by electronic transmission) at least 10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any debt security is to be redeemed in part only, the notice of redemption that relates to that debt security will state the portion of the principal amount of that debt security that is to be redeemed. For debt securities issued in certificated form, a new certificate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Unless we default in payment of the redemption price, on and after the redemption date, interest will cease to accrue on the debt securities or portions of the debt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be liable for selections made by it as contemplated in this section. For any debt securities which are represented by global securities held on behalf of DTC, the Euroclear System (“Euroclear”) or Clearstream Banking S.A. (“Clearstream”), notices may be given by delivery of the relevant notices to DTC, Euroclear or Clearstream for communication to entitled account holders in substitution for the aforesaid mailing. </w:t>
      </w:r>
    </w:p>
    <w:p>
      <w:pPr>
        <w:pStyle w:val="TextBody"/>
        <w:bidi w:val="0"/>
        <w:spacing w:before="360" w:after="0"/>
        <w:jc w:val="left"/>
        <w:rPr>
          <w:rFonts w:ascii="Times New Roman" w:hAnsi="Times New Roman"/>
          <w:b/>
          <w:sz w:val="20"/>
        </w:rPr>
      </w:pPr>
      <w:r>
        <w:rPr>
          <w:rFonts w:ascii="Times New Roman" w:hAnsi="Times New Roman"/>
          <w:b/>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required by the rules and regulations of the SEC, so long as any debt securities are outstanding, we shall file with the trustee, within 15 days after we are required to file the same with the SEC, copies of the annual reports and of the information, documents and other reports (or copies of such portions of any of the foregoing as the SEC may from time to time by rules and regulations prescribe) that we would be required to file with the SEC pursuant to Section 13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shall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will be “Events of Default” with respect to debt securities of a particular series, except to the extent provided in the supplemental indenture, officers’ certificate or resolution of our board of directors pursuant to which a series of debt securities is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interest on any of the debt securities of such series when it becomes due and the default continues for a period of 30 days or more;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principal, or premium, if any, on any of the debt securities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sinking or purchase fund or analogous obligation when the same becomes due, and such default continues for 30 days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in the indenture (other than defaults specified above) and the default or breach continues for a period of 90 days or more after we receive written notice from the trustee or we and the trustee receive notice from the holders of at least 25% in aggregate principal amount of the outstanding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reorganization, administration or similar proceedings;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the supplemental indenture, officers’ certificate or resolution of our board of directors under which such series of debt securities is issued or in the form of security for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fifth bullet point above) under the indenture occurs with respect to the notes and is continuing, then the trustee or the holders of at least 25% in principal amount of the outstanding debt securities of the affected series may by written notice require us to repay immediately the entire principal amount of the outstanding notes of that series, together with all accrued and unpaid interest and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the indenture specified in the fifth bullet point above occurs and is continuing, then the entire principal amount of the outstanding debt securities of the affected series will automatically become due and payable immediately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After a declaration of acceleration, the holders of a majority in principal amount of outstanding debt securities of the affected series may rescind this accelerated payment requirement if (i) all existing Events of Default, except for nonpayment of the principal and interest on the debt securities of that series that has become due solely as a result of the accelerated payment requirement, have been cured or waived, (ii) the rescission of acceleration would not conflict with any judgment or decree and (iii) we have paid or deposited with the trustee a sum sufficient to pay all sums paid or advanced by the trustee and the reasonable and duly documented compensation, expenses, disbursements and advances of the trustee, its agents and counsel. The holders of a majority in principal amount of the outstanding debt securities of the affected series also have the right to waive past defaults, except a default in paying principal or interest on any outstanding note of that series, and except in respect of a covenant or a provision that cannot be modified or amended without the consent of all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Holders of at least 25% in principal amount of the outstanding debt securities of the affected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notes of that series. These limitations do not apply, however, to a suit instituted by a holder of a note for the enforcement of the payment of principal, interest or any premium on or after the due dates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existence of an Event of Default, the trustee is required to exercise the rights and powers vested in it under the indenture and to use the same degree of care and skill in its exercise as a prudent person would use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debt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affected series have the right to direct the time, method and place of conducting any proceeding for any remedy available to the trustee, or exercising any trust or power conferred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any default occurs, give notice of the default to the holders of the notes of the affected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to be charged with knowledge of any Event of Default or knowledge of any cure of any Event of Default unless either (i) an authorized officer or agent of the trustee with direct responsibility for the administration of the indenture has actual knowledge of such Event of Default or (ii) written notice of such Event of Default has been given to such authorized officer of the trustee by the Issuer or any holder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Although the indentures generally do not contain financial or similar restrictive covenants, unless otherwise specified in the applicable prospectus supplement, the debt securities will contain the additional covenants described below that are not contained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Upon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A change of control requiring us to repurchase all, or part, of the debt securities as described below will be triggered in the event that the debt securities notes cease to be rated equal to or higher than BBB- (or the equivalent) by Fitch Inc. (“Fitch”), Baa3 (or the equivalent) by Moody’s Investors Service, Inc. (“Moody’s”) or BBB- (or the equivalent) by Standard &amp; Poor’s Rating Services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debt securities is under publicly announced consideration for possible downgrade by any of the rating agencies. Unless at least one rating agency is providing a rating for the notes at the commencement of any such period, the notes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triggering a change of control occurs, unless we have exercised our right to redeem the debt securities of a series pursuant to the terms of such series, we will be required to make an offer to repurchase all or, at the holder’s option, any part (equal to $2,000 or any multiple of $1,000 in excess thereof) of each holder’s debt securities on the terms set forth in the debt securities. In such offer, we will be required to offer payment in cash equal to 101% of the aggregate principal amount of the debt securities repurchased plus accrued and unpaid interest, if any, on the debt securities repurchased, to, but not including,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event triggering a change of control or, at our option, prior to any change of control, but after public announcement of the transaction that constitutes or may constitute the change of control, a notice will be mailed to holders of the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such payment date, we will be required, to the extent lawful,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debt securities or portions of debt securities properly tendered pursuant to the offer described in the first paragraph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required payment in respect of all debt securities or portions of notes debt securities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debt securities properly accepted together with an officer’s certificate stating the aggregate principal amount of debt securities or portions of debt securities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be required to promptly mail to each holder who properly tendered debt securities the purchase price for such debt securities, and the trustee will be required to promptly authenticate and mail (or cause to be transferred by book entry) to each such holder a new debt security equal in principal amount to any unpurchased portion of the debt securities surrendered, if any; provided that each new debt security will be in a principal amount of $2,000 or a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upon an event triggering a change of control if a third party makes such an offer in the manner, at the times and otherwise in compliance with the requirements for an offer made by us and such third party purchases all debt securities properly tendered and not withdrawn under its offer. In the event that such third party terminates or defaults its offer, we will be required to make an offer treating the date of such termination or default as though it were the date of such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repurchase any debt securities if there has occurred and is continuing on the relevant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are required to offer to repurchase the debt securities upon the occurrence of a change of control triggering event, we may not have sufficient funds to repurchase the debt securities in cash at such time. In addition, our ability to repurchase the debt securities for cash may be limited by law or the terms of other agreements relating to our indebtedness outstanding at the time. The failure to make such repurchase would result in a default under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those laws and regulations are applicable in connection with the repurchase of the debt securities as a result of a change of control triggering event. To the extent that the provision of any such securities laws or regulations conflicts with the offer provisions in respect of a change of control of the debt securities, we will comply with those securities laws and regulations and will not be deemed to have breached our obligations under such offer provisions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 will be applicable: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one of the following: (1) the direct or indirect sale, lease, transfer, conveyance or other disposition (other than by way of merger, amalgamation, arrangement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the debt securities will not contain any financial covenants or other restrictive provisions designed to protect holders of the debt securities in the event of a highly leveraged transaction. The indentures contain the following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We will not, and we will not permit any of our restricted subsidiaries to, incur, suffer to exist or guarantee any debt secured by a lien on any principal property or on any shares of stock of (or other interests in) any of our restricted subsidiaries unless we or such restricted subsidiary secures or we cause such restricted subsidiary to secure the debt securities (and any of its or such restricted subsidiary’s other debt, at its option or such restricted subsidiary’s option, as the case may be, not subordinate to the debt securities), equally and ratably with (or prior to) such secured debt, for as long as such secured debt will be so secured. </w:t>
      </w:r>
    </w:p>
    <w:p>
      <w:pPr>
        <w:pStyle w:val="TextBody"/>
        <w:bidi w:val="0"/>
        <w:spacing w:before="240" w:after="0"/>
        <w:jc w:val="left"/>
        <w:rPr>
          <w:rFonts w:ascii="Times New Roman" w:hAnsi="Times New Roman"/>
          <w:sz w:val="20"/>
        </w:rPr>
      </w:pPr>
      <w:r>
        <w:rPr>
          <w:rFonts w:ascii="Times New Roman" w:hAnsi="Times New Roman"/>
          <w:sz w:val="20"/>
        </w:rPr>
        <w:t xml:space="preserve">These restrictions will not, however, apply to debt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existing prior to the issuance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on property of or shares of stock of (or other interests in) or debt of any entity existing at the time such entity becomes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on property, shares of stock (or other interests in) or debt of any entity (i) existing at the time of acquisition of such property or shares (or other interests) (including acquisition through merger or consolidation), (ii) to secure the payment of all or any part of the purchase price of such property or shares (or other interests) or the costs of construction or improvement of such property or (iii) to secure any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incurred prior to, at the time of, or within 180 days after the later of the acquisition, the completion of construction or the commencement of full operation of such property or within 180 days after the acquisition of such shares (or other interests) for the purpose of financing all or any part of the purchase price of such property or shares (or other interests) or the costs of construction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in favor of us or any of our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in favor of, or required by contracts with, governmental entities;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refunding of liens referred to in any of the preceding clauses.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and together with the value of attributable debt outstanding pursuant to the second paragraph of the “—Limitation on Sale and Lease-Back Transactions” covenant below, the aggregate amount of such debt does not exceed 15% of our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 such unrestricted subsidiary would not be restricted from incurring secured debt nor would we be required, upon such incurrence, to secure the debt securities equally and ratably with such secured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will not enter into any sale and lease-back transaction with respect to any principal property, other than any such sale and lease-back transaction involving a lease for a term of not more than three years or any such sale and lease-back transaction between us and one of our restricted subsidiaries or between our restricted subsidiaries, unless: (i) we or such restricted subsidiary would be entitled to incur debt secured by a lien on the principal property involved in such sale and lease-back transaction at least equal in amount to the attributable debt with respect to such sale and lease-back transaction, without equally and ratably securing the debt securities, pursuant to the covenant described above under the caption “—Limitation on Liens”; or (ii) the proceeds of such sale and lease-back transaction are at least equal to the fair market value of the affected principal property (as determined in good faith by our board of directors) and we apply an amount equal to the net proceeds of such sale and lease-back transaction within 180 days of such sale and lease-back transaction to any (or a combination) of (a) the prepayment or retirement of the debt securities, (b) the prepayment or retirement (other than any mandatory retirement, mandatory prepayment or sinking fund payment or by payment at maturity) of other debt of us or of one of our restricted subsidiaries (other than debt that is subordinated to the debt securities or debt owed to us or one of our restricted subsidiaries) that matures more than 12 months after its creation or matures less than 12 months after its creation but by its terms being renewable or extendible, at the option of the obligor in respect thereof, beyond 12 months from its creation or (c) the purchase, construction, development, expansion or improvement of other comparable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in the preceding paragraph, we will be permitted to enter into sale and lease-back transactions otherwise prohibited by this covenant, the attributable debt with respect to which, together with all debt outstanding pursuant to the third paragraph of the “—Limitation on Liens” covenant above, without duplication, do not exceed 15% of consolidated net tangible assets measured at the closing date of the sale and lease-back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definitions of some terms used in the above description. We refer you to the indenture for a full description of all of these terms, as well as any other terms used herein for which no definition is provided. </w:t>
      </w:r>
    </w:p>
    <w:p>
      <w:pPr>
        <w:pStyle w:val="TextBody"/>
        <w:bidi w:val="0"/>
        <w:spacing w:before="240" w:after="0"/>
        <w:jc w:val="left"/>
        <w:rPr/>
      </w:pPr>
      <w:r>
        <w:rPr/>
        <w:t>“</w:t>
      </w:r>
      <w:r>
        <w:rPr>
          <w:rFonts w:ascii="Times New Roman" w:hAnsi="Times New Roman"/>
          <w:i/>
          <w:sz w:val="20"/>
        </w:rPr>
        <w:t>attributable debt</w:t>
      </w:r>
      <w:r>
        <w:rPr>
          <w:rFonts w:ascii="Times New Roman" w:hAnsi="Times New Roman"/>
          <w:sz w:val="20"/>
        </w:rPr>
        <w:t xml:space="preserve">” with regard to a sale and lease-back transaction with respect to any principal property means, at the time of determination, the present value of the total net amount of rent required to be paid under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notes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the total amount of our assets and our restricted subsidiaries’ assets 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applicable depreciation, amortization and other valuation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liabilities of ours and our restricted subsidiaries (excluding any intercompany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goodwill, trade names, trademarks, patents, unamortized debt discount and expenses and other like intangibles, all as set forth on our and our restricted subsidiaries’ latest consolidated balance sheets prepared in accordance with U.S. GAAP. </w:t>
            </w:r>
          </w:p>
        </w:tc>
      </w:tr>
    </w:tbl>
    <w:p>
      <w:pPr>
        <w:pStyle w:val="TextBody"/>
        <w:bidi w:val="0"/>
        <w:spacing w:before="240" w:after="0"/>
        <w:jc w:val="left"/>
        <w:rPr/>
      </w:pPr>
      <w:r>
        <w:rPr/>
        <w:t>“</w:t>
      </w:r>
      <w:r>
        <w:rPr>
          <w:rFonts w:ascii="Times New Roman" w:hAnsi="Times New Roman"/>
          <w:i/>
          <w:sz w:val="20"/>
        </w:rPr>
        <w:t>debt</w:t>
      </w:r>
      <w:r>
        <w:rPr>
          <w:rFonts w:ascii="Times New Roman" w:hAnsi="Times New Roman"/>
          <w:sz w:val="20"/>
        </w:rPr>
        <w:t xml:space="preserve">” means any indebtedness for borrowed money.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any single manufacturing or processing plant, office building or warehouse owned or leased by us or any of our restricted subsidiaries which has a gross book value in excess of 2% of our consolidated net tangible assets other than a plant, warehouse, office building or portion thereof which, in the opinion of our Board of Directors, is not of material importance to the business conducted by the Company and its restricted subsidiaries as an entirety.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at any time, any subsidiary which at the time is not an unrestricted subsidiary of ours.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entity, at least a majority of the outstanding voting stock of which shall at the time be owned, directly or indirectly, by us or by one or more of our subsidiaries, or both.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 and which, in the opinion of our Board of Directors, is not of material importance to the business conducted by the Company and its restricted subsidiaries as an entity.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or merge with or into, or convey or transfer all or substantially all of our assets to, any entity (including, without limitation, a limited partnership or a limited liability company);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event of default, and no default or other event which, after notice or lapse of time, or both, would become an event of default, will have happened and be continuing;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delivered to the trustee an opinion of counsel, stating that such consolidation, merger, conveyance or transfer and such supplemental indenture, if any, complies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consolidation, merger, conveyance, transfer or lease, any such successor will succeed to and be substituted for us as obligor on the notes with the same effect as if it had been named in the indenture as obligor.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entitled to conclusively rely on and will accept such opinion as sufficient evidence of the satisfaction of the conditions precedent set forth in the third clause above, in which event it shall be conclusive and binding on the holders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may be amended or modified without the consent of any holder of the debt securities of any series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 succession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ambiguities, defects or inconsistencies or make any other change that does not adversely affect in any material respect the interests of any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of our obligations in the case of a merger or consolidation or transfer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guarantors with respect to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forms of the debt securities of any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to and modifications of the indenture or the debt securities of any series issued may be made with the consent of the holders of not less than a majority of the aggregate principal amount of the outstanding series affected by the amendment or modification. However, no modification or amendment may, without the consent of the holder of each affected outstanding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extend the fixed maturity,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or waive the redemption provisions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outstanding of the debt securities of any series which must consent to an amendment, supplement or waiver or consent to take any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with respect to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debt securities of any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ranking of the debt securities of any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the trustee will be required to use the degree of care and skill of a prudent person in the conduct of his or her own affairs. The trustee will become obligated to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its powers under the indenture at the request of any of the holders of any debt securities issued under the indenture only after those holders have furnished the trustee reasonable security or indemnity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and Security Registrar </w:t>
      </w:r>
    </w:p>
    <w:p>
      <w:pPr>
        <w:pStyle w:val="TextBody"/>
        <w:bidi w:val="0"/>
        <w:spacing w:before="120" w:after="0"/>
        <w:jc w:val="left"/>
        <w:rPr>
          <w:rFonts w:ascii="Times New Roman" w:hAnsi="Times New Roman"/>
          <w:sz w:val="20"/>
        </w:rPr>
      </w:pPr>
      <w:r>
        <w:rPr>
          <w:rFonts w:ascii="Times New Roman" w:hAnsi="Times New Roman"/>
          <w:sz w:val="20"/>
        </w:rPr>
        <w:t xml:space="preserve">We will maintain one or more paying agents (each, a “Paying Agent”) for any debt securities we issue in New York,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will also maintain one or more security registrars (each, a “Security Registrar”) with an office in New York,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 </w:t>
      </w:r>
    </w:p>
    <w:p>
      <w:pPr>
        <w:pStyle w:val="TextBody"/>
        <w:bidi w:val="0"/>
        <w:spacing w:before="240" w:after="0"/>
        <w:jc w:val="left"/>
        <w:rPr>
          <w:rFonts w:ascii="Times New Roman" w:hAnsi="Times New Roman"/>
          <w:sz w:val="20"/>
        </w:rPr>
      </w:pPr>
      <w:r>
        <w:rPr>
          <w:rFonts w:ascii="Times New Roman" w:hAnsi="Times New Roman"/>
          <w:sz w:val="20"/>
        </w:rPr>
        <w:t xml:space="preserve">The Security Registrar will maintain a register reflecting ownership of debt securities outstanding from time to time, and the Paying Agents will make payments on and facilitate transfer of debt securities on our behalf. We may change any Paying Agents or Security Registrars without prior notice to the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with respect to the debt securities of any series under the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been authenticated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not been delivered to the trustee for cancellation have become due and payable, will become due and payable within one year, or are to be called for redemption within one year and we 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notes to pay principal, interest and any premium;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outstanding debt securities of any series (“legal defeasance”). Legal defeasance means that we will be deemed to have paid and discharged the entire indebtedness represented by the outstanding debt securities of such series under the indenture,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 of the debt securities to receive principal, interest and any premium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mutilated, destroyed, lost or stolen debt securities and the maintenance of an office or agency for payment for security payments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have our obligations released with respect to certain covenants in the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will no longer constitute an event of default for that series.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the outstanding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in an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that will provide, not later than one day before the due date of any payment, money in an amount;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money and U.S. government obligations (or equivalent government obligations,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sufficient, in the written opinion of a nationally recognized firm of independent registered public accountants to pay and discharge, and which shall be applied by the trustee to pay and discharge, all of the principal (including mandatory sinking fund payments), interest and any premium at due date or maturity;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(i) we have received from, or there has been published by, the U.S. Internal Revenue Service, a ruling, or (ii) since the issuance of the debt securities, there has been a change in applicable U.S. federal income tax law, in either case to the effect that the holders of the debt securities of that series will not recognize income, gain or loss for U.S. federal income tax purposes as a result of the deposit, defeasance and discharge to be effected and will be subject to the same U.S. federal income tax as would be the case if the deposit, defeasance and discharge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holders of the debt securities of that series will not recognize income, gain or loss for U.S. federal income tax purposes as a result of the deposit and covenant defeasance to be effected and will be subject to the same U.S. federal income tax as would be the case if the deposit and covenant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debt securities of that series were in default within the meaning of such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any other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with respect to the defeasance or covenant defeasance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whole or in part in the form of one or more global securities that will be deposited with, or on behalf of, a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$2,000 or any integral multiple of $1,000 in excess thereof and will be issued in registered form only, without coupons.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any global securities will be deposited with, or on behalf of,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securities will be represented through book-entry accounts of financial institutions acting on behalf of beneficial owners as direct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$2,000 and multiples of $1,000 in excess thereof. Except as set forth below, the global securities may be transferred, in whole and not in part, only to another nominee of DTC or to a successor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represented by a global security can be exchanged for definitive securities in registered form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depositary for that global security, and we do not appoint a successor depositary within 90 days after receiving that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or in good standing under the Exchange Act, as amended, or other applicable statute or regulation, and we do not appoint a successor depositary within 90 days after becoming aware that DTC has ceased to be registered as a clearing agency;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that that global security will be exchangeable for definitive securities in registered form and we notify the trustee of our decision.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 </w:t>
      </w:r>
    </w:p>
    <w:p>
      <w:pPr>
        <w:pStyle w:val="TextBody"/>
        <w:bidi w:val="0"/>
        <w:spacing w:before="240" w:after="0"/>
        <w:jc w:val="left"/>
        <w:rPr>
          <w:rFonts w:ascii="Times New Roman" w:hAnsi="Times New Roman"/>
          <w:sz w:val="20"/>
        </w:rPr>
      </w:pPr>
      <w:r>
        <w:rPr>
          <w:rFonts w:ascii="Times New Roman" w:hAnsi="Times New Roman"/>
          <w:sz w:val="20"/>
        </w:rPr>
        <w:t xml:space="preserve">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relating to, or payments made on account of, beneficial ownership interests in a debt security represented by a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has advised us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debt securities held beneficially through Clearstream will be credited to cash accounts of Clearstream Participants in accordance with its rules and procedures, to the extent received by the U.S. Depositary for Clearstream.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has advised us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(the “Euroclear Operator”), a bank incorporated under the laws of the Kingdom of Belgium,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Euroclear Operator advises us that it is regulated and examined by the Belgian banking and Finance Commission and the National Bank of Belgium. </w:t>
      </w:r>
    </w:p>
    <w:p>
      <w:pPr>
        <w:pStyle w:val="TextBody"/>
        <w:bidi w:val="0"/>
        <w:spacing w:before="240" w:after="0"/>
        <w:jc w:val="left"/>
        <w:rPr>
          <w:rFonts w:ascii="Times New Roman" w:hAnsi="Times New Roman"/>
          <w:sz w:val="20"/>
        </w:rPr>
      </w:pPr>
      <w:r>
        <w:rPr>
          <w:rFonts w:ascii="Times New Roman" w:hAnsi="Times New Roman"/>
          <w:sz w:val="20"/>
        </w:rPr>
        <w:t xml:space="preserve">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debt securities held beneficially through Euroclear will be credited to the cash accounts of Euroclear Participants in accordance with the Terms and Conditions, to the extent received by the U.S. Depositary for Euroclear. </w:t>
      </w:r>
    </w:p>
    <w:p>
      <w:pPr>
        <w:pStyle w:val="TextBody"/>
        <w:bidi w:val="0"/>
        <w:spacing w:before="240" w:after="0"/>
        <w:jc w:val="left"/>
        <w:rPr>
          <w:rFonts w:ascii="Times New Roman" w:hAnsi="Times New Roman"/>
          <w:sz w:val="20"/>
        </w:rPr>
      </w:pPr>
      <w:r>
        <w:rPr>
          <w:rFonts w:ascii="Times New Roman" w:hAnsi="Times New Roman"/>
          <w:sz w:val="20"/>
        </w:rPr>
        <w:t xml:space="preserve">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80255_9"/>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issue 750,000,000 shares of common stock, par value $0.01 per share, and 50,000,000 shares of preferred stock, having no stated par value. No shares of preferred stock are currently outstanding. All outstanding shares of common stock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our common stock is not complete and is qualified in its entirety by reference to our fourth amended and restated articles of incorporation and our fourth amended and restated by-laws, each of which is incorporated by reference into this prospectus as exhibits.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to be voted on by shareholders. There is no provision for cumulative voting with regard to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and 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all the rights of the holders of the preferred stock, the holders of shares of common stock shall be entitled to receive, when, as and if declared by the board of directors, out of funds legally available for the payment thereof, dividends payable in cash, stock or otherwise. Upon any liquidation, dissolution or winding up, whether voluntary or involuntary, and subject to the rights of the holders of the preferred stock, the remaining assets of Xylem Inc. available for distribution shall be distributed to the holders of the common stock ratably according to the number of shares of common stock held by such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have no preemptive rights and no rights to convert their common stock into any other securities, and our common stock is not subject to any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of our Articles of Incorporation, our By-laws and Indiana Law </w:t>
      </w:r>
    </w:p>
    <w:p>
      <w:pPr>
        <w:pStyle w:val="TextBody"/>
        <w:bidi w:val="0"/>
        <w:spacing w:before="120" w:after="0"/>
        <w:jc w:val="left"/>
        <w:rPr>
          <w:rFonts w:ascii="Times New Roman" w:hAnsi="Times New Roman"/>
          <w:sz w:val="20"/>
        </w:rPr>
      </w:pPr>
      <w:r>
        <w:rPr>
          <w:rFonts w:ascii="Times New Roman" w:hAnsi="Times New Roman"/>
          <w:sz w:val="20"/>
        </w:rPr>
        <w:t xml:space="preserve">Various provisions contained in our articles of incorporation, our by-laws and Indiana law could delay or discourage some transactions involving an actual or potential change in control of Xylem Inc. and may limit the ability of our shareholders to remove current management or approve transactions that our shareholders may deem to be in their best interests. Provisions in our articles of incorporation and our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establish one or more series of undesignated preferred stock, the terms of which can be determined by the board of directors at the time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authorize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board of directors to supplement, amend, or repeal the by-laws and to adopt new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 special meeting of the shareholders may be called by (i) the board of directors, (ii) the chair of the board of directors, or (iii) the secretary upon the request of at least 25 percent of the outstanding shares of common stock entitled to vote on the matter or matters to be brought before the proposed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shareholder meetings, provide an advance written notice procedure with respect to shareholder nomination for directors and bringing other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fill any vacancies on our board of directors, including newly created board seats resulting from an increase in the authorized number of directors and vacancies resulting from death, retirement, resignation, or removal.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80255_10"/>
      <w:bookmarkEnd w:id="25"/>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preferred stock, depositary shares, purchase contracts, warrants or units that may be offered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80255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through agents, through underwriters or dealers, directly to one or more purchasers, through a combination of any of these methods of sale or through any other methods described in a prospectus supplement. 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dealers may be paid compensation for offering and selling the securities. That compensation may be in the form of discounts, concessions or commissions to be received from us or from the purchasers of the securities. We will identify the specific plan of distribution, including any underwriters, dealers, agents or direct purchasers and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whether or not an underwriter may engage in stabilizing transactions, over-allotment transactions, syndicate covering transactions and penalty bids.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80255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Gibson, Dunn &amp; Crutcher LLP will pass upon the validity of any securities issued under this prospectus as to matters governed by the laws of the State of New York; Barnes &amp; Thornburg LLP will pass upon the validity of any securities issued under this prospectus as to all matters governed by the laws of the State of Indiana. Any underwriters will be represented by their own legal counsel. </w:t>
      </w:r>
    </w:p>
    <w:p>
      <w:pPr>
        <w:pStyle w:val="TextBody"/>
        <w:bidi w:val="0"/>
        <w:spacing w:before="480" w:after="0"/>
        <w:jc w:val="center"/>
        <w:rPr>
          <w:rFonts w:ascii="Times New Roman" w:hAnsi="Times New Roman"/>
          <w:b/>
          <w:sz w:val="20"/>
        </w:rPr>
      </w:pPr>
      <w:bookmarkStart w:id="28" w:name="tx180255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Xylem Inc. incorporated by reference in this Prospectus, and the effectiveness of Xylem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6"/>
        </w:rPr>
      </w:pPr>
      <w:r>
        <w:rPr>
          <w:rFonts w:ascii="Times New Roman" w:hAnsi="Times New Roman"/>
          <w:b/>
          <w:sz w:val="36"/>
        </w:rPr>
        <w:t xml:space="preserve">$1,500,000,000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3795" cy="9582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423795" cy="95821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Xylem Inc. </w:t>
      </w:r>
    </w:p>
    <w:p>
      <w:pPr>
        <w:pStyle w:val="TextBody"/>
        <w:bidi w:val="0"/>
        <w:spacing w:before="480" w:after="0"/>
        <w:jc w:val="center"/>
        <w:rPr>
          <w:rFonts w:ascii="Times New Roman" w:hAnsi="Times New Roman"/>
          <w:b/>
          <w:sz w:val="28"/>
        </w:rPr>
      </w:pPr>
      <w:r>
        <w:rPr>
          <w:rFonts w:ascii="Times New Roman" w:hAnsi="Times New Roman"/>
          <w:b/>
          <w:sz w:val="28"/>
        </w:rPr>
        <w:t xml:space="preserve">$500,000,000 5.250% Senior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$500,000,000 5.450% Senior Notes due 2032 </w:t>
      </w:r>
    </w:p>
    <w:p>
      <w:pPr>
        <w:pStyle w:val="TextBody"/>
        <w:bidi w:val="0"/>
        <w:spacing w:before="0" w:after="0"/>
        <w:jc w:val="center"/>
        <w:rPr>
          <w:rFonts w:ascii="Times New Roman" w:hAnsi="Times New Roman"/>
          <w:b/>
          <w:sz w:val="28"/>
        </w:rPr>
      </w:pPr>
      <w:r>
        <w:rPr>
          <w:rFonts w:ascii="Times New Roman" w:hAnsi="Times New Roman"/>
          <w:b/>
          <w:sz w:val="28"/>
        </w:rPr>
        <w:t xml:space="preserve">$500,000,000 5.850%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8"/>
        <w:gridCol w:w="101"/>
        <w:gridCol w:w="3878"/>
        <w:gridCol w:w="101"/>
        <w:gridCol w:w="3267"/>
      </w:tblGrid>
      <w:tr>
        <w:trPr/>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2858" w:type="dxa"/>
            <w:tcBorders/>
          </w:tcPr>
          <w:p>
            <w:pPr>
              <w:pStyle w:val="TableContents"/>
              <w:bidi w:val="0"/>
              <w:spacing w:before="0" w:after="283"/>
              <w:jc w:val="left"/>
              <w:rPr>
                <w:b/>
              </w:rPr>
            </w:pPr>
            <w:r>
              <w:rPr>
                <w:b/>
              </w:rPr>
              <w:t>Citigroup</w:t>
            </w:r>
          </w:p>
        </w:tc>
        <w:tc>
          <w:tcPr>
            <w:tcW w:w="101"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 </w:t>
            </w:r>
            <w:r>
              <w:rPr>
                <w:b/>
              </w:rPr>
              <w:t>ING</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J.P. Morgan</w:t>
            </w:r>
          </w:p>
        </w:tc>
      </w:tr>
    </w:tbl>
    <w:tbl>
      <w:tblPr>
        <w:tblW w:w="5000" w:type="pct"/>
        <w:jc w:val="center"/>
        <w:tblInd w:w="0" w:type="dxa"/>
        <w:tblLayout w:type="fixed"/>
        <w:tblCellMar>
          <w:top w:w="0" w:type="dxa"/>
          <w:left w:w="0" w:type="dxa"/>
          <w:bottom w:w="0" w:type="dxa"/>
          <w:right w:w="0" w:type="dxa"/>
        </w:tblCellMar>
      </w:tblPr>
      <w:tblGrid>
        <w:gridCol w:w="816"/>
        <w:gridCol w:w="102"/>
        <w:gridCol w:w="3572"/>
        <w:gridCol w:w="102"/>
        <w:gridCol w:w="4593"/>
        <w:gridCol w:w="101"/>
        <w:gridCol w:w="919"/>
      </w:tblGrid>
      <w:tr>
        <w:trPr/>
        <w:tc>
          <w:tcPr>
            <w:tcW w:w="81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center"/>
              <w:rPr/>
            </w:pPr>
            <w:r>
              <w:rPr/>
              <w:t> </w:t>
            </w:r>
          </w:p>
        </w:tc>
        <w:tc>
          <w:tcPr>
            <w:tcW w:w="102"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4593" w:type="dxa"/>
            <w:tcBorders/>
          </w:tcPr>
          <w:p>
            <w:pPr>
              <w:pStyle w:val="TableContents"/>
              <w:bidi w:val="0"/>
              <w:spacing w:before="0" w:after="283"/>
              <w:jc w:val="center"/>
              <w:rPr>
                <w:b/>
              </w:rPr>
            </w:pPr>
            <w:r>
              <w:rPr>
                <w:b/>
              </w:rPr>
              <w:t>Wells Fargo Securities</w:t>
            </w:r>
          </w:p>
        </w:tc>
        <w:tc>
          <w:tcPr>
            <w:tcW w:w="101"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center"/>
              <w:rPr/>
            </w:pPr>
            <w:r>
              <w:rPr/>
              <w:t> </w:t>
            </w:r>
          </w:p>
        </w:tc>
      </w:tr>
    </w:tbl>
    <w:p>
      <w:pPr>
        <w:pStyle w:val="TextBody"/>
        <w:bidi w:val="0"/>
        <w:spacing w:before="240" w:after="0"/>
        <w:jc w:val="center"/>
        <w:rPr>
          <w:rFonts w:ascii="Times New Roman" w:hAnsi="Times New Roman"/>
          <w:b/>
          <w:i/>
          <w:sz w:val="24"/>
        </w:rPr>
      </w:pPr>
      <w:r>
        <w:rPr>
          <w:rFonts w:ascii="Times New Roman" w:hAnsi="Times New Roman"/>
          <w:b/>
          <w:i/>
          <w:sz w:val="24"/>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102"/>
        <w:gridCol w:w="3879"/>
        <w:gridCol w:w="101"/>
        <w:gridCol w:w="3776"/>
        <w:gridCol w:w="102"/>
        <w:gridCol w:w="1123"/>
      </w:tblGrid>
      <w:tr>
        <w:trPr/>
        <w:tc>
          <w:tcPr>
            <w:tcW w:w="112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center"/>
              <w:rPr>
                <w:b/>
              </w:rPr>
            </w:pPr>
            <w:r>
              <w:rPr>
                <w:b/>
              </w:rPr>
              <w:t>TD Securities   </w:t>
            </w:r>
          </w:p>
        </w:tc>
        <w:tc>
          <w:tcPr>
            <w:tcW w:w="101"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center"/>
              <w:rPr>
                <w:b/>
              </w:rPr>
            </w:pPr>
            <w:r>
              <w:rPr>
                <w:b/>
              </w:rPr>
              <w:t>US Bancorp</w:t>
            </w:r>
          </w:p>
        </w:tc>
        <w:tc>
          <w:tcPr>
            <w:tcW w:w="102"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right"/>
              <w:rPr/>
            </w:pPr>
            <w:r>
              <w:rPr/>
              <w:t> </w:t>
            </w:r>
          </w:p>
        </w:tc>
      </w:tr>
    </w:tbl>
    <w:tbl>
      <w:tblPr>
        <w:tblW w:w="5000" w:type="pct"/>
        <w:jc w:val="left"/>
        <w:tblInd w:w="0" w:type="dxa"/>
        <w:tblLayout w:type="fixed"/>
        <w:tblCellMar>
          <w:top w:w="0" w:type="dxa"/>
          <w:left w:w="0" w:type="dxa"/>
          <w:bottom w:w="0" w:type="dxa"/>
          <w:right w:w="0" w:type="dxa"/>
        </w:tblCellMar>
      </w:tblPr>
      <w:tblGrid>
        <w:gridCol w:w="3470"/>
        <w:gridCol w:w="101"/>
        <w:gridCol w:w="3572"/>
        <w:gridCol w:w="101"/>
        <w:gridCol w:w="2961"/>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left"/>
              <w:rPr>
                <w:b/>
              </w:rPr>
            </w:pPr>
            <w:r>
              <w:rPr>
                <w:b/>
              </w:rPr>
              <w:t>Deutsche Bank Securities</w:t>
            </w:r>
          </w:p>
        </w:tc>
        <w:tc>
          <w:tcPr>
            <w:tcW w:w="101"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center"/>
              <w:rPr>
                <w:b/>
              </w:rPr>
            </w:pPr>
            <w:r>
              <w:rPr>
                <w:b/>
              </w:rPr>
              <w:t>Siebert Williams Shank</w:t>
            </w:r>
          </w:p>
        </w:tc>
        <w:tc>
          <w:tcPr>
            <w:tcW w:w="101"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right"/>
              <w:rPr>
                <w:b/>
              </w:rPr>
            </w:pPr>
            <w:r>
              <w:rPr>
                <w:b/>
              </w:rPr>
              <w:t>SEB</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September 15,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9" w:name="d180255dexfilingfees.htm"/>
      <w:bookmarkStart w:id="30" w:name="ksd180255dexfilingfees"/>
      <w:bookmarkStart w:id="31" w:name="d180255dexfilingfees.htm"/>
      <w:bookmarkStart w:id="32" w:name="ksd180255dexfilingfees"/>
      <w:bookmarkEnd w:id="31"/>
      <w:bookmarkEnd w:id="32"/>
      <w:r>
        <w:br w:type="page"/>
      </w:r>
    </w:p>
    <w:tbl>
      <w:tblPr>
        <w:tblW w:w="3504" w:type="dxa"/>
        <w:jc w:val="left"/>
        <w:tblInd w:w="0" w:type="dxa"/>
        <w:tblLayout w:type="fixed"/>
        <w:tblCellMar>
          <w:top w:w="28" w:type="dxa"/>
          <w:left w:w="28" w:type="dxa"/>
          <w:bottom w:w="28" w:type="dxa"/>
          <w:right w:w="28" w:type="dxa"/>
        </w:tblCellMar>
      </w:tblPr>
      <w:tblGrid>
        <w:gridCol w:w="3350"/>
        <w:gridCol w:w="154"/>
      </w:tblGrid>
      <w:tr>
        <w:trPr/>
        <w:tc>
          <w:tcPr>
            <w:tcW w:w="350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5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b/>
              </w:rPr>
            </w:pPr>
            <w:r>
              <w:rPr>
                <w:b/>
              </w:rPr>
              <w:t xml:space="preserve">Xylem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2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5.250% Notes due 2029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$ 0.99959 </w:t>
            </w:r>
          </w:p>
        </w:tc>
        <w:tc>
          <w:tcPr>
            <w:tcW w:w="1966" w:type="dxa"/>
            <w:tcBorders/>
            <w:shd w:fill="E7E7E2" w:val="clear"/>
            <w:vAlign w:val="center"/>
          </w:tcPr>
          <w:p>
            <w:pPr>
              <w:pStyle w:val="TableContents"/>
              <w:bidi w:val="0"/>
              <w:spacing w:before="0" w:after="283"/>
              <w:jc w:val="right"/>
              <w:rPr/>
            </w:pPr>
            <w:r>
              <w:rPr/>
              <w:t xml:space="preserve">$ 499,795,000.00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$ 69,021.69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5.450% Notes due 2032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$ 0.99841 </w:t>
            </w:r>
          </w:p>
        </w:tc>
        <w:tc>
          <w:tcPr>
            <w:tcW w:w="1966" w:type="dxa"/>
            <w:tcBorders/>
            <w:shd w:fill="E7E7E2" w:val="clear"/>
            <w:vAlign w:val="center"/>
          </w:tcPr>
          <w:p>
            <w:pPr>
              <w:pStyle w:val="TableContents"/>
              <w:bidi w:val="0"/>
              <w:spacing w:before="0" w:after="283"/>
              <w:jc w:val="right"/>
              <w:rPr/>
            </w:pPr>
            <w:r>
              <w:rPr/>
              <w:t xml:space="preserve">$ 499,205,000.00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$ 68,940.21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5.850% Notes due 2037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$ 0.99918 </w:t>
            </w:r>
          </w:p>
        </w:tc>
        <w:tc>
          <w:tcPr>
            <w:tcW w:w="1966" w:type="dxa"/>
            <w:tcBorders/>
            <w:shd w:fill="E7E7E2" w:val="clear"/>
            <w:vAlign w:val="center"/>
          </w:tcPr>
          <w:p>
            <w:pPr>
              <w:pStyle w:val="TableContents"/>
              <w:bidi w:val="0"/>
              <w:spacing w:before="0" w:after="283"/>
              <w:jc w:val="right"/>
              <w:rPr/>
            </w:pPr>
            <w:r>
              <w:rPr/>
              <w:t xml:space="preserve">$ 499,590,000.00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$ 68,993.38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3" w:name="MaxAggtOfferingPrice"/>
            <w:bookmarkEnd w:id="33"/>
            <w:r>
              <w:rPr/>
              <w:t xml:space="preserve">$ 1,498,590,000.00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$ 206,955.28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NetFeeAmt"/>
            <w:bookmarkEnd w:id="37"/>
            <w:r>
              <w:rPr/>
              <w:t xml:space="preserve">$ 206,955.28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8926" w:type="dxa"/>
        <w:jc w:val="left"/>
        <w:tblInd w:w="0" w:type="dxa"/>
        <w:tblLayout w:type="fixed"/>
        <w:tblCellMar>
          <w:top w:w="28" w:type="dxa"/>
          <w:left w:w="28" w:type="dxa"/>
          <w:bottom w:w="28" w:type="dxa"/>
          <w:right w:w="28" w:type="dxa"/>
        </w:tblCellMar>
      </w:tblPr>
      <w:tblGrid>
        <w:gridCol w:w="256"/>
        <w:gridCol w:w="1126"/>
        <w:gridCol w:w="7544"/>
      </w:tblGrid>
      <w:tr>
        <w:trPr/>
        <w:tc>
          <w:tcPr>
            <w:tcW w:w="25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8670" w:type="dxa"/>
            <w:gridSpan w:val="2"/>
            <w:tcBorders/>
            <w:vAlign w:val="center"/>
          </w:tcPr>
          <w:p>
            <w:pPr>
              <w:pStyle w:val="TableContents"/>
              <w:bidi w:val="0"/>
              <w:spacing w:before="0" w:after="283"/>
              <w:jc w:val="left"/>
              <w:rPr/>
            </w:pPr>
            <w:r>
              <w:rPr/>
              <w:t xml:space="preserve">Calculated in accordance with Rule 457(o) under the Securities Act of 1933, as amended. </w:t>
            </w:r>
          </w:p>
        </w:tc>
      </w:tr>
      <w:tr>
        <w:trPr/>
        <w:tc>
          <w:tcPr>
            <w:tcW w:w="1382" w:type="dxa"/>
            <w:gridSpan w:val="2"/>
            <w:tcBorders/>
            <w:vAlign w:val="center"/>
          </w:tcPr>
          <w:p>
            <w:pPr>
              <w:pStyle w:val="HorizontalLine"/>
              <w:pBdr>
                <w:bottom w:val="double" w:sz="2" w:space="0" w:color="808080"/>
              </w:pBdr>
              <w:bidi w:val="0"/>
              <w:spacing w:before="0" w:after="283"/>
              <w:jc w:val="left"/>
              <w:rPr/>
            </w:pPr>
            <w:r>
              <w:rPr/>
            </w:r>
          </w:p>
        </w:tc>
        <w:tc>
          <w:tcPr>
            <w:tcW w:w="7544" w:type="dxa"/>
            <w:tcBorders/>
          </w:tcPr>
          <w:p>
            <w:pPr>
              <w:pStyle w:val="TableContents"/>
              <w:bidi w:val="0"/>
              <w:spacing w:before="0" w:after="283"/>
              <w:jc w:val="left"/>
              <w:rPr>
                <w:sz w:val="4"/>
                <w:szCs w:val="4"/>
              </w:rPr>
            </w:pPr>
            <w:r>
              <w:rPr>
                <w:sz w:val="4"/>
                <w:szCs w:val="4"/>
              </w:rPr>
            </w:r>
          </w:p>
        </w:tc>
      </w:tr>
      <w:tr>
        <w:trPr/>
        <w:tc>
          <w:tcPr>
            <w:tcW w:w="25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8670" w:type="dxa"/>
            <w:gridSpan w:val="2"/>
            <w:tcBorders/>
            <w:vAlign w:val="center"/>
          </w:tcPr>
          <w:p>
            <w:pPr>
              <w:pStyle w:val="TableContents"/>
              <w:bidi w:val="0"/>
              <w:spacing w:before="0" w:after="283"/>
              <w:jc w:val="left"/>
              <w:rPr/>
            </w:pPr>
            <w:r>
              <w:rPr/>
              <w:t xml:space="preserve">See Note 1. </w:t>
            </w:r>
          </w:p>
        </w:tc>
      </w:tr>
      <w:tr>
        <w:trPr/>
        <w:tc>
          <w:tcPr>
            <w:tcW w:w="1382" w:type="dxa"/>
            <w:gridSpan w:val="2"/>
            <w:tcBorders/>
            <w:vAlign w:val="center"/>
          </w:tcPr>
          <w:p>
            <w:pPr>
              <w:pStyle w:val="HorizontalLine"/>
              <w:pBdr>
                <w:bottom w:val="double" w:sz="2" w:space="0" w:color="808080"/>
              </w:pBdr>
              <w:bidi w:val="0"/>
              <w:spacing w:before="0" w:after="283"/>
              <w:jc w:val="left"/>
              <w:rPr/>
            </w:pPr>
            <w:r>
              <w:rPr/>
            </w:r>
          </w:p>
        </w:tc>
        <w:tc>
          <w:tcPr>
            <w:tcW w:w="7544" w:type="dxa"/>
            <w:tcBorders/>
          </w:tcPr>
          <w:p>
            <w:pPr>
              <w:pStyle w:val="TableContents"/>
              <w:bidi w:val="0"/>
              <w:spacing w:before="0" w:after="283"/>
              <w:jc w:val="left"/>
              <w:rPr>
                <w:sz w:val="4"/>
                <w:szCs w:val="4"/>
              </w:rPr>
            </w:pPr>
            <w:r>
              <w:rPr>
                <w:sz w:val="4"/>
                <w:szCs w:val="4"/>
              </w:rPr>
            </w:r>
          </w:p>
        </w:tc>
      </w:tr>
      <w:tr>
        <w:trPr/>
        <w:tc>
          <w:tcPr>
            <w:tcW w:w="256"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8670" w:type="dxa"/>
            <w:gridSpan w:val="2"/>
            <w:tcBorders/>
            <w:vAlign w:val="center"/>
          </w:tcPr>
          <w:p>
            <w:pPr>
              <w:pStyle w:val="TableContents"/>
              <w:bidi w:val="0"/>
              <w:spacing w:before="0" w:after="283"/>
              <w:jc w:val="left"/>
              <w:rPr/>
            </w:pPr>
            <w:r>
              <w:rPr/>
              <w:t xml:space="preserve">See Note 1. </w:t>
            </w:r>
          </w:p>
        </w:tc>
      </w:tr>
      <w:tr>
        <w:trPr/>
        <w:tc>
          <w:tcPr>
            <w:tcW w:w="1382" w:type="dxa"/>
            <w:gridSpan w:val="2"/>
            <w:tcBorders/>
            <w:vAlign w:val="center"/>
          </w:tcPr>
          <w:p>
            <w:pPr>
              <w:pStyle w:val="HorizontalLine"/>
              <w:pBdr>
                <w:bottom w:val="double" w:sz="2" w:space="0" w:color="808080"/>
              </w:pBdr>
              <w:bidi w:val="0"/>
              <w:spacing w:before="0" w:after="283"/>
              <w:jc w:val="left"/>
              <w:rPr/>
            </w:pPr>
            <w:r>
              <w:rPr/>
            </w:r>
          </w:p>
        </w:tc>
        <w:tc>
          <w:tcPr>
            <w:tcW w:w="754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$1,498,590,000.00.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24472/000152447226000012/xyl-20251231.htm" TargetMode="External"/><Relationship Id="rId4" Type="http://schemas.openxmlformats.org/officeDocument/2006/relationships/hyperlink" Target="http://www.sec.gov/Archives/edgar/data/../../../ix?doc=/Archives/edgar/data/1524472/000110465926036678/xyl-20260514xdef14a.htm" TargetMode="External"/><Relationship Id="rId5" Type="http://schemas.openxmlformats.org/officeDocument/2006/relationships/hyperlink" Target="http://www.sec.gov/Archives/edgar/data/../../../ix?doc=/Archives/edgar/data/1524472/000152447226000068/xyl-20260331.htm" TargetMode="External"/><Relationship Id="rId6" Type="http://schemas.openxmlformats.org/officeDocument/2006/relationships/hyperlink" Target="http://www.sec.gov/Archives/edgar/data/../../../ix?doc=/Archives/edgar/data/1524472/000152447226000110/xyl-20260630.htm" TargetMode="External"/><Relationship Id="rId7" Type="http://schemas.openxmlformats.org/officeDocument/2006/relationships/hyperlink" Target="http://www.sec.gov/Archives/edgar/data/../../../ix?doc=/Archives/edgar/data/1524472/000152447226000014/xyl-20260225.htm" TargetMode="External"/><Relationship Id="rId8" Type="http://schemas.openxmlformats.org/officeDocument/2006/relationships/hyperlink" Target="http://www.sec.gov/Archives/edgar/data/../../../ix?doc=/Archives/edgar/data/1524472/000152447226000091/xyl-20260514.htm" TargetMode="External"/><Relationship Id="rId9" Type="http://schemas.openxmlformats.org/officeDocument/2006/relationships/hyperlink" Target="http://www.sec.gov/Archives/edgar/data/../../../ix?doc=/Archives/edgar/data/0001524472/000119312526248342/d142135d8k.htm" TargetMode="External"/><Relationship Id="rId10" Type="http://schemas.openxmlformats.org/officeDocument/2006/relationships/hyperlink" Target="http://www.sec.gov/Archives/edgar/data/../../../ix?doc=/Archives/edgar/data/1524472/000152447226000119/xyl-20260813.htm" TargetMode="External"/><Relationship Id="rId11" Type="http://schemas.openxmlformats.org/officeDocument/2006/relationships/hyperlink" Target="http://www.sec.gov/Archives/edgar/data/../../../ix?doc=/Archives/edgar/data/1524472/000152447226000123/xyl-20260813.htm" TargetMode="External"/><Relationship Id="rId12" Type="http://schemas.openxmlformats.org/officeDocument/2006/relationships/hyperlink" Target="http://www.sec.gov/Archives/edgar/data/../../../ix?doc=/Archives/edgar/data/1524472/000152447226000132/xyl-20260908.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0001524472/000152447226000012/xyl-20251231.htm" TargetMode="External"/><Relationship Id="rId15" Type="http://schemas.openxmlformats.org/officeDocument/2006/relationships/hyperlink" Target="http://www.sec.gov/Archives/edgar/data/../../../ix?doc=/Archives/edgar/data/0001524472/000110465926036678/xyl-20260514xdef14a.htm" TargetMode="External"/><Relationship Id="rId16" Type="http://schemas.openxmlformats.org/officeDocument/2006/relationships/hyperlink" Target="http://www.sec.gov/Archives/edgar/data/../../../ix?doc=/Archives/edgar/data/0001524472/000152447226000068/xyl-20260331.htm" TargetMode="External"/><Relationship Id="rId17" Type="http://schemas.openxmlformats.org/officeDocument/2006/relationships/hyperlink" Target="http://www.sec.gov/Archives/edgar/data/../../../ix?doc=/Archives/edgar/data/0001524472/000152447226000110/xyl-20260630.htm" TargetMode="External"/><Relationship Id="rId18" Type="http://schemas.openxmlformats.org/officeDocument/2006/relationships/hyperlink" Target="http://www.sec.gov/Archives/edgar/data/../../../ix?doc=/Archives/edgar/data/0001524472/000152447226000014/xyl-20260225.htm" TargetMode="External"/><Relationship Id="rId19" Type="http://schemas.openxmlformats.org/officeDocument/2006/relationships/hyperlink" Target="http://www.sec.gov/Archives/edgar/data/../../../ix?doc=/Archives/edgar/data/0001524472/000152447226000091/xyl-20260514.htm" TargetMode="External"/><Relationship Id="rId20" Type="http://schemas.openxmlformats.org/officeDocument/2006/relationships/hyperlink" Target="http://www.sec.gov/Archives/edgar/data/../../../ix?doc=/Archives/edgar/data/0001524472/000119312526248342/d142135d8k.htm" TargetMode="External"/><Relationship Id="rId21" Type="http://schemas.openxmlformats.org/officeDocument/2006/relationships/hyperlink" Target="http://www.sec.gov/Archives/edgar/data/1524472/000152447223000009/xyl12312022ex41.htm" TargetMode="External"/><Relationship Id="rId22" Type="http://schemas.openxmlformats.org/officeDocument/2006/relationships/image" Target="media/image3.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36209</Words>
  <Characters>190006</Characters>
  <CharactersWithSpaces>226765</CharactersWithSpaces>
  <Paragraphs>2207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