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Flinton David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XYLEM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 INTERNATIONAL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Xylem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XYL</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02/27/2021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7"/>
        <w:spacing w:after="0"/>
        <w:rPr>
          <w:sz w:val="20"/>
          <w:szCs w:val="20"/>
          <w:color w:val="auto"/>
        </w:rPr>
      </w:pPr>
      <w:r>
        <w:rPr>
          <w:rFonts w:ascii="Arial" w:cs="Arial" w:eastAsia="Arial" w:hAnsi="Arial"/>
          <w:sz w:val="17"/>
          <w:szCs w:val="17"/>
          <w:color w:val="0000FF"/>
        </w:rPr>
        <w:t>Senior Vice President</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8"/>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RYE BROOK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10573</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2060" w:type="dxa"/>
            <w:vAlign w:val="bottom"/>
            <w:gridSpan w:val="4"/>
          </w:tcPr>
          <w:p>
            <w:pPr>
              <w:ind w:left="12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02/27/2021</w:t>
            </w: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FF"/>
                <w:vertAlign w:val="subscript"/>
              </w:rPr>
              <w:t>226</w:t>
            </w:r>
            <w:r>
              <w:rPr>
                <w:rFonts w:ascii="Arial" w:cs="Arial" w:eastAsia="Arial" w:hAnsi="Arial"/>
                <w:sz w:val="11"/>
                <w:szCs w:val="11"/>
                <w:color w:val="008000"/>
              </w:rPr>
              <w:t>(1)</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102.23</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24,465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03/01/2021</w:t>
            </w: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1,834</w:t>
            </w:r>
            <w:r>
              <w:rPr>
                <w:rFonts w:ascii="Arial" w:cs="Arial" w:eastAsia="Arial" w:hAnsi="Arial"/>
                <w:sz w:val="21"/>
                <w:szCs w:val="21"/>
                <w:color w:val="008000"/>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ind w:right="8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26,299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2"/>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102.23</w:t>
            </w:r>
          </w:p>
        </w:tc>
        <w:tc>
          <w:tcPr>
            <w:tcW w:w="1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03/01/2021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Arial" w:cs="Arial" w:eastAsia="Arial" w:hAnsi="Arial"/>
                <w:sz w:val="13"/>
                <w:szCs w:val="13"/>
                <w:color w:val="0000FF"/>
              </w:rPr>
              <w:t>8,082</w:t>
            </w: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right"/>
              <w:ind w:right="58"/>
              <w:spacing w:after="0"/>
              <w:rPr>
                <w:sz w:val="20"/>
                <w:szCs w:val="20"/>
                <w:color w:val="auto"/>
              </w:rPr>
            </w:pPr>
            <w:r>
              <w:rPr>
                <w:rFonts w:ascii="Arial" w:cs="Arial" w:eastAsia="Arial" w:hAnsi="Arial"/>
                <w:sz w:val="13"/>
                <w:szCs w:val="13"/>
                <w:color w:val="0000FF"/>
                <w:w w:val="89"/>
              </w:rPr>
              <w:t>03/01/2031</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8,082</w:t>
            </w:r>
          </w:p>
        </w:tc>
        <w:tc>
          <w:tcPr>
            <w:tcW w:w="180" w:type="dxa"/>
            <w:vAlign w:val="bottom"/>
          </w:tcPr>
          <w:p>
            <w:pPr>
              <w:spacing w:after="0"/>
              <w:rPr>
                <w:sz w:val="12"/>
                <w:szCs w:val="12"/>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8,082</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-3364230</wp:posOffset>
            </wp:positionV>
            <wp:extent cx="7033260" cy="3504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045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withholding of common stock to pay the tax liability incident to the vesting of restricted stock units granted on Feb 27, 2020 under the Xylem 2011 Omnibus Incentive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an award of restricted stock units pursuant to the Xylem 2011 Omnibus Incentive Plan, that are scheduled to vest in one third increments on March 1, 2022, March 1, 2023 and March 1, 2024</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an award of non-qualified stock options pursuant to the Xylem 2011 Omnibus Incentive Plan, that are scheduled to vest in one third increments on March 1, 2022, March 1, 2023 and March 1, 2024</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Kimberly Rehm, by power</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03/02/2021</w:t>
            </w:r>
          </w:p>
        </w:tc>
        <w:tc>
          <w:tcPr>
            <w:tcW w:w="0" w:type="dxa"/>
            <w:vAlign w:val="bottom"/>
          </w:tcPr>
          <w:p>
            <w:pPr>
              <w:spacing w:after="0"/>
              <w:rPr>
                <w:sz w:val="1"/>
                <w:szCs w:val="1"/>
                <w:color w:val="auto"/>
              </w:rPr>
            </w:pPr>
          </w:p>
        </w:tc>
      </w:tr>
      <w:tr>
        <w:trPr>
          <w:trHeight w:val="84"/>
        </w:trPr>
        <w:tc>
          <w:tcPr>
            <w:tcW w:w="196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of attorney for David Flinton</w:t>
            </w:r>
          </w:p>
        </w:tc>
        <w:tc>
          <w:tcPr>
            <w:tcW w:w="1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60" w:type="dxa"/>
            <w:vAlign w:val="bottom"/>
            <w:tcBorders>
              <w:bottom w:val="single" w:sz="8" w:color="auto"/>
            </w:tcBorders>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4800" TargetMode="External"/><Relationship Id="rId14" Type="http://schemas.openxmlformats.org/officeDocument/2006/relationships/hyperlink" Target="http://www.sec.gov/cgi-bin/browse-edgar?action=getcompany&amp;CIK=0001524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2021-03-02T15:10:21Z</dcterms:created>
  <dcterms:modified xsi:type="dcterms:W3CDTF">2021-03-02T15:10:21Z</dcterms:modified>
</cp:coreProperties>
</file>