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5" w:lineRule="exact"/>
        <w:rPr>
          <w:sz w:val="24"/>
          <w:szCs w:val="24"/>
          <w:color w:val="auto"/>
        </w:rPr>
      </w:pPr>
    </w:p>
    <w:p>
      <w:pPr>
        <w:ind w:left="3700" w:right="800" w:hanging="3674"/>
        <w:spacing w:after="0" w:line="461" w:lineRule="auto"/>
        <w:tabs>
          <w:tab w:leader="none" w:pos="12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220" w:hanging="1194"/>
        <w:spacing w:after="0"/>
        <w:tabs>
          <w:tab w:leader="none" w:pos="1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326" w:right="339" w:bottom="1440" w:gutter="0" w:footer="0" w:header="0"/>
        </w:sectPr>
      </w:pPr>
    </w:p>
    <w:p>
      <w:pPr>
        <w:spacing w:after="0" w:line="196" w:lineRule="exact"/>
        <w:rPr>
          <w:sz w:val="24"/>
          <w:szCs w:val="24"/>
          <w:color w:val="auto"/>
        </w:rPr>
      </w:pPr>
    </w:p>
    <w:p>
      <w:pPr>
        <w:ind w:left="36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85"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1-35229</w:t>
      </w:r>
    </w:p>
    <w:p>
      <w:pPr>
        <w:sectPr>
          <w:pgSz w:w="11900" w:h="16838" w:orient="portrait"/>
          <w:cols w:equalWidth="0" w:num="1">
            <w:col w:w="11240"/>
          </w:cols>
          <w:pgMar w:left="320" w:top="1326" w:right="339" w:bottom="1440" w:gutter="0" w:footer="0" w:header="0"/>
          <w:type w:val="continuous"/>
        </w:sectPr>
      </w:pP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Xylem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240"/>
          </w:cols>
          <w:pgMar w:left="320" w:top="1326" w:right="339" w:bottom="1440" w:gutter="0" w:footer="0" w:header="0"/>
          <w:type w:val="continuous"/>
        </w:sectPr>
      </w:pPr>
    </w:p>
    <w:p>
      <w:pPr>
        <w:spacing w:after="0" w:line="246"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Indiana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45-2080495</w:t>
      </w:r>
    </w:p>
    <w:p>
      <w:pPr>
        <w:spacing w:after="0" w:line="32" w:lineRule="exact"/>
        <w:rPr>
          <w:sz w:val="24"/>
          <w:szCs w:val="24"/>
          <w:color w:val="auto"/>
        </w:rPr>
      </w:pPr>
    </w:p>
    <w:p>
      <w:pPr>
        <w:sectPr>
          <w:pgSz w:w="11900" w:h="16838" w:orient="portrait"/>
          <w:cols w:equalWidth="0" w:num="2">
            <w:col w:w="7360" w:space="720"/>
            <w:col w:w="3160"/>
          </w:cols>
          <w:pgMar w:left="320" w:top="1326" w:right="339" w:bottom="1440" w:gutter="0" w:footer="0" w:header="0"/>
          <w:type w:val="continuous"/>
        </w:sectPr>
      </w:pPr>
    </w:p>
    <w:p>
      <w:pPr>
        <w:jc w:val="center"/>
        <w:ind w:right="1380"/>
        <w:spacing w:after="0"/>
        <w:rPr>
          <w:sz w:val="20"/>
          <w:szCs w:val="20"/>
          <w:color w:val="auto"/>
        </w:rPr>
      </w:pPr>
      <w:r>
        <w:rPr>
          <w:rFonts w:ascii="Arial" w:cs="Arial" w:eastAsia="Arial" w:hAnsi="Arial"/>
          <w:sz w:val="14"/>
          <w:szCs w:val="14"/>
          <w:i w:val="1"/>
          <w:iCs w:val="1"/>
          <w:color w:val="auto"/>
        </w:rPr>
        <w:t>(State or other jurisdiction of incorporation or</w:t>
      </w:r>
    </w:p>
    <w:p>
      <w:pPr>
        <w:jc w:val="center"/>
        <w:ind w:right="1380"/>
        <w:spacing w:after="0"/>
        <w:rPr>
          <w:sz w:val="20"/>
          <w:szCs w:val="20"/>
          <w:color w:val="auto"/>
        </w:rPr>
      </w:pPr>
      <w:r>
        <w:rPr>
          <w:rFonts w:ascii="Arial" w:cs="Arial" w:eastAsia="Arial" w:hAnsi="Arial"/>
          <w:sz w:val="14"/>
          <w:szCs w:val="14"/>
          <w:i w:val="1"/>
          <w:i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341" w:lineRule="exact"/>
        <w:rPr>
          <w:sz w:val="24"/>
          <w:szCs w:val="24"/>
          <w:color w:val="auto"/>
        </w:rPr>
      </w:pPr>
    </w:p>
    <w:p>
      <w:pPr>
        <w:sectPr>
          <w:pgSz w:w="11900" w:h="16838" w:orient="portrait"/>
          <w:cols w:equalWidth="0" w:num="2">
            <w:col w:w="6740" w:space="720"/>
            <w:col w:w="3780"/>
          </w:cols>
          <w:pgMar w:left="320" w:top="1326" w:right="339" w:bottom="1440" w:gutter="0" w:footer="0" w:header="0"/>
          <w:type w:val="continuous"/>
        </w:sectPr>
      </w:pP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Water Street SE, Washington, DC 20003</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869-9150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212"/>
        </w:trPr>
        <w:tc>
          <w:tcPr>
            <w:tcW w:w="1320" w:type="dxa"/>
            <w:vAlign w:val="bottom"/>
          </w:tcPr>
          <w:p>
            <w:pPr>
              <w:spacing w:after="0"/>
              <w:rPr>
                <w:sz w:val="18"/>
                <w:szCs w:val="18"/>
                <w:color w:val="auto"/>
              </w:rPr>
            </w:pPr>
          </w:p>
        </w:tc>
        <w:tc>
          <w:tcPr>
            <w:tcW w:w="336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9"/>
              </w:rPr>
              <w:t>Title of each class</w:t>
            </w:r>
          </w:p>
        </w:tc>
        <w:tc>
          <w:tcPr>
            <w:tcW w:w="25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8"/>
              </w:rPr>
              <w:t>Trading Symbol(s)</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of which registered</w:t>
            </w:r>
          </w:p>
        </w:tc>
      </w:tr>
      <w:tr>
        <w:trPr>
          <w:trHeight w:val="20"/>
        </w:trPr>
        <w:tc>
          <w:tcPr>
            <w:tcW w:w="1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r>
        <w:trPr>
          <w:trHeight w:val="254"/>
        </w:trPr>
        <w:tc>
          <w:tcPr>
            <w:tcW w:w="46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Common Stock, par value $0.01 per share</w:t>
            </w:r>
          </w:p>
        </w:tc>
        <w:tc>
          <w:tcPr>
            <w:tcW w:w="100" w:type="dxa"/>
            <w:vAlign w:val="bottom"/>
          </w:tcPr>
          <w:p>
            <w:pPr>
              <w:spacing w:after="0"/>
              <w:rPr>
                <w:sz w:val="22"/>
                <w:szCs w:val="22"/>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XYL</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234" w:lineRule="exact"/>
        <w:rPr>
          <w:sz w:val="24"/>
          <w:szCs w:val="24"/>
          <w:color w:val="auto"/>
        </w:rPr>
      </w:pPr>
    </w:p>
    <w:p>
      <w:pPr>
        <w:ind w:right="6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6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47"/>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84"/>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8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913"/>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6" w:right="339" w:bottom="1440" w:gutter="0" w:footer="0" w:header="0"/>
          <w:type w:val="continuous"/>
        </w:sectPr>
      </w:pPr>
    </w:p>
    <w:bookmarkStart w:id="1" w:name="page2"/>
    <w:bookmarkEnd w:id="1"/>
    <w:p>
      <w:pPr>
        <w:spacing w:after="0" w:line="239"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76" w:lineRule="exact"/>
        <w:rPr>
          <w:sz w:val="20"/>
          <w:szCs w:val="20"/>
          <w:color w:val="auto"/>
        </w:rPr>
      </w:pPr>
    </w:p>
    <w:p>
      <w:pPr>
        <w:ind w:right="540"/>
        <w:spacing w:after="0" w:line="29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25, 2025, there were 243,409,688 outstanding shares of the registrant’s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40"/>
          </w:cols>
          <w:pgMar w:left="320" w:top="607"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6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w w:val="98"/>
              </w:rPr>
              <w:t>Xylem Inc.</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60" w:type="dxa"/>
            <w:vAlign w:val="bottom"/>
            <w:gridSpan w:val="10"/>
          </w:tcPr>
          <w:p>
            <w:pPr>
              <w:jc w:val="center"/>
              <w:ind w:right="3320"/>
              <w:spacing w:after="0"/>
              <w:rPr>
                <w:sz w:val="20"/>
                <w:szCs w:val="20"/>
                <w:color w:val="auto"/>
              </w:rPr>
            </w:pPr>
            <w:r>
              <w:rPr>
                <w:rFonts w:ascii="Arial" w:cs="Arial" w:eastAsia="Arial" w:hAnsi="Arial"/>
                <w:sz w:val="18"/>
                <w:szCs w:val="18"/>
                <w:b w:val="1"/>
                <w:bCs w:val="1"/>
                <w:color w:val="auto"/>
                <w:w w:val="98"/>
              </w:rPr>
              <w:t>Table of Contents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ITEM</w:t>
            </w:r>
          </w:p>
        </w:tc>
        <w:tc>
          <w:tcPr>
            <w:tcW w:w="7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00" w:type="dxa"/>
            <w:vAlign w:val="bottom"/>
            <w:gridSpan w:val="15"/>
          </w:tcPr>
          <w:p>
            <w:pPr>
              <w:jc w:val="center"/>
              <w:ind w:right="3700"/>
              <w:spacing w:after="0"/>
              <w:rPr>
                <w:sz w:val="20"/>
                <w:szCs w:val="20"/>
                <w:color w:val="auto"/>
              </w:rPr>
            </w:pPr>
            <w:r>
              <w:rPr>
                <w:rFonts w:ascii="Arial" w:cs="Arial" w:eastAsia="Arial" w:hAnsi="Arial"/>
                <w:sz w:val="18"/>
                <w:szCs w:val="18"/>
                <w:b w:val="1"/>
                <w:bCs w:val="1"/>
                <w:color w:val="auto"/>
                <w:w w:val="99"/>
              </w:rPr>
              <w:t>PART I – Financial Information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95"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0000FF"/>
            </w:tcBorders>
            <w:gridSpan w:val="7"/>
          </w:tcPr>
          <w:p>
            <w:pPr>
              <w:spacing w:after="0" w:line="195" w:lineRule="exact"/>
              <w:rPr>
                <w:sz w:val="20"/>
                <w:szCs w:val="20"/>
                <w:color w:val="auto"/>
              </w:rPr>
            </w:pPr>
            <w:r>
              <w:rPr>
                <w:rFonts w:ascii="Arial" w:cs="Arial" w:eastAsia="Arial" w:hAnsi="Arial"/>
                <w:sz w:val="18"/>
                <w:szCs w:val="18"/>
                <w:color w:val="0000FF"/>
                <w:w w:val="99"/>
              </w:rPr>
              <w:t>Financial Statements:</w:t>
            </w:r>
          </w:p>
        </w:tc>
        <w:tc>
          <w:tcPr>
            <w:tcW w:w="6060" w:type="dxa"/>
            <w:vAlign w:val="bottom"/>
            <w:gridSpan w:val="14"/>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21"/>
          </w:tcPr>
          <w:p>
            <w:pPr>
              <w:spacing w:after="0"/>
              <w:rPr>
                <w:sz w:val="20"/>
                <w:szCs w:val="20"/>
                <w:color w:val="auto"/>
              </w:rPr>
            </w:pPr>
            <w:r>
              <w:rPr>
                <w:rFonts w:ascii="Arial" w:cs="Arial" w:eastAsia="Arial" w:hAnsi="Arial"/>
                <w:sz w:val="18"/>
                <w:szCs w:val="18"/>
                <w:color w:val="0000FF"/>
              </w:rPr>
              <w:t>Condensed Consolidated Income Statements for the Three Months and Six Months Ended</w:t>
            </w:r>
          </w:p>
        </w:tc>
        <w:tc>
          <w:tcPr>
            <w:tcW w:w="15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4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June 30, 2025 and 2024 (Unaudited)</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21"/>
          </w:tcPr>
          <w:p>
            <w:pPr>
              <w:spacing w:after="0" w:line="203" w:lineRule="exact"/>
              <w:rPr>
                <w:sz w:val="20"/>
                <w:szCs w:val="20"/>
                <w:color w:val="auto"/>
              </w:rPr>
            </w:pPr>
            <w:r>
              <w:rPr>
                <w:rFonts w:ascii="Arial" w:cs="Arial" w:eastAsia="Arial" w:hAnsi="Arial"/>
                <w:sz w:val="18"/>
                <w:szCs w:val="18"/>
                <w:color w:val="0000FF"/>
              </w:rPr>
              <w:t>Condensed Consolidated Statements of Comprehensive Income for the Three Months and</w:t>
            </w: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Six Months Ended June 30, 2025 and 2024 (Unaudited)</w:t>
            </w:r>
          </w:p>
        </w:tc>
        <w:tc>
          <w:tcPr>
            <w:tcW w:w="2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0" w:type="dxa"/>
            <w:vAlign w:val="bottom"/>
            <w:gridSpan w:val="21"/>
            <w:vMerge w:val="restart"/>
          </w:tcPr>
          <w:p>
            <w:pPr>
              <w:spacing w:after="0"/>
              <w:rPr>
                <w:sz w:val="20"/>
                <w:szCs w:val="20"/>
                <w:color w:val="auto"/>
              </w:rPr>
            </w:pPr>
            <w:r>
              <w:rPr>
                <w:rFonts w:ascii="Arial" w:cs="Arial" w:eastAsia="Arial" w:hAnsi="Arial"/>
                <w:sz w:val="18"/>
                <w:szCs w:val="18"/>
                <w:color w:val="0000FF"/>
              </w:rPr>
              <w:t>Condensed Consolidated Balance Sheets as of June 30, 2025 and December 31, 2024</w:t>
            </w: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21"/>
            <w:vMerge w:val="continue"/>
          </w:tcPr>
          <w:p>
            <w:pPr>
              <w:spacing w:after="0"/>
              <w:rPr>
                <w:sz w:val="17"/>
                <w:szCs w:val="17"/>
                <w:color w:val="auto"/>
              </w:rPr>
            </w:pP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96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(Unaudited)</w:t>
            </w:r>
          </w:p>
        </w:tc>
        <w:tc>
          <w:tcPr>
            <w:tcW w:w="120" w:type="dxa"/>
            <w:vAlign w:val="bottom"/>
          </w:tcPr>
          <w:p>
            <w:pPr>
              <w:spacing w:after="0"/>
              <w:rPr>
                <w:sz w:val="13"/>
                <w:szCs w:val="13"/>
                <w:color w:val="auto"/>
              </w:rPr>
            </w:pPr>
          </w:p>
        </w:tc>
        <w:tc>
          <w:tcPr>
            <w:tcW w:w="360" w:type="dxa"/>
            <w:vAlign w:val="bottom"/>
            <w:gridSpan w:val="3"/>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21"/>
          </w:tcPr>
          <w:p>
            <w:pPr>
              <w:spacing w:after="0" w:line="203" w:lineRule="exact"/>
              <w:rPr>
                <w:sz w:val="20"/>
                <w:szCs w:val="20"/>
                <w:color w:val="auto"/>
              </w:rPr>
            </w:pPr>
            <w:r>
              <w:rPr>
                <w:rFonts w:ascii="Arial" w:cs="Arial" w:eastAsia="Arial" w:hAnsi="Arial"/>
                <w:sz w:val="18"/>
                <w:szCs w:val="18"/>
                <w:color w:val="0000FF"/>
              </w:rPr>
              <w:t>Condensed Consolidated Statements of Cash Flows for the Six Months Ended June 30, 2025</w:t>
            </w: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6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and 2024 (Unaudited)</w:t>
            </w:r>
          </w:p>
        </w:tc>
        <w:tc>
          <w:tcPr>
            <w:tcW w:w="1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gridSpan w:val="3"/>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gridSpan w:val="2"/>
          </w:tcPr>
          <w:p>
            <w:pPr>
              <w:spacing w:after="0"/>
              <w:rPr>
                <w:sz w:val="13"/>
                <w:szCs w:val="13"/>
                <w:color w:val="auto"/>
              </w:rPr>
            </w:pPr>
          </w:p>
        </w:tc>
        <w:tc>
          <w:tcPr>
            <w:tcW w:w="360" w:type="dxa"/>
            <w:vAlign w:val="bottom"/>
            <w:tcBorders>
              <w:top w:val="single" w:sz="8" w:color="0000FF"/>
            </w:tcBorders>
            <w:gridSpan w:val="3"/>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gridSpan w:val="3"/>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21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720" w:type="dxa"/>
            <w:vAlign w:val="bottom"/>
            <w:gridSpan w:val="4"/>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gridSpan w:val="15"/>
          </w:tcPr>
          <w:p>
            <w:pPr>
              <w:spacing w:after="0"/>
              <w:rPr>
                <w:sz w:val="20"/>
                <w:szCs w:val="20"/>
                <w:color w:val="auto"/>
              </w:rPr>
            </w:pPr>
            <w:r>
              <w:rPr>
                <w:rFonts w:ascii="Arial" w:cs="Arial" w:eastAsia="Arial" w:hAnsi="Arial"/>
                <w:sz w:val="18"/>
                <w:szCs w:val="18"/>
                <w:color w:val="0000FF"/>
                <w:w w:val="99"/>
              </w:rPr>
              <w:t>Notes to the Condensed Consolidated Financial Statements (Unaudited)</w:t>
            </w:r>
          </w:p>
        </w:tc>
        <w:tc>
          <w:tcPr>
            <w:tcW w:w="2020" w:type="dxa"/>
            <w:vAlign w:val="bottom"/>
            <w:gridSpan w:val="6"/>
          </w:tcPr>
          <w:p>
            <w:pPr>
              <w:spacing w:after="0"/>
              <w:rPr>
                <w:sz w:val="18"/>
                <w:szCs w:val="18"/>
                <w:color w:val="auto"/>
              </w:rPr>
            </w:pPr>
          </w:p>
        </w:tc>
        <w:tc>
          <w:tcPr>
            <w:tcW w:w="140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22"/>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Management’s Discussion and Analysis of Financial Condition and Results of Operations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22"/>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Quantitative and Qualitative Disclosures About Market Risk</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61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9"/>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4"/>
          </w:tcPr>
          <w:p>
            <w:pPr>
              <w:spacing w:after="0"/>
              <w:rPr>
                <w:sz w:val="18"/>
                <w:szCs w:val="18"/>
                <w:color w:val="auto"/>
              </w:rPr>
            </w:pPr>
          </w:p>
        </w:tc>
        <w:tc>
          <w:tcPr>
            <w:tcW w:w="3080" w:type="dxa"/>
            <w:vAlign w:val="bottom"/>
            <w:gridSpan w:val="8"/>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300" w:type="dxa"/>
            <w:vAlign w:val="bottom"/>
            <w:gridSpan w:val="15"/>
          </w:tcPr>
          <w:p>
            <w:pPr>
              <w:jc w:val="center"/>
              <w:ind w:right="3680"/>
              <w:spacing w:after="0"/>
              <w:rPr>
                <w:sz w:val="20"/>
                <w:szCs w:val="20"/>
                <w:color w:val="auto"/>
              </w:rPr>
            </w:pPr>
            <w:r>
              <w:rPr>
                <w:rFonts w:ascii="Arial" w:cs="Arial" w:eastAsia="Arial" w:hAnsi="Arial"/>
                <w:sz w:val="18"/>
                <w:szCs w:val="18"/>
                <w:b w:val="1"/>
                <w:bCs w:val="1"/>
                <w:color w:val="auto"/>
                <w:w w:val="99"/>
              </w:rPr>
              <w:t>PART II – Other Information</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95" w:lineRule="exact"/>
              <w:rPr>
                <w:sz w:val="20"/>
                <w:szCs w:val="20"/>
                <w:color w:val="auto"/>
              </w:rPr>
            </w:pPr>
            <w:r>
              <w:rPr>
                <w:rFonts w:ascii="Arial" w:cs="Arial" w:eastAsia="Arial" w:hAnsi="Arial"/>
                <w:sz w:val="18"/>
                <w:szCs w:val="18"/>
                <w:color w:val="auto"/>
              </w:rPr>
              <w:t>-</w:t>
            </w:r>
          </w:p>
        </w:tc>
        <w:tc>
          <w:tcPr>
            <w:tcW w:w="1500" w:type="dxa"/>
            <w:vAlign w:val="bottom"/>
            <w:gridSpan w:val="6"/>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6300" w:type="dxa"/>
            <w:vAlign w:val="bottom"/>
            <w:gridSpan w:val="15"/>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89"/>
              </w:rPr>
              <w:t>62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1A</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6300" w:type="dxa"/>
            <w:vAlign w:val="bottom"/>
            <w:gridSpan w:val="15"/>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22"/>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Unregistered Sales of Equity Securities and Use of Proceeds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62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22"/>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Defaults Upon Senior Securities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62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9"/>
          </w:tcPr>
          <w:p>
            <w:pPr>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tcPr>
          <w:p>
            <w:pPr>
              <w:spacing w:after="0"/>
              <w:rPr>
                <w:sz w:val="18"/>
                <w:szCs w:val="18"/>
                <w:color w:val="auto"/>
              </w:rPr>
            </w:pPr>
          </w:p>
        </w:tc>
        <w:tc>
          <w:tcPr>
            <w:tcW w:w="5240" w:type="dxa"/>
            <w:vAlign w:val="bottom"/>
            <w:gridSpan w:val="11"/>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5</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9"/>
          </w:tcPr>
          <w:p>
            <w:pPr>
              <w:spacing w:after="0"/>
              <w:rPr>
                <w:sz w:val="20"/>
                <w:szCs w:val="20"/>
                <w:color w:val="auto"/>
              </w:rPr>
            </w:pPr>
            <w:r>
              <w:rPr>
                <w:rFonts w:ascii="Arial" w:cs="Arial" w:eastAsia="Arial" w:hAnsi="Arial"/>
                <w:sz w:val="18"/>
                <w:szCs w:val="18"/>
                <w:color w:val="0000FF"/>
              </w:rPr>
              <w:t>Other Information</w:t>
            </w:r>
          </w:p>
        </w:tc>
        <w:tc>
          <w:tcPr>
            <w:tcW w:w="5860" w:type="dxa"/>
            <w:vAlign w:val="bottom"/>
            <w:gridSpan w:val="12"/>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00" w:type="dxa"/>
            <w:vAlign w:val="bottom"/>
            <w:gridSpan w:val="1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6</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6400" w:type="dxa"/>
            <w:vAlign w:val="bottom"/>
            <w:gridSpan w:val="16"/>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gridSpan w:val="19"/>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64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INCOME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Six Months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periods ended June 30,</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products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from services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Cost of revenue from products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2,170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from services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Cost of revenue</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963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(Loss)/gain on sale of businesses</w:t>
            </w: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Income before taxes</w:t>
            </w: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vMerge w:val="restart"/>
          </w:tcPr>
          <w:p>
            <w:pPr>
              <w:ind w:left="300"/>
              <w:spacing w:after="0"/>
              <w:rPr>
                <w:sz w:val="20"/>
                <w:szCs w:val="20"/>
                <w:color w:val="auto"/>
              </w:rPr>
            </w:pPr>
            <w:r>
              <w:rPr>
                <w:rFonts w:ascii="Arial" w:cs="Arial" w:eastAsia="Arial" w:hAnsi="Arial"/>
                <w:sz w:val="18"/>
                <w:szCs w:val="18"/>
                <w:color w:val="auto"/>
              </w:rPr>
              <w:t>Net loss attributable to non-controlling interests</w:t>
            </w:r>
          </w:p>
        </w:tc>
        <w:tc>
          <w:tcPr>
            <w:tcW w:w="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20" w:type="dxa"/>
            <w:vAlign w:val="bottom"/>
            <w:tcBorders>
              <w:top w:val="single" w:sz="8" w:color="CCEEFF"/>
              <w:bottom w:val="single" w:sz="8" w:color="CCEEFF"/>
            </w:tcBorders>
            <w:vMerge w:val="continue"/>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w:t>
            </w:r>
          </w:p>
        </w:tc>
        <w:tc>
          <w:tcPr>
            <w:tcW w:w="8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 attributable to Xylem</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4120" w:type="dxa"/>
            <w:vAlign w:val="bottom"/>
          </w:tcPr>
          <w:p>
            <w:pPr>
              <w:ind w:left="36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0.93</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0.80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1.62</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243.4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243.3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gridSpan w:val="3"/>
          </w:tcPr>
          <w:p>
            <w:pPr>
              <w:jc w:val="right"/>
              <w:ind w:right="630"/>
              <w:spacing w:after="0"/>
              <w:rPr>
                <w:sz w:val="20"/>
                <w:szCs w:val="20"/>
                <w:color w:val="auto"/>
              </w:rPr>
            </w:pPr>
            <w:r>
              <w:rPr>
                <w:rFonts w:ascii="Arial" w:cs="Arial" w:eastAsia="Arial" w:hAnsi="Arial"/>
                <w:sz w:val="16"/>
                <w:szCs w:val="16"/>
                <w:b w:val="1"/>
                <w:bCs w:val="1"/>
                <w:color w:val="auto"/>
              </w:rPr>
              <w:t>Three Months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periods ended June 30,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4"/>
        </w:trPr>
        <w:tc>
          <w:tcPr>
            <w:tcW w:w="4740" w:type="dxa"/>
            <w:vAlign w:val="bottom"/>
          </w:tcPr>
          <w:p>
            <w:pPr>
              <w:ind w:left="140"/>
              <w:spacing w:after="0" w:line="183" w:lineRule="exact"/>
              <w:rPr>
                <w:sz w:val="20"/>
                <w:szCs w:val="20"/>
                <w:color w:val="auto"/>
              </w:rPr>
            </w:pPr>
            <w:r>
              <w:rPr>
                <w:rFonts w:ascii="Arial" w:cs="Arial" w:eastAsia="Arial" w:hAnsi="Arial"/>
                <w:sz w:val="18"/>
                <w:szCs w:val="18"/>
                <w:color w:val="auto"/>
              </w:rPr>
              <w:t>Amount of currency translation adjustment relating to</w:t>
            </w: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40" w:type="dxa"/>
            <w:vAlign w:val="bottom"/>
          </w:tcPr>
          <w:p>
            <w:pPr>
              <w:ind w:left="140"/>
              <w:spacing w:after="0" w:line="181" w:lineRule="exact"/>
              <w:rPr>
                <w:sz w:val="20"/>
                <w:szCs w:val="20"/>
                <w:color w:val="auto"/>
              </w:rPr>
            </w:pPr>
            <w:r>
              <w:rPr>
                <w:rFonts w:ascii="Arial" w:cs="Arial" w:eastAsia="Arial" w:hAnsi="Arial"/>
                <w:sz w:val="18"/>
                <w:szCs w:val="18"/>
                <w:color w:val="auto"/>
              </w:rPr>
              <w:t>divestiture of foreign subsidiaries reclassified into net</w:t>
            </w:r>
          </w:p>
        </w:tc>
        <w:tc>
          <w:tcPr>
            <w:tcW w:w="1140" w:type="dxa"/>
            <w:vAlign w:val="bottom"/>
          </w:tcPr>
          <w:p>
            <w:pPr>
              <w:spacing w:after="0"/>
              <w:rPr>
                <w:sz w:val="15"/>
                <w:szCs w:val="15"/>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15"/>
                <w:szCs w:val="15"/>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income</w:t>
            </w:r>
          </w:p>
        </w:tc>
        <w:tc>
          <w:tcPr>
            <w:tcW w:w="114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Amount of loss (gain) reclassified into net income</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1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4"/>
        </w:trPr>
        <w:tc>
          <w:tcPr>
            <w:tcW w:w="47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Income tax (benefit) expense related to items of other</w:t>
            </w:r>
          </w:p>
        </w:tc>
        <w:tc>
          <w:tcPr>
            <w:tcW w:w="11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604</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184"/>
        </w:trPr>
        <w:tc>
          <w:tcPr>
            <w:tcW w:w="4740" w:type="dxa"/>
            <w:vAlign w:val="bottom"/>
          </w:tcPr>
          <w:p>
            <w:pPr>
              <w:ind w:left="140"/>
              <w:spacing w:after="0" w:line="183" w:lineRule="exact"/>
              <w:rPr>
                <w:sz w:val="20"/>
                <w:szCs w:val="20"/>
                <w:color w:val="auto"/>
              </w:rPr>
            </w:pPr>
            <w:r>
              <w:rPr>
                <w:rFonts w:ascii="Arial" w:cs="Arial" w:eastAsia="Arial" w:hAnsi="Arial"/>
                <w:sz w:val="18"/>
                <w:szCs w:val="18"/>
                <w:color w:val="auto"/>
              </w:rPr>
              <w:t>Comprehensive loss attributable to non-controlling</w:t>
            </w:r>
          </w:p>
        </w:tc>
        <w:tc>
          <w:tcPr>
            <w:tcW w:w="11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740" w:type="dxa"/>
            <w:vAlign w:val="bottom"/>
          </w:tcPr>
          <w:p>
            <w:pPr>
              <w:ind w:left="140"/>
              <w:spacing w:after="0"/>
              <w:rPr>
                <w:sz w:val="20"/>
                <w:szCs w:val="20"/>
                <w:color w:val="auto"/>
              </w:rPr>
            </w:pPr>
            <w:r>
              <w:rPr>
                <w:rFonts w:ascii="Arial" w:cs="Arial" w:eastAsia="Arial" w:hAnsi="Arial"/>
                <w:sz w:val="18"/>
                <w:szCs w:val="18"/>
                <w:color w:val="auto"/>
              </w:rPr>
              <w:t>interest</w:t>
            </w:r>
          </w:p>
        </w:tc>
        <w:tc>
          <w:tcPr>
            <w:tcW w:w="114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Xylem</w:t>
            </w:r>
          </w:p>
        </w:tc>
        <w:tc>
          <w:tcPr>
            <w:tcW w:w="114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7"/>
                <w:szCs w:val="17"/>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3"/>
        </w:trPr>
        <w:tc>
          <w:tcPr>
            <w:tcW w:w="76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24"/>
        </w:trPr>
        <w:tc>
          <w:tcPr>
            <w:tcW w:w="7640" w:type="dxa"/>
            <w:vAlign w:val="bottom"/>
          </w:tcPr>
          <w:p>
            <w:pPr>
              <w:ind w:left="360"/>
              <w:spacing w:after="0"/>
              <w:rPr>
                <w:sz w:val="20"/>
                <w:szCs w:val="20"/>
                <w:color w:val="auto"/>
              </w:rPr>
            </w:pPr>
            <w:r>
              <w:rPr>
                <w:rFonts w:ascii="Arial" w:cs="Arial" w:eastAsia="Arial" w:hAnsi="Arial"/>
                <w:sz w:val="18"/>
                <w:szCs w:val="18"/>
                <w:color w:val="auto"/>
              </w:rPr>
              <w:t>Receivables, less allowances for discounts, returns and credit losses of $61 and $59 in</w:t>
            </w: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640" w:type="dxa"/>
            <w:vAlign w:val="bottom"/>
          </w:tcPr>
          <w:p>
            <w:pPr>
              <w:ind w:left="360"/>
              <w:spacing w:after="0"/>
              <w:rPr>
                <w:sz w:val="20"/>
                <w:szCs w:val="20"/>
                <w:color w:val="auto"/>
              </w:rPr>
            </w:pPr>
            <w:r>
              <w:rPr>
                <w:rFonts w:ascii="Arial" w:cs="Arial" w:eastAsia="Arial" w:hAnsi="Arial"/>
                <w:sz w:val="18"/>
                <w:szCs w:val="18"/>
                <w:color w:val="auto"/>
              </w:rPr>
              <w:t>2025 and 2024, respectively</w:t>
            </w:r>
          </w:p>
        </w:tc>
        <w:tc>
          <w:tcPr>
            <w:tcW w:w="5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1,837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Prepaid and other current assets</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 for sale</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8,237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assets, net</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assets</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assets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gridSpan w:val="2"/>
          </w:tcPr>
          <w:p>
            <w:pPr>
              <w:ind w:left="140"/>
              <w:spacing w:after="0" w:line="176" w:lineRule="exact"/>
              <w:rPr>
                <w:sz w:val="20"/>
                <w:szCs w:val="20"/>
                <w:color w:val="auto"/>
              </w:rPr>
            </w:pPr>
            <w:r>
              <w:rPr>
                <w:rFonts w:ascii="Arial" w:cs="Arial" w:eastAsia="Arial" w:hAnsi="Arial"/>
                <w:sz w:val="18"/>
                <w:szCs w:val="18"/>
                <w:b w:val="1"/>
                <w:bCs w:val="1"/>
                <w:color w:val="auto"/>
                <w:w w:val="99"/>
              </w:rPr>
              <w:t>LIABILITIES, REDEEMABLE NON-CONTROLLING INTEREST, AND STOCKHOLDERS’ EQUITY</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1,047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current liabilities</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Short-term borrowings and current maturities of long-term debt</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 held for sale</w:t>
            </w:r>
          </w:p>
        </w:tc>
        <w:tc>
          <w:tcPr>
            <w:tcW w:w="5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5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2,301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Accrued post-retirement benefit obligations</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liabilities</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accrued liabilities</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10"/>
        </w:trPr>
        <w:tc>
          <w:tcPr>
            <w:tcW w:w="7640" w:type="dxa"/>
            <w:vAlign w:val="bottom"/>
          </w:tcPr>
          <w:p>
            <w:pPr>
              <w:ind w:left="140"/>
              <w:spacing w:after="0"/>
              <w:rPr>
                <w:sz w:val="20"/>
                <w:szCs w:val="20"/>
                <w:color w:val="auto"/>
              </w:rPr>
            </w:pPr>
            <w:r>
              <w:rPr>
                <w:rFonts w:ascii="Arial" w:cs="Arial" w:eastAsia="Arial" w:hAnsi="Arial"/>
                <w:sz w:val="18"/>
                <w:szCs w:val="18"/>
                <w:color w:val="auto"/>
              </w:rPr>
              <w:t>Commitments and contingencies (Note 18)</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Redeemable non-controlling interest</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7640" w:type="dxa"/>
            <w:vAlign w:val="bottom"/>
          </w:tcPr>
          <w:p>
            <w:pPr>
              <w:ind w:left="140"/>
              <w:spacing w:after="0"/>
              <w:rPr>
                <w:sz w:val="20"/>
                <w:szCs w:val="20"/>
                <w:color w:val="auto"/>
              </w:rPr>
            </w:pPr>
            <w:r>
              <w:rPr>
                <w:rFonts w:ascii="Arial" w:cs="Arial" w:eastAsia="Arial" w:hAnsi="Arial"/>
                <w:sz w:val="18"/>
                <w:szCs w:val="18"/>
                <w:color w:val="auto"/>
              </w:rPr>
              <w:t>Stockholders’ equity:</w:t>
            </w: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 par value $0.01 per share:</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360"/>
              <w:spacing w:after="0" w:line="176" w:lineRule="exact"/>
              <w:rPr>
                <w:sz w:val="20"/>
                <w:szCs w:val="20"/>
                <w:color w:val="auto"/>
              </w:rPr>
            </w:pPr>
            <w:r>
              <w:rPr>
                <w:rFonts w:ascii="Arial" w:cs="Arial" w:eastAsia="Arial" w:hAnsi="Arial"/>
                <w:sz w:val="18"/>
                <w:szCs w:val="18"/>
                <w:color w:val="auto"/>
              </w:rPr>
              <w:t>Authorized 750.0 shares, issued 259.7 shares and 259.2 shares in 2025 and 2024,</w:t>
            </w:r>
          </w:p>
        </w:tc>
        <w:tc>
          <w:tcPr>
            <w:tcW w:w="5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50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 excess of par value</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3,339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 at cost 16.3 shares and 16.2 shares in 2025 and 2024, respectively</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0" w:type="dxa"/>
            <w:vAlign w:val="bottom"/>
          </w:tcPr>
          <w:p>
            <w:pPr>
              <w:spacing w:after="0"/>
              <w:rPr>
                <w:sz w:val="1"/>
                <w:szCs w:val="1"/>
                <w:color w:val="auto"/>
              </w:rPr>
            </w:pPr>
          </w:p>
        </w:tc>
      </w:tr>
      <w:tr>
        <w:trPr>
          <w:trHeight w:val="223"/>
        </w:trPr>
        <w:tc>
          <w:tcPr>
            <w:tcW w:w="764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equity</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10,647</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b w:val="1"/>
                <w:bCs w:val="1"/>
                <w:color w:val="auto"/>
              </w:rPr>
              <w:t>Total liabilities, redeemable non-controlling interest, and stockholders’ equity</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17,191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16,493</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six months ended June 30,</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2024</w:t>
            </w:r>
          </w:p>
        </w:tc>
      </w:tr>
      <w:tr>
        <w:trPr>
          <w:trHeight w:val="20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395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Depreciation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and asset impairment charges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Loss from sale of business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net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Payments for restructuring</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assets and liabilities (net of acquisitions):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Changes in receivables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inventories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Changes in accounts payable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accrued and deferred taxes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76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09"/>
        </w:trPr>
        <w:tc>
          <w:tcPr>
            <w:tcW w:w="76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Net Cash – Operating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Acquisitions of businesses, net of cash acquired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businesses, net of cash disposed</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received from investments</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Cash paid for investments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equity investments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Cash paid for asset acquisition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received from cross-currency swaps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6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Net Cash – Investing activities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0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debt issued, net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Short-term debt repaid</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16"/>
        </w:trPr>
        <w:tc>
          <w:tcPr>
            <w:tcW w:w="7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Long-term debt repaid</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exercise of employee stock options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Dividends paid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(196)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6"/>
        </w:trPr>
        <w:tc>
          <w:tcPr>
            <w:tcW w:w="76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76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Net Cash – Financing activities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r>
      <w:tr>
        <w:trPr>
          <w:trHeight w:val="209"/>
        </w:trPr>
        <w:tc>
          <w:tcPr>
            <w:tcW w:w="76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Effect of exchange rate changes on cash</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0"/>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Changes in cash classified within assets held for sale</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change in cash and cash equivalents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16"/>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Cash and cash equivalents at beginning of year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r>
      <w:tr>
        <w:trPr>
          <w:trHeight w:val="275"/>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Cash and cash equivalents at end of period</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w:t>
            </w:r>
          </w:p>
        </w:tc>
      </w:tr>
      <w:tr>
        <w:trPr>
          <w:trHeight w:val="177"/>
        </w:trPr>
        <w:tc>
          <w:tcPr>
            <w:tcW w:w="7640" w:type="dxa"/>
            <w:vAlign w:val="bottom"/>
            <w:tcBorders>
              <w:top w:val="single" w:sz="8" w:color="auto"/>
            </w:tcBorders>
          </w:tcPr>
          <w:p>
            <w:pPr>
              <w:ind w:left="140"/>
              <w:spacing w:after="0" w:line="177"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during the period for:</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640" w:type="dxa"/>
            <w:vAlign w:val="bottom"/>
          </w:tcPr>
          <w:p>
            <w:pPr>
              <w:ind w:left="220"/>
              <w:spacing w:after="0"/>
              <w:rPr>
                <w:sz w:val="20"/>
                <w:szCs w:val="20"/>
                <w:color w:val="auto"/>
              </w:rPr>
            </w:pPr>
            <w:r>
              <w:rPr>
                <w:rFonts w:ascii="Arial" w:cs="Arial" w:eastAsia="Arial" w:hAnsi="Arial"/>
                <w:sz w:val="16"/>
                <w:szCs w:val="16"/>
                <w:color w:val="auto"/>
              </w:rPr>
              <w:t>Interest</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(net of refunds received)</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63" w:lineRule="exact"/>
        <w:rPr>
          <w:sz w:val="20"/>
          <w:szCs w:val="20"/>
          <w:color w:val="auto"/>
        </w:rPr>
      </w:pPr>
    </w:p>
    <w:p>
      <w:pPr>
        <w:jc w:val="both"/>
        <w:ind w:right="720"/>
        <w:spacing w:after="0" w:line="268" w:lineRule="auto"/>
        <w:rPr>
          <w:sz w:val="20"/>
          <w:szCs w:val="20"/>
          <w:color w:val="auto"/>
        </w:rPr>
      </w:pPr>
      <w:r>
        <w:rPr>
          <w:rFonts w:ascii="Arial" w:cs="Arial" w:eastAsia="Arial" w:hAnsi="Arial"/>
          <w:sz w:val="18"/>
          <w:szCs w:val="18"/>
          <w:color w:val="auto"/>
        </w:rPr>
        <w:t>Xylem operates in four segments, Water Infrastructure, Applied Water, Measurement and Control Solutions and Water Solutions and Services. See Note 19, "Segment Information," to the condensed consolidated financial statements for further segment background information.</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Except as otherwise indicated or unless the context otherwise requires, "Xylem," "we," "us," "our" and the "Company" refer to Xylem Inc. and its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2024 ("2024 Annual Report") in preparing these unaudited condensed consolidated financial statements. These condensed consolidated financial statements should be read in conjunction with the audited consolidated financial statements and the notes included in our 2024 Annual Report. Certain prior year amounts have been reclassified to conform to the current year presentation.</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valuation results associated with purchase accounting, post-retirement obligations and assets, revenue recognition, income taxes, valuation of intangible assets, goodwill and indefinite-lived intangible impairment testing and contingent liabilities. Actual results could differ from these estimates.</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November 2024, the Financial Accounting Standards Board (FASB) issued Accounting Standards Update (ASU) No. 2024-03, "</w:t>
      </w:r>
      <w:r>
        <w:rPr>
          <w:rFonts w:ascii="Arial" w:cs="Arial" w:eastAsia="Arial" w:hAnsi="Arial"/>
          <w:sz w:val="18"/>
          <w:szCs w:val="18"/>
          <w:i w:val="1"/>
          <w:iCs w:val="1"/>
          <w:color w:val="auto"/>
        </w:rPr>
        <w:t>Expense</w:t>
      </w:r>
      <w:r>
        <w:rPr>
          <w:rFonts w:ascii="Arial" w:cs="Arial" w:eastAsia="Arial" w:hAnsi="Arial"/>
          <w:sz w:val="18"/>
          <w:szCs w:val="18"/>
          <w:color w:val="auto"/>
        </w:rPr>
        <w:t xml:space="preserve"> </w:t>
      </w:r>
      <w:r>
        <w:rPr>
          <w:rFonts w:ascii="Arial" w:cs="Arial" w:eastAsia="Arial" w:hAnsi="Arial"/>
          <w:sz w:val="18"/>
          <w:szCs w:val="18"/>
          <w:i w:val="1"/>
          <w:iCs w:val="1"/>
          <w:color w:val="auto"/>
        </w:rPr>
        <w:t>Disaggregation Disclosures (Subtopic 220-40): Disaggregation of Income Statement Expenses</w:t>
      </w:r>
      <w:r>
        <w:rPr>
          <w:rFonts w:ascii="Arial" w:cs="Arial" w:eastAsia="Arial" w:hAnsi="Arial"/>
          <w:sz w:val="18"/>
          <w:szCs w:val="18"/>
          <w:color w:val="auto"/>
        </w:rPr>
        <w:t>". This ASU requires a footnote disclosure to</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 each relevant expense caption on the face of the income statement that includes specific natural expense categories. In addition, the standard requires disclosure of selling expenses on an annual and interim basis. The standard is effective in annual reporting periods beginning after December 15, 2026, and interim periods within annual reporting periods beginning after December 15, 2027. Early adoption is permitted. The standard is required to be adopted prospectively, but retrospective adoption is permitted. The Company is currently evaluating the method of adoption and the impacts of the guidance on our disclosures in future periods.</w:t>
      </w:r>
    </w:p>
    <w:p>
      <w:pPr>
        <w:spacing w:after="0" w:line="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December 2023, the FASB issued ASU No.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The ASU is intended to improve income tax disclosure requirements, primarily through additional disclosures about a reporting entity’s effective tax rate reconciliations as well as information on income taxes paid. The standard is effective for fiscal years beginning after December 15, 2024, and interim periods within fiscal years beginning after December 15, 2025, with early adoption permitted. The amendments are required to be applied on a prospective basis, with the option to apply retrospectively to all prior periods presented in the consolidated financial statements. The Company is currently evaluating the method of adoption and the impacts of the guidance on our disclosures in future periods.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Asset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Vacom Systems, LLC</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the beginning of the second quarter, we acquired Vacom Systems, LLC ("Vacom"), a wastewater treatment company that specializes in non-fouling, non-scaling evaporator and crystallizer systems, headquartered in Utah, U.S. The transaction has a total cash consideration of $42 million, of which $ 37 million was paid at closing. The remaining cash consideration will be paid over the next 12 to 18 months, subjected to working capital and other customary adjustments. Additionally, the transaction consideration contained an earn out of 5% royalty on future revenue generated in connection with Vacom's proprietary technologies during the first 5 years following the acquisition. The earn out has a maximum pay out of $25 million.</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Vacom transaction was accounted for as an asset acquisition because substantially all of the fair value of gross assets acquired were concentrated in its developed technology. On the acquisition date, the developed technology recognized in the condensed consolidated balance sheet is $49 million. The developed technology has a useful life of 15 years and will be amortized over its useful life on a straight-line basis within the Water Solutions and Services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Business Combination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Simply Clean Air and Water, Inc.</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January 31, 2025, we acquired Simply Clean Air and Water, Inc. ("Simply Clean"), a water service company that specializes in high-purity water systems for life sciences and pharmaceutical markets, for the net cash acquisition price of $7 million. The company is headquartered in Connecticut, U.S. with 20 employees. Our consolidated financial statements include Simply Clean's results of operations within the Water Solutions and Services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Divestiture</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February 7, 2025, we completed the divestiture of our previously held for sale Evoqua Magneto business, which was part of the Water Infrastructure segment, for a cash selling price of $61 million ($48 million, net of cash transferred). As a result of the sale, we recorded an additional loss of $10 million, presented on the Condensed Consolidated Income Statement within "Loss on sale of businesses"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2024 Business Combination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Omnium Idrica, S.L.</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26, 2023, we acquired a 25.1% equity interest in Global Omnium Idrica S.L. (“Idrica”), a global company specializing in digital transformation for the water industry, offering innovative services and technological solutions for comprehensive water cycle management for $51 million. In connection with the transaction, the Company was granted the right to purchase a majority interest in Idrica from the joint venture partner at a fixed price. The investment was accounted for as an equity method investment as the Company had significant influence but did not have control over Idrica.</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10, 2024, we acquired an additional 35.9% equity interest in Idrica for $154 million ($150 million, net of cash received) by exercising our call right and now hold an aggregate ownership interest in Idrica of 61.0%. This was accounted for as a step acquisition where the Company has applied the acquisition method of accounting in accordance with ASC 805, Business Combinations. The fair value of our call right was included within the fair value of previously held equity interest and recognized as part of the consideration transferred and the gain on remeasurement of our call right was also included in the gain on remeasurement of previously held equity interest (as discussed below). The Company recognized assets acquired and liabilities assumed at their fair value as of the date of acquisition, with the excess purchase consideration recorded to goodwill. As the Company finalizes the estimation of the fair value of the assets acquired and liabilities assumed, additional adjustments may be recorded during the measurement period (a period not to exceed 12 months from the acquisition date).</w:t>
      </w:r>
    </w:p>
    <w:p>
      <w:pPr>
        <w:spacing w:after="0" w:line="7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total fair value of consideration transferred was $637 million, which includes cash paid to Idrica, the remeasurement to fair value of our previously held equity interest, the fair value of the redeemable non-controlling interest, and the settlement of a preexisting contractual relationship between the Company and Idrica. This relationship related to a distribution agreement that the Company had previously recognized in other non-current assets.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60" w:type="dxa"/>
            <w:vAlign w:val="bottom"/>
          </w:tcPr>
          <w:p>
            <w:pPr>
              <w:spacing w:after="0"/>
              <w:rPr>
                <w:sz w:val="20"/>
                <w:szCs w:val="20"/>
                <w:color w:val="auto"/>
              </w:rPr>
            </w:pPr>
            <w:r>
              <w:rPr>
                <w:rFonts w:ascii="Arial" w:cs="Arial" w:eastAsia="Arial" w:hAnsi="Arial"/>
                <w:sz w:val="18"/>
                <w:szCs w:val="18"/>
                <w:color w:val="auto"/>
              </w:rPr>
              <w:t>The acquisition-date fair value of the consideration consisted of the following:</w:t>
            </w:r>
          </w:p>
        </w:tc>
        <w:tc>
          <w:tcPr>
            <w:tcW w:w="26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28"/>
        </w:trPr>
        <w:tc>
          <w:tcPr>
            <w:tcW w:w="85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60" w:type="dxa"/>
            <w:vAlign w:val="bottom"/>
          </w:tcPr>
          <w:p>
            <w:pPr>
              <w:spacing w:after="0"/>
              <w:rPr>
                <w:sz w:val="24"/>
                <w:szCs w:val="24"/>
                <w:color w:val="auto"/>
              </w:rPr>
            </w:pPr>
          </w:p>
        </w:tc>
        <w:tc>
          <w:tcPr>
            <w:tcW w:w="242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 Value of Purchase</w:t>
            </w:r>
          </w:p>
        </w:tc>
      </w:tr>
      <w:tr>
        <w:trPr>
          <w:trHeight w:val="255"/>
        </w:trPr>
        <w:tc>
          <w:tcPr>
            <w:tcW w:w="8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Consideration</w:t>
            </w:r>
          </w:p>
        </w:tc>
      </w:tr>
      <w:tr>
        <w:trPr>
          <w:trHeight w:val="257"/>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Fair value of previously held equity interest</w:t>
            </w:r>
          </w:p>
        </w:tc>
        <w:tc>
          <w:tcPr>
            <w:tcW w:w="26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redeemable non-controlling interest</w:t>
            </w:r>
          </w:p>
        </w:tc>
        <w:tc>
          <w:tcPr>
            <w:tcW w:w="260" w:type="dxa"/>
            <w:vAlign w:val="bottom"/>
            <w:shd w:val="clear" w:color="auto" w:fill="CCEEFF"/>
          </w:tcPr>
          <w:p>
            <w:pPr>
              <w:spacing w:after="0"/>
              <w:rPr>
                <w:sz w:val="23"/>
                <w:szCs w:val="23"/>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5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of preexisting relationship</w:t>
            </w:r>
          </w:p>
        </w:tc>
        <w:tc>
          <w:tcPr>
            <w:tcW w:w="2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52"/>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w:t>
            </w:r>
          </w:p>
        </w:tc>
      </w:tr>
    </w:tbl>
    <w:p>
      <w:pPr>
        <w:spacing w:after="0" w:line="1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remeasured its previously held 25.1% equity interest in Idrica immediately prior to the completion of the acquisition to its estimated fair value of approximately $ 193 million. This fair value was derived by using the discounted cash flow method of the income approach, which considers future cash flows that are discounted to present value at a rate of return commensurate with the business and financial risks associated with the expected achievement of the projected cash flows. As a result of the remeasurement of its previously held equity interest, the Company recognized a gain of approximately $152 million in the fourth quarter of 2024. The gain reflects the excess of the estimated fair value of $193 million for the Company’s previously held 25.1% equity interest over its carrying value of approximately $41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0" w:name="page11"/>
    <w:bookmarkEnd w:id="10"/>
    <w:p>
      <w:pPr>
        <w:ind w:right="460"/>
        <w:spacing w:after="0" w:line="287" w:lineRule="auto"/>
        <w:rPr>
          <w:sz w:val="20"/>
          <w:szCs w:val="20"/>
          <w:color w:val="auto"/>
        </w:rPr>
      </w:pPr>
      <w:r>
        <w:rPr>
          <w:rFonts w:ascii="Arial" w:cs="Arial" w:eastAsia="Arial" w:hAnsi="Arial"/>
          <w:sz w:val="18"/>
          <w:szCs w:val="18"/>
          <w:color w:val="auto"/>
        </w:rPr>
        <w:t>The following table summarizes the preliminary acquisition date fair value of net tangible and intangible assets acquired, net of liabilities assumed from Idrica: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Fair Value</w:t>
            </w:r>
          </w:p>
        </w:tc>
      </w:tr>
      <w:tr>
        <w:trPr>
          <w:trHeight w:val="251"/>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borrowings and current maturities of long-term debt</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Long term debt</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accrued liabilities</w:t>
            </w:r>
          </w:p>
        </w:tc>
        <w:tc>
          <w:tcPr>
            <w:tcW w:w="5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2"/>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w:t>
            </w:r>
          </w:p>
        </w:tc>
      </w:tr>
    </w:tbl>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preliminary purchase price allocation is subject to further refinement and may require significant adjustments to arrive at the final purchase price allocation. The above fair values of assets acquired and liabilities assumed are preliminary. The fair values of the intangible assets acquired were preliminarily determined using the income and cost approaches. In many cases, the determination of the fair values required estimates about discount rates, future expected cash flows, and other future events that are judgmental and subject to change. The final determination of the fair value of certain assets and liabilities will be completed as soon as the necessary information becomes available but no later than one year from the acquisition date.</w:t>
      </w:r>
    </w:p>
    <w:p>
      <w:pPr>
        <w:spacing w:after="0" w:line="74"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Our revenue and net loss attributable to the Idrica acquisition for the year ended December 31, 2024 and six months ended June 30, 2025 were not material. The $522 million of goodwill recognized, which is not deductible for U.S. income tax purposes, is primarily attributable to costs and revenue synergies and economies of scale expected from combining the operations of Idrica with Xylem.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 Acquired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underlying identifiable intangible assets related to the Idrica acquisition: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8"/>
                <w:szCs w:val="18"/>
                <w:color w:val="auto"/>
              </w:rPr>
            </w:pPr>
          </w:p>
        </w:tc>
        <w:tc>
          <w:tcPr>
            <w:tcW w:w="1640" w:type="dxa"/>
            <w:vAlign w:val="bottom"/>
          </w:tcPr>
          <w:p>
            <w:pPr>
              <w:jc w:val="center"/>
              <w:ind w:left="90"/>
              <w:spacing w:after="0"/>
              <w:rPr>
                <w:sz w:val="20"/>
                <w:szCs w:val="20"/>
                <w:color w:val="auto"/>
              </w:rPr>
            </w:pPr>
            <w:r>
              <w:rPr>
                <w:rFonts w:ascii="Arial" w:cs="Arial" w:eastAsia="Arial" w:hAnsi="Arial"/>
                <w:sz w:val="18"/>
                <w:szCs w:val="18"/>
                <w:color w:val="auto"/>
              </w:rPr>
              <w:t>Useful Life</w:t>
            </w:r>
          </w:p>
        </w:tc>
        <w:tc>
          <w:tcPr>
            <w:tcW w:w="520" w:type="dxa"/>
            <w:vAlign w:val="bottom"/>
          </w:tcPr>
          <w:p>
            <w:pPr>
              <w:spacing w:after="0"/>
              <w:rPr>
                <w:sz w:val="18"/>
                <w:szCs w:val="18"/>
                <w:color w:val="auto"/>
              </w:rPr>
            </w:pP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Fair Value</w:t>
            </w:r>
          </w:p>
        </w:tc>
      </w:tr>
      <w:tr>
        <w:trPr>
          <w:trHeight w:val="240"/>
        </w:trPr>
        <w:tc>
          <w:tcPr>
            <w:tcW w:w="7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40" w:type="dxa"/>
            <w:vAlign w:val="bottom"/>
          </w:tcPr>
          <w:p>
            <w:pPr>
              <w:jc w:val="center"/>
              <w:ind w:left="130"/>
              <w:spacing w:after="0"/>
              <w:rPr>
                <w:sz w:val="20"/>
                <w:szCs w:val="20"/>
                <w:color w:val="auto"/>
              </w:rPr>
            </w:pPr>
            <w:r>
              <w:rPr>
                <w:rFonts w:ascii="Arial" w:cs="Arial" w:eastAsia="Arial" w:hAnsi="Arial"/>
                <w:sz w:val="18"/>
                <w:szCs w:val="18"/>
                <w:color w:val="auto"/>
              </w:rPr>
              <w:t>(in years)(a)</w:t>
            </w:r>
          </w:p>
        </w:tc>
        <w:tc>
          <w:tcPr>
            <w:tcW w:w="520" w:type="dxa"/>
            <w:vAlign w:val="bottom"/>
          </w:tcPr>
          <w:p>
            <w:pPr>
              <w:spacing w:after="0"/>
              <w:rPr>
                <w:sz w:val="20"/>
                <w:szCs w:val="20"/>
                <w:color w:val="auto"/>
              </w:rPr>
            </w:pP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(in millions)</w:t>
            </w:r>
          </w:p>
        </w:tc>
      </w:tr>
      <w:tr>
        <w:trPr>
          <w:trHeight w:val="22"/>
        </w:trPr>
        <w:tc>
          <w:tcPr>
            <w:tcW w:w="7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24</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7500" w:type="dxa"/>
            <w:vAlign w:val="bottom"/>
          </w:tcPr>
          <w:p>
            <w:pPr>
              <w:ind w:left="20"/>
              <w:spacing w:after="0"/>
              <w:rPr>
                <w:sz w:val="20"/>
                <w:szCs w:val="20"/>
                <w:color w:val="auto"/>
              </w:rPr>
            </w:pPr>
            <w:r>
              <w:rPr>
                <w:rFonts w:ascii="Arial" w:cs="Arial" w:eastAsia="Arial" w:hAnsi="Arial"/>
                <w:sz w:val="18"/>
                <w:szCs w:val="18"/>
                <w:color w:val="auto"/>
              </w:rPr>
              <w:t>Backlog</w:t>
            </w:r>
          </w:p>
        </w:tc>
        <w:tc>
          <w:tcPr>
            <w:tcW w:w="1640" w:type="dxa"/>
            <w:vAlign w:val="bottom"/>
          </w:tcPr>
          <w:p>
            <w:pPr>
              <w:jc w:val="center"/>
              <w:ind w:left="130"/>
              <w:spacing w:after="0"/>
              <w:rPr>
                <w:sz w:val="20"/>
                <w:szCs w:val="20"/>
                <w:color w:val="auto"/>
              </w:rPr>
            </w:pPr>
            <w:r>
              <w:rPr>
                <w:rFonts w:ascii="Arial" w:cs="Arial" w:eastAsia="Arial" w:hAnsi="Arial"/>
                <w:sz w:val="18"/>
                <w:szCs w:val="18"/>
                <w:color w:val="auto"/>
                <w:w w:val="99"/>
              </w:rPr>
              <w:t>9</w:t>
            </w:r>
          </w:p>
        </w:tc>
        <w:tc>
          <w:tcPr>
            <w:tcW w:w="5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6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7</w:t>
            </w:r>
          </w:p>
        </w:tc>
        <w:tc>
          <w:tcPr>
            <w:tcW w:w="5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8"/>
        </w:trPr>
        <w:tc>
          <w:tcPr>
            <w:tcW w:w="750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640" w:type="dxa"/>
            <w:vAlign w:val="bottom"/>
          </w:tcPr>
          <w:p>
            <w:pPr>
              <w:jc w:val="center"/>
              <w:ind w:left="150"/>
              <w:spacing w:after="0"/>
              <w:rPr>
                <w:sz w:val="20"/>
                <w:szCs w:val="20"/>
                <w:color w:val="auto"/>
              </w:rPr>
            </w:pPr>
            <w:r>
              <w:rPr>
                <w:rFonts w:ascii="Arial" w:cs="Arial" w:eastAsia="Arial" w:hAnsi="Arial"/>
                <w:sz w:val="18"/>
                <w:szCs w:val="18"/>
                <w:color w:val="auto"/>
                <w:w w:val="99"/>
              </w:rPr>
              <w:t>10</w:t>
            </w:r>
          </w:p>
        </w:tc>
        <w:tc>
          <w:tcPr>
            <w:tcW w:w="5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Under Construction</w:t>
            </w:r>
          </w:p>
        </w:tc>
        <w:tc>
          <w:tcPr>
            <w:tcW w:w="16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5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5"/>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10</w:t>
            </w:r>
          </w:p>
        </w:tc>
        <w:tc>
          <w:tcPr>
            <w:tcW w:w="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w:t>
            </w:r>
          </w:p>
        </w:tc>
      </w:tr>
      <w:tr>
        <w:trPr>
          <w:trHeight w:val="25"/>
        </w:trPr>
        <w:tc>
          <w:tcPr>
            <w:tcW w:w="75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Useful life approximates weighted average useful life.</w:t>
      </w:r>
    </w:p>
    <w:p>
      <w:pPr>
        <w:spacing w:after="0" w:line="117" w:lineRule="exact"/>
        <w:rPr>
          <w:sz w:val="20"/>
          <w:szCs w:val="20"/>
          <w:color w:val="auto"/>
        </w:rPr>
      </w:pPr>
    </w:p>
    <w:p>
      <w:pPr>
        <w:ind w:left="660" w:right="160" w:hanging="328"/>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preliminary estimates of fair value of Idrica’s identifiable intangible assets were determined using a combination of the income and cost approaches. The fair value measurements were primarily based on significant inputs that are not observable in the market and thus represent a Level 3 measurement of the fair value hierarchy as defined in ASC 820, Fair Value Measurements. Intangible assets consisting of the customer relationships, backlog, and trade name were valued using the multi-period excess earnings method (“MEEM”) or the relief from royalty (“RFR”) method, both of which are forms of the income approach. The intangible asset related to Idrica’s developed technology was valued using the replacement cost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left="660" w:right="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customer and backlog intangible assets were valued using the MEEM. The MEEM is an approach where the net earnings attributable to the asset being measured are isolated from other “contributory assets” over the intangible asset’s remaining economic life.</w:t>
      </w:r>
    </w:p>
    <w:p>
      <w:pPr>
        <w:spacing w:after="0" w:line="62" w:lineRule="exact"/>
        <w:rPr>
          <w:rFonts w:ascii="Arial" w:cs="Arial" w:eastAsia="Arial" w:hAnsi="Arial"/>
          <w:sz w:val="18"/>
          <w:szCs w:val="18"/>
          <w:color w:val="auto"/>
        </w:rPr>
      </w:pPr>
    </w:p>
    <w:p>
      <w:pPr>
        <w:ind w:left="660" w:right="32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trade name intangible asset was valued using the RFR method. The RFR method suggests that in lieu of ownership, the acquirer can obtain comparable rights to use the subject asset via a license from a hypothetical third-party owner. The asset’s fair value is the present value of license fees avoided by owning it (i.e., the royalty savings).</w:t>
      </w:r>
    </w:p>
    <w:p>
      <w:pPr>
        <w:spacing w:after="0" w:line="62"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developed technology intangible asset was valued using the replacement cost approach. The replacement cost approach is a valuation method that relies on estimating the replacement costs of assets based on the principle that an asset would not be purchased for a price higher than the cost to replace it with an asset of comparable utility.</w:t>
      </w:r>
    </w:p>
    <w:p>
      <w:pPr>
        <w:spacing w:after="0" w:line="6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Pro forma results of operations have not been included, as the acquisition of Idrica was not material to our results of operations for any periods presented.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Heusser</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December 5, 2024, we acquired all issued and outstanding shares of Heusser Water Solutions AG ("Heusser"), a leading distributor and provider of advanced pumping systems and treatment solutions in Switzerland, for $40 million ($35 million, net of cash received). Heusser, a privately-owned company headquartered in Cham, Switzerland, has approximately 90 employees. Our consolidated financial statements include Heusser's results of operations prospectively from December 5, 2024 primarily within the Water Infrastructure segment.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254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r>
      <w:tr>
        <w:trPr>
          <w:trHeight w:val="19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r>
      <w:tr>
        <w:trPr>
          <w:trHeight w:val="22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revenue from contracts with customers by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7"/>
                <w:szCs w:val="17"/>
                <w:color w:val="auto"/>
              </w:rPr>
            </w:pPr>
          </w:p>
        </w:tc>
        <w:tc>
          <w:tcPr>
            <w:tcW w:w="266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197"/>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r>
      <w:tr>
        <w:trPr>
          <w:trHeight w:val="21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120" w:type="dxa"/>
            <w:vAlign w:val="bottom"/>
          </w:tcPr>
          <w:p>
            <w:pPr>
              <w:ind w:left="280"/>
              <w:spacing w:after="0"/>
              <w:rPr>
                <w:sz w:val="20"/>
                <w:szCs w:val="20"/>
                <w:color w:val="auto"/>
              </w:rPr>
            </w:pPr>
            <w:r>
              <w:rPr>
                <w:rFonts w:ascii="Arial" w:cs="Arial" w:eastAsia="Arial" w:hAnsi="Arial"/>
                <w:sz w:val="18"/>
                <w:szCs w:val="18"/>
                <w:color w:val="auto"/>
              </w:rPr>
              <w:t>Transport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730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29"/>
        </w:trPr>
        <w:tc>
          <w:tcPr>
            <w:tcW w:w="5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Treatment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70"/>
        </w:trPr>
        <w:tc>
          <w:tcPr>
            <w:tcW w:w="5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Building Solutions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29"/>
        </w:trPr>
        <w:tc>
          <w:tcPr>
            <w:tcW w:w="5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Industrial Water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70"/>
        </w:trPr>
        <w:tc>
          <w:tcPr>
            <w:tcW w:w="5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Smart Metering and Other</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29"/>
        </w:trPr>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Analytics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70"/>
        </w:trPr>
        <w:tc>
          <w:tcPr>
            <w:tcW w:w="5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Solutions and Services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120" w:type="dxa"/>
            <w:vAlign w:val="bottom"/>
          </w:tcPr>
          <w:p>
            <w:pPr>
              <w:ind w:left="240"/>
              <w:spacing w:after="0"/>
              <w:rPr>
                <w:sz w:val="20"/>
                <w:szCs w:val="20"/>
                <w:color w:val="auto"/>
              </w:rPr>
            </w:pPr>
            <w:r>
              <w:rPr>
                <w:rFonts w:ascii="Arial" w:cs="Arial" w:eastAsia="Arial" w:hAnsi="Arial"/>
                <w:sz w:val="18"/>
                <w:szCs w:val="18"/>
                <w:color w:val="auto"/>
              </w:rPr>
              <w:t>Capital and Other</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29"/>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70"/>
        </w:trPr>
        <w:tc>
          <w:tcPr>
            <w:tcW w:w="5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3,947</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reflects revenue from contracts with customers by geographical region.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254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r>
      <w:tr>
        <w:trPr>
          <w:trHeight w:val="19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r>
      <w:tr>
        <w:trPr>
          <w:trHeight w:val="21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4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4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4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682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Solutions and Services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782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30"/>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54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740" w:hanging="328"/>
        <w:spacing w:after="0" w:line="286"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Emerging Markets includes results from the following regions: Eastern Europe, the Middle East and Africa, Latin America and Asia Pacific (excluding Japan, Australia and New Zealand, which are presented in "Other")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Contract Balances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 The table below provides contract assets, contract liabilities, and significant changes in contract assets and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7"/>
                <w:szCs w:val="17"/>
                <w:color w:val="auto"/>
              </w:rPr>
            </w:pPr>
          </w:p>
        </w:tc>
        <w:tc>
          <w:tcPr>
            <w:tcW w:w="2380" w:type="dxa"/>
            <w:vAlign w:val="bottom"/>
          </w:tcPr>
          <w:p>
            <w:pPr>
              <w:jc w:val="right"/>
              <w:ind w:right="671"/>
              <w:spacing w:after="0"/>
              <w:rPr>
                <w:sz w:val="20"/>
                <w:szCs w:val="20"/>
                <w:color w:val="auto"/>
              </w:rPr>
            </w:pPr>
            <w:r>
              <w:rPr>
                <w:rFonts w:ascii="Arial" w:cs="Arial" w:eastAsia="Arial" w:hAnsi="Arial"/>
                <w:sz w:val="14"/>
                <w:szCs w:val="14"/>
                <w:b w:val="1"/>
                <w:bCs w:val="1"/>
                <w:color w:val="auto"/>
              </w:rPr>
              <w:t>Contract Assets (a)</w:t>
            </w:r>
          </w:p>
        </w:tc>
        <w:tc>
          <w:tcPr>
            <w:tcW w:w="440" w:type="dxa"/>
            <w:vAlign w:val="bottom"/>
          </w:tcPr>
          <w:p>
            <w:pPr>
              <w:spacing w:after="0"/>
              <w:rPr>
                <w:sz w:val="17"/>
                <w:szCs w:val="17"/>
                <w:color w:val="auto"/>
              </w:rPr>
            </w:pPr>
          </w:p>
        </w:tc>
        <w:tc>
          <w:tcPr>
            <w:tcW w:w="2380" w:type="dxa"/>
            <w:vAlign w:val="bottom"/>
          </w:tcPr>
          <w:p>
            <w:pPr>
              <w:jc w:val="right"/>
              <w:ind w:right="671"/>
              <w:spacing w:after="0"/>
              <w:rPr>
                <w:sz w:val="20"/>
                <w:szCs w:val="20"/>
                <w:color w:val="auto"/>
              </w:rPr>
            </w:pPr>
            <w:r>
              <w:rPr>
                <w:rFonts w:ascii="Arial" w:cs="Arial" w:eastAsia="Arial" w:hAnsi="Arial"/>
                <w:sz w:val="14"/>
                <w:szCs w:val="14"/>
                <w:b w:val="1"/>
                <w:bCs w:val="1"/>
                <w:color w:val="auto"/>
              </w:rPr>
              <w:t>Contract Liabilities</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264</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(239)</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Balance at June 30, 2024</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Balance at January 1, 2025</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322</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(227)</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2025</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Excludes receivable balances, which are disclosed on the Condensed Consolidated Balance Sheets</w:t>
      </w:r>
    </w:p>
    <w:p>
      <w:pPr>
        <w:spacing w:after="0" w:line="1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Performance obligations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June 30, 2025, the aggregate amount of the transaction price allocated to performance obligations that are unsatisfied or partially unsatisfied for contracts with performance obligations, amount to $1.8 billion. The Company elects to apply the practical expedient to exclude from this disclosure revenue related to performance obligations that are part of a contract whose original expected duration is less than one year.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Asset Impairment Charges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the three and six months ended June 30, 2025, we incurred restructuring charges of $22 million and $39 million, respectively. The incurred charges primarily related to actions taken to further streamline our organization through simplification efforts in order to strengthen our competitive positioning and ability to better serve our customers.</w:t>
      </w:r>
    </w:p>
    <w:p>
      <w:pPr>
        <w:spacing w:after="0" w:line="63"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color w:val="auto"/>
        </w:rPr>
        <w:t>During the three and six months ended June 30, 2024, we incurred restructuring costs of $23 million and $32 million, respectively. We incurred these charges primarily as a result of our acquisition of Evoqua and our efforts to reposition our businesses to optimize our cost structure, improve our operational efficiency and effectiveness, strengthen our competitive positioning and better serve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 presents the components of restructuring expense and asset impairment charges: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4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97"/>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2024</w:t>
            </w:r>
          </w:p>
        </w:tc>
        <w:tc>
          <w:tcPr>
            <w:tcW w:w="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2024</w:t>
            </w:r>
          </w:p>
        </w:tc>
      </w:tr>
      <w:tr>
        <w:trPr>
          <w:trHeight w:val="211"/>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component: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5520" w:type="dxa"/>
            <w:vAlign w:val="bottom"/>
          </w:tcPr>
          <w:p>
            <w:pPr>
              <w:ind w:left="140"/>
              <w:spacing w:after="0"/>
              <w:rPr>
                <w:sz w:val="20"/>
                <w:szCs w:val="20"/>
                <w:color w:val="auto"/>
              </w:rPr>
            </w:pPr>
            <w:r>
              <w:rPr>
                <w:rFonts w:ascii="Arial" w:cs="Arial" w:eastAsia="Arial" w:hAnsi="Arial"/>
                <w:sz w:val="18"/>
                <w:szCs w:val="18"/>
                <w:color w:val="auto"/>
              </w:rPr>
              <w:t>Severance and other charges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Reversal of restructuring accruals</w:t>
            </w:r>
          </w:p>
        </w:tc>
        <w:tc>
          <w:tcPr>
            <w:tcW w:w="3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costs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charges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By segment: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520" w:type="dxa"/>
            <w:vAlign w:val="bottom"/>
          </w:tcPr>
          <w:p>
            <w:pPr>
              <w:ind w:left="480"/>
              <w:spacing w:after="0"/>
              <w:rPr>
                <w:sz w:val="20"/>
                <w:szCs w:val="20"/>
                <w:color w:val="auto"/>
              </w:rPr>
            </w:pPr>
            <w:r>
              <w:rPr>
                <w:rFonts w:ascii="Arial" w:cs="Arial" w:eastAsia="Arial" w:hAnsi="Arial"/>
                <w:sz w:val="18"/>
                <w:szCs w:val="18"/>
                <w:color w:val="auto"/>
              </w:rPr>
              <w:t>Water Infrastructure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Applied Water</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520" w:type="dxa"/>
            <w:vAlign w:val="bottom"/>
          </w:tcPr>
          <w:p>
            <w:pPr>
              <w:ind w:left="480"/>
              <w:spacing w:after="0"/>
              <w:rPr>
                <w:sz w:val="20"/>
                <w:szCs w:val="20"/>
                <w:color w:val="auto"/>
              </w:rPr>
            </w:pPr>
            <w:r>
              <w:rPr>
                <w:rFonts w:ascii="Arial" w:cs="Arial" w:eastAsia="Arial" w:hAnsi="Arial"/>
                <w:sz w:val="18"/>
                <w:szCs w:val="18"/>
                <w:color w:val="auto"/>
              </w:rPr>
              <w:t>Measurement and Control Solutions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Solutions and Services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7"/>
        </w:trPr>
        <w:tc>
          <w:tcPr>
            <w:tcW w:w="5520" w:type="dxa"/>
            <w:vAlign w:val="bottom"/>
          </w:tcPr>
          <w:p>
            <w:pPr>
              <w:ind w:left="480"/>
              <w:spacing w:after="0"/>
              <w:rPr>
                <w:sz w:val="20"/>
                <w:szCs w:val="20"/>
                <w:color w:val="auto"/>
              </w:rPr>
            </w:pPr>
            <w:r>
              <w:rPr>
                <w:rFonts w:ascii="Arial" w:cs="Arial" w:eastAsia="Arial" w:hAnsi="Arial"/>
                <w:sz w:val="18"/>
                <w:szCs w:val="18"/>
                <w:color w:val="auto"/>
              </w:rPr>
              <w:t>Corporate and other</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166" w:lineRule="exact"/>
        <w:rPr>
          <w:sz w:val="20"/>
          <w:szCs w:val="20"/>
          <w:color w:val="auto"/>
        </w:rPr>
      </w:pPr>
    </w:p>
    <w:p>
      <w:pPr>
        <w:ind w:right="320"/>
        <w:spacing w:after="0" w:line="318" w:lineRule="auto"/>
        <w:rPr>
          <w:sz w:val="20"/>
          <w:szCs w:val="20"/>
          <w:color w:val="auto"/>
        </w:rPr>
      </w:pPr>
      <w:r>
        <w:rPr>
          <w:rFonts w:ascii="Arial" w:cs="Arial" w:eastAsia="Arial" w:hAnsi="Arial"/>
          <w:sz w:val="17"/>
          <w:szCs w:val="17"/>
          <w:color w:val="auto"/>
        </w:rPr>
        <w:t>The following table displays a roll-forward of the restructuring accruals, presented on our Condensed Consolidated Balance Sheets within "Accrued and other current liabilities" and "Other non-current accrued liabilities", for the six months ended June 30, 2025 and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2024</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Restructuring costs,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based compensation expense included within AOCL</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accruals - June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8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Measurement and Control Solutions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Solutions and Services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440" w:type="dxa"/>
            <w:vAlign w:val="bottom"/>
          </w:tcPr>
          <w:p>
            <w:pPr>
              <w:ind w:left="480"/>
              <w:spacing w:after="0"/>
              <w:rPr>
                <w:sz w:val="20"/>
                <w:szCs w:val="20"/>
                <w:color w:val="auto"/>
              </w:rPr>
            </w:pPr>
            <w:r>
              <w:rPr>
                <w:rFonts w:ascii="Arial" w:cs="Arial" w:eastAsia="Arial" w:hAnsi="Arial"/>
                <w:sz w:val="18"/>
                <w:szCs w:val="18"/>
                <w:color w:val="auto"/>
              </w:rPr>
              <w:t>Regional selling locations (a)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 and other</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29" w:lineRule="exact"/>
        <w:rPr>
          <w:sz w:val="20"/>
          <w:szCs w:val="20"/>
          <w:color w:val="auto"/>
        </w:rPr>
      </w:pPr>
    </w:p>
    <w:p>
      <w:pPr>
        <w:ind w:left="340" w:right="180" w:hanging="332"/>
        <w:spacing w:after="0" w:line="304"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and related support services that incurred restructuring expense that was allocated to the segments.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presents expected restructuring spend in 2025 and thereafter: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Water</w:t>
            </w:r>
          </w:p>
        </w:tc>
        <w:tc>
          <w:tcPr>
            <w:tcW w:w="16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Applied Water</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Measurement and</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Water Solutions</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Control Solutions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and Services</w:t>
            </w:r>
          </w:p>
        </w:tc>
        <w:tc>
          <w:tcPr>
            <w:tcW w:w="10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Actions Commenced in</w:t>
            </w:r>
          </w:p>
        </w:tc>
        <w:tc>
          <w:tcPr>
            <w:tcW w:w="1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620" w:type="dxa"/>
            <w:vAlign w:val="bottom"/>
          </w:tcPr>
          <w:p>
            <w:pPr>
              <w:jc w:val="right"/>
              <w:ind w:right="41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Q1 2025</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Costs incurred during Q2 2025</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56"/>
        </w:trPr>
        <w:tc>
          <w:tcPr>
            <w:tcW w:w="26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Actions Commenced in</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Costs incurred in 2024</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Q1 2025</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Costs incurred during Q2 2025</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actions commenced in 2025 consist primarily of severance charges. The actions are expected to continue through the end of 2026.</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actions commenced in 2024 consist primarily of severance and asset impairment charges. The actions are expected to continue through the end of 2025.</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During the second quarter of 2025, we recognized $4 million of impairment charges for internally developed software and software assets within our Measurement and Control Solutions and Corporate segments.</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During the first quarter of 2025, we recognized $4 million of impairment charges for internally developed software within our Water Solutions and Services and Water Infrastructure segments.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2024, we recognized $1 million of impairment charges for internally developed software within Corporate.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 "Goodwill and Other Intangible Assets,"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 Income Taxes</w:t>
      </w:r>
    </w:p>
    <w:p>
      <w:pPr>
        <w:spacing w:after="0" w:line="11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quarterly provision for income taxes is measured using an estimated annual effective tax rate, adjusted for discrete items within the periods presented. The comparison of our effective tax rate between periods is significantly impacted by the level and mix of earnings and losses by tax jurisdiction and discrete items.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income tax provision for the three months ended June 30, 2025 was $75 million resulting in an effective tax rate of 25.0%, compared to a $53 million expense resulting in an effective tax rate of 21.4% for the same period in 2024. The income tax provision for the six months ended June 30, 2025 was $125 million resulting in an effective tax rate of 24.2%, compared to a $96 million expense resulting in an effective tax rate of 21.6% for the same period in 2024. The effective tax rate for the three and six month periods ended June 30, 2025 was higher than the U.S. federal statutory rate primarily due to mix of earnings across different jurisdictions.</w:t>
      </w:r>
    </w:p>
    <w:p>
      <w:pPr>
        <w:spacing w:after="0" w:line="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We are currently assessing its impact on our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2019, Xylem’s Swedish subsidiary received a tax assessment from the Swedish Tax Agency (the "STA") for the 2013 tax year related to the tax treatment of an intercompany transfer of certain intellectual property that was made in connection with a reorganization of our European businesses. Xylem filed an appeal with the Administrative Court of Växjö, which rendered a decision adverse to Xylem in June 2022 for SEK837 million (approximately $88 million), consisting of the full tax assessment amount plus penalties and interest. Xylem appealed this decision with the intermediate appellate court, the Administrative Court of Appeal, and on May 15, 2024, that court rendered a decision in favor of Xylem and also remanded an issue to the trial court for resolution. In June 2024, the STA filed a notice of appeal of this decision to the Supreme Administrative Court, which declined to hear the case and remanded one issue back to the County Administrative Court for further consideration. Management, in consultation with external legal advisors, continues to believe it is more likely than not that Xylem will prevail on the proposed assessment and will continue to vigorously defend our position through this litigation. There can be no assurance that the final determination by the authorities will not be materially different than our position. As of June 30, 2025, we do not have any unrecognized tax benefits related to this tax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7.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net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2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5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2024</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2024</w:t>
            </w:r>
          </w:p>
        </w:tc>
      </w:tr>
      <w:tr>
        <w:trPr>
          <w:trHeight w:val="224"/>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(in millions)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10"/>
        </w:trPr>
        <w:tc>
          <w:tcPr>
            <w:tcW w:w="5880" w:type="dxa"/>
            <w:vAlign w:val="bottom"/>
          </w:tcPr>
          <w:p>
            <w:pPr>
              <w:ind w:left="140"/>
              <w:spacing w:after="0"/>
              <w:rPr>
                <w:sz w:val="20"/>
                <w:szCs w:val="20"/>
                <w:color w:val="auto"/>
              </w:rPr>
            </w:pPr>
            <w:r>
              <w:rPr>
                <w:rFonts w:ascii="Arial" w:cs="Arial" w:eastAsia="Arial" w:hAnsi="Arial"/>
                <w:sz w:val="18"/>
                <w:szCs w:val="18"/>
                <w:color w:val="auto"/>
              </w:rPr>
              <w:t>Shares (in thousands):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243,370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242,538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243,227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242,182</w:t>
            </w:r>
          </w:p>
        </w:tc>
      </w:tr>
      <w:tr>
        <w:trPr>
          <w:trHeight w:val="229"/>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 Participating securities (a)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243,251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242,213</w:t>
            </w:r>
          </w:p>
        </w:tc>
      </w:tr>
      <w:tr>
        <w:trPr>
          <w:trHeight w:val="229"/>
        </w:trPr>
        <w:tc>
          <w:tcPr>
            <w:tcW w:w="5880" w:type="dxa"/>
            <w:vAlign w:val="bottom"/>
          </w:tcPr>
          <w:p>
            <w:pPr>
              <w:ind w:left="140"/>
              <w:spacing w:after="0"/>
              <w:rPr>
                <w:sz w:val="20"/>
                <w:szCs w:val="20"/>
                <w:color w:val="auto"/>
              </w:rPr>
            </w:pPr>
            <w:r>
              <w:rPr>
                <w:rFonts w:ascii="Arial" w:cs="Arial" w:eastAsia="Arial" w:hAnsi="Arial"/>
                <w:sz w:val="18"/>
                <w:szCs w:val="18"/>
                <w:color w:val="auto"/>
              </w:rPr>
              <w:t>Plus incremental shares from assumed conversions: (b)</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options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r>
      <w:tr>
        <w:trPr>
          <w:trHeight w:val="223"/>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243,859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243,538</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243,820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243,279</w:t>
            </w:r>
          </w:p>
        </w:tc>
      </w:tr>
      <w:tr>
        <w:trPr>
          <w:trHeight w:val="223"/>
        </w:trPr>
        <w:tc>
          <w:tcPr>
            <w:tcW w:w="5880" w:type="dxa"/>
            <w:vAlign w:val="bottom"/>
          </w:tcPr>
          <w:p>
            <w:pPr>
              <w:ind w:left="14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0.93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bl>
    <w:p>
      <w:pPr>
        <w:spacing w:after="0" w:line="242" w:lineRule="exact"/>
        <w:rPr>
          <w:sz w:val="20"/>
          <w:szCs w:val="20"/>
          <w:color w:val="auto"/>
        </w:rPr>
      </w:pPr>
    </w:p>
    <w:p>
      <w:pPr>
        <w:ind w:left="340" w:right="180" w:hanging="332"/>
        <w:spacing w:after="0" w:line="286"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Restricted stock units containing rights to non-forfeitable dividends that participate in undistributed earnings with common stockholders are considered participating securities for purposes of computing earnings per share.</w:t>
      </w:r>
    </w:p>
    <w:p>
      <w:pPr>
        <w:spacing w:after="0" w:line="47" w:lineRule="exact"/>
        <w:rPr>
          <w:rFonts w:ascii="Arial" w:cs="Arial" w:eastAsia="Arial" w:hAnsi="Arial"/>
          <w:sz w:val="16"/>
          <w:szCs w:val="16"/>
          <w:color w:val="auto"/>
        </w:rPr>
      </w:pPr>
    </w:p>
    <w:p>
      <w:pPr>
        <w:ind w:left="340" w:right="40" w:hanging="332"/>
        <w:spacing w:after="0" w:line="262"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15, "Share-Based Compensation Plans," to the condensed consolidated financial statements for further detail on the performance share units.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76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100" w:type="dxa"/>
            <w:vAlign w:val="bottom"/>
          </w:tcPr>
          <w:p>
            <w:pPr>
              <w:jc w:val="right"/>
              <w:ind w:right="45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ind w:right="455"/>
              <w:spacing w:after="0"/>
              <w:rPr>
                <w:sz w:val="20"/>
                <w:szCs w:val="20"/>
                <w:color w:val="auto"/>
              </w:rPr>
            </w:pPr>
            <w:r>
              <w:rPr>
                <w:rFonts w:ascii="Arial" w:cs="Arial" w:eastAsia="Arial" w:hAnsi="Arial"/>
                <w:sz w:val="14"/>
                <w:szCs w:val="14"/>
                <w:color w:val="auto"/>
              </w:rPr>
              <w:t>2024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9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415"/>
              <w:spacing w:after="0"/>
              <w:rPr>
                <w:sz w:val="20"/>
                <w:szCs w:val="20"/>
                <w:color w:val="auto"/>
              </w:rPr>
            </w:pPr>
            <w:r>
              <w:rPr>
                <w:rFonts w:ascii="Arial" w:cs="Arial" w:eastAsia="Arial" w:hAnsi="Arial"/>
                <w:sz w:val="14"/>
                <w:szCs w:val="14"/>
                <w:color w:val="auto"/>
              </w:rPr>
              <w:t>2024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1,006</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936</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gridSpan w:val="2"/>
          </w:tcPr>
          <w:p>
            <w:pPr>
              <w:ind w:left="140"/>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Performance share units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1"/>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Note 8. Inventories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340" w:type="dxa"/>
            <w:vAlign w:val="bottom"/>
            <w:gridSpan w:val="2"/>
          </w:tcPr>
          <w:p>
            <w:pPr>
              <w:spacing w:after="0"/>
              <w:rPr>
                <w:sz w:val="20"/>
                <w:szCs w:val="20"/>
                <w:color w:val="auto"/>
              </w:rPr>
            </w:pPr>
            <w:r>
              <w:rPr>
                <w:rFonts w:ascii="Arial" w:cs="Arial" w:eastAsia="Arial" w:hAnsi="Arial"/>
                <w:sz w:val="18"/>
                <w:szCs w:val="18"/>
                <w:color w:val="auto"/>
              </w:rPr>
              <w:t>The components of total inventories are summarized as follows: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3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5340" w:type="dxa"/>
            <w:vAlign w:val="bottom"/>
            <w:tcBorders>
              <w:bottom w:val="single" w:sz="8" w:color="CCEEFF"/>
            </w:tcBorders>
            <w:gridSpan w:val="2"/>
            <w:vMerge w:val="continue"/>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2024</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5340" w:type="dxa"/>
            <w:vAlign w:val="bottom"/>
            <w:gridSpan w:val="2"/>
          </w:tcPr>
          <w:p>
            <w:pPr>
              <w:ind w:left="140"/>
              <w:spacing w:after="0"/>
              <w:rPr>
                <w:sz w:val="20"/>
                <w:szCs w:val="20"/>
                <w:color w:val="auto"/>
              </w:rPr>
            </w:pPr>
            <w:r>
              <w:rPr>
                <w:rFonts w:ascii="Arial" w:cs="Arial" w:eastAsia="Arial" w:hAnsi="Arial"/>
                <w:sz w:val="18"/>
                <w:szCs w:val="18"/>
                <w:color w:val="auto"/>
              </w:rPr>
              <w:t>Work in process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Raw materials</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3"/>
        </w:trPr>
        <w:tc>
          <w:tcPr>
            <w:tcW w:w="5340" w:type="dxa"/>
            <w:vAlign w:val="bottom"/>
            <w:gridSpan w:val="2"/>
          </w:tcPr>
          <w:p>
            <w:pPr>
              <w:ind w:left="360"/>
              <w:spacing w:after="0"/>
              <w:rPr>
                <w:sz w:val="20"/>
                <w:szCs w:val="20"/>
                <w:color w:val="auto"/>
              </w:rPr>
            </w:pPr>
            <w:r>
              <w:rPr>
                <w:rFonts w:ascii="Arial" w:cs="Arial" w:eastAsia="Arial" w:hAnsi="Arial"/>
                <w:sz w:val="18"/>
                <w:szCs w:val="18"/>
                <w:color w:val="auto"/>
              </w:rPr>
              <w:t>Total inventories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1,071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9. Goodwill and Other Intangible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for the six months ended June 30, 2025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Measurement and</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Water Solutions</w:t>
            </w:r>
          </w:p>
        </w:tc>
        <w:tc>
          <w:tcPr>
            <w:tcW w:w="340" w:type="dxa"/>
            <w:vAlign w:val="bottom"/>
          </w:tcPr>
          <w:p>
            <w:pPr>
              <w:spacing w:after="0"/>
              <w:rPr>
                <w:sz w:val="14"/>
                <w:szCs w:val="14"/>
                <w:color w:val="auto"/>
              </w:rPr>
            </w:pPr>
          </w:p>
        </w:tc>
        <w:tc>
          <w:tcPr>
            <w:tcW w:w="9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Control Solutions</w:t>
            </w:r>
          </w:p>
        </w:tc>
        <w:tc>
          <w:tcPr>
            <w:tcW w:w="140" w:type="dxa"/>
            <w:vAlign w:val="bottom"/>
          </w:tcPr>
          <w:p>
            <w:pPr>
              <w:spacing w:after="0"/>
              <w:rPr>
                <w:sz w:val="16"/>
                <w:szCs w:val="16"/>
                <w:color w:val="auto"/>
              </w:rPr>
            </w:pPr>
          </w:p>
        </w:tc>
        <w:tc>
          <w:tcPr>
            <w:tcW w:w="1100" w:type="dxa"/>
            <w:vAlign w:val="bottom"/>
          </w:tcPr>
          <w:p>
            <w:pPr>
              <w:jc w:val="right"/>
              <w:ind w:right="95"/>
              <w:spacing w:after="0"/>
              <w:rPr>
                <w:sz w:val="20"/>
                <w:szCs w:val="20"/>
                <w:color w:val="auto"/>
              </w:rPr>
            </w:pPr>
            <w:r>
              <w:rPr>
                <w:rFonts w:ascii="Arial" w:cs="Arial" w:eastAsia="Arial" w:hAnsi="Arial"/>
                <w:sz w:val="14"/>
                <w:szCs w:val="14"/>
                <w:b w:val="1"/>
                <w:bCs w:val="1"/>
                <w:color w:val="auto"/>
              </w:rPr>
              <w:t>and Services</w:t>
            </w: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Balance as of January 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2,835</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7,980</w:t>
            </w: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i w:val="1"/>
                <w:iCs w:val="1"/>
                <w:color w:val="auto"/>
              </w:rPr>
              <w:t>Activity in 2025</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3"/>
        </w:trPr>
        <w:tc>
          <w:tcPr>
            <w:tcW w:w="4220" w:type="dxa"/>
            <w:vAlign w:val="bottom"/>
          </w:tcPr>
          <w:p>
            <w:pPr>
              <w:ind w:left="140"/>
              <w:spacing w:after="0"/>
              <w:rPr>
                <w:sz w:val="20"/>
                <w:szCs w:val="20"/>
                <w:color w:val="auto"/>
              </w:rPr>
            </w:pPr>
            <w:r>
              <w:rPr>
                <w:rFonts w:ascii="Arial" w:cs="Arial" w:eastAsia="Arial" w:hAnsi="Arial"/>
                <w:sz w:val="18"/>
                <w:szCs w:val="18"/>
                <w:b w:val="1"/>
                <w:bCs w:val="1"/>
                <w:color w:val="auto"/>
              </w:rPr>
              <w:t>Balance as of June 30, 2025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2,858</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8,237</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December 31, 2024</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1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24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2"/>
                <w:szCs w:val="12"/>
                <w:color w:val="auto"/>
              </w:rPr>
            </w:pPr>
          </w:p>
        </w:tc>
        <w:tc>
          <w:tcPr>
            <w:tcW w:w="114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2"/>
                <w:szCs w:val="12"/>
                <w:color w:val="auto"/>
              </w:rPr>
            </w:pPr>
          </w:p>
        </w:tc>
        <w:tc>
          <w:tcPr>
            <w:tcW w:w="122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2"/>
                <w:szCs w:val="12"/>
                <w:color w:val="auto"/>
              </w:rPr>
            </w:pPr>
          </w:p>
        </w:tc>
        <w:tc>
          <w:tcPr>
            <w:tcW w:w="1060" w:type="dxa"/>
            <w:vAlign w:val="bottom"/>
          </w:tcPr>
          <w:p>
            <w:pPr>
              <w:jc w:val="right"/>
              <w:ind w:right="434"/>
              <w:spacing w:after="0" w:line="147"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85"/>
        </w:trPr>
        <w:tc>
          <w:tcPr>
            <w:tcW w:w="3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Intangibles</w:t>
            </w: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6"/>
                <w:szCs w:val="16"/>
                <w:color w:val="auto"/>
              </w:rPr>
            </w:pPr>
          </w:p>
        </w:tc>
        <w:tc>
          <w:tcPr>
            <w:tcW w:w="1060" w:type="dxa"/>
            <w:vAlign w:val="bottom"/>
          </w:tcPr>
          <w:p>
            <w:pPr>
              <w:jc w:val="right"/>
              <w:ind w:right="19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56"/>
        </w:trPr>
        <w:tc>
          <w:tcPr>
            <w:tcW w:w="30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Customer and distributor</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2,185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(656)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1,529</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22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Indefinite-lived intangibles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Amortization expense related to finite-lived intangible assets was $76 million and $153 million for the three and six-month periods ended June 30, 2025, respectively. Amortization expense related to finite-lived intangible assets was $83 million and $156 million for the three and six-month periods ended June 30, 2024, respectively.</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During the second quarter of 2025, we recognized a $2 million impairment charge for internally developed software within our Measurement and Control Solutions segment and a $2 million impairment charge for software within our Corporate segment.</w:t>
      </w:r>
    </w:p>
    <w:p>
      <w:pPr>
        <w:spacing w:after="0" w:line="4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During the first quarter of 2025, we recognized $1 million and $3 million impairment charges for internally developed software within our Water Infrastructure and Water Solutions and Services segments, respectively.</w:t>
      </w:r>
    </w:p>
    <w:p>
      <w:pPr>
        <w:spacing w:after="0" w:line="45"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During the second quarter of 2024, we recognized a $13 million impairment charge primarily related to customer relationships and trademarks due to restructuring actions within our Water Solutions and Services segment.</w:t>
      </w:r>
    </w:p>
    <w:p>
      <w:pPr>
        <w:spacing w:after="0" w:line="45"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During the first quarter of 2024, we recognized a $1 million impairment charge for internally developed software within our Corporate segment.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also reduce the volatility in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6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for which we enter into cash flow hedges relate to the Euro, Swedish Krona, British Pound, Canadian Dollar, Polish Zloty, and Australian Dollar. We had foreign exchange contracts with purchased notional amounts totaling $365 million and $657 million as of June 30, 2025 and December 31, 2024, respectively. As of June 30, 2025, our most significant foreign currency derivatives included contracts to sell U.S. Dollar and purchase Euro, purchase Swedish Krona and sell Euro, sell British Pound and purchase Euro, sell Canadian Dollar and purchase Euro, sell Canadian Dollar and purchase U.S. Dollar, purchase Polish Zloty and sell Euro, and sell Australian Dollar and purchase Euro. The purchased notional amounts associated with these currency derivatives are $143 million, $97 million, $53 million, $24 million, $20 million, $15 million, and $13 million, respectively. As of December 31, 2024, our most significant foreign currency derivatives included contracts to sell U.S. Dollar and purchase Euro, purchase Swedish Krona and sell Euro, sell British Pound and purchase Euro, sell Canadian Dollar and purchase Euro, sell Canadian Dollar and purchase U.S. Dollar, purchase Polish Zloty and sell Euro, and sell Australian Dollar and purchase Euro. The purchased notional amounts associated with these currency derivatives are $258 million, $169 million, $90 million, $42 million, $40 million, $34 million, and $24 million,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Beginning in 2015, we entered into cross-currency swaps to manage our exposure to fluctuations in the Euro-U.S. Dollar exchange rate. During the second quarter of 2019, third quarter of 2020, and second quarter of 2022 we entered into additional cross-currency swaps. The total notional amount of derivative instruments designated as net investment hedges was $3,156 million and $2,181 million as of June 30, 2025 and December 31, 2024, respectively.</w:t>
      </w:r>
    </w:p>
    <w:p>
      <w:pPr>
        <w:spacing w:after="0" w:line="6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 May 2025, we completed a transaction to effectively amend and extend the cross-currency swaps maturing in July 2031. The liability position of the existing cross-currency swaps was blended into a new cross-currency swap agreement with a notional amount of $1,200 million maturing in January 2032.</w:t>
      </w:r>
    </w:p>
    <w:p>
      <w:pPr>
        <w:spacing w:after="0" w:line="63"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In February 2025, we completed a transaction to effectively amend and extend the cross-currency swaps maturing in January 2028. The liability position of the existing cross-currency swaps was blended into a new cross-currency swap agreement with a notional amount of $509 million maturing in July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3" w:right="399" w:bottom="1440" w:gutter="0" w:footer="0" w:header="0"/>
        </w:sectPr>
      </w:pPr>
    </w:p>
    <w:bookmarkStart w:id="21" w:name="page22"/>
    <w:bookmarkEnd w:id="21"/>
    <w:p>
      <w:pPr>
        <w:ind w:right="120"/>
        <w:spacing w:after="0" w:line="268" w:lineRule="auto"/>
        <w:rPr>
          <w:sz w:val="20"/>
          <w:szCs w:val="20"/>
          <w:color w:val="auto"/>
        </w:rPr>
      </w:pPr>
      <w:r>
        <w:rPr>
          <w:rFonts w:ascii="Arial" w:cs="Arial" w:eastAsia="Arial" w:hAnsi="Arial"/>
          <w:sz w:val="18"/>
          <w:szCs w:val="18"/>
          <w:color w:val="auto"/>
        </w:rPr>
        <w:t>The table below presents the effect of our derivative financial instruments on the Condensed Consolidated Income Statements and Statements of Comprehensive Income. Items in the table below reflect changes in "Other comprehensive income (loss)" ("OCI/L") within the Statements of Comprehensive Income: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20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r>
      <w:tr>
        <w:trPr>
          <w:trHeight w:val="197"/>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2024</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2024</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in Cash Flow Hedges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gain (loss) recognized in OCL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Amount of loss reclassified from OCL into Revenue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(gain) reclassified from OCL into Cost of revenue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Net Investment Hedges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b w:val="1"/>
                <w:bCs w:val="1"/>
                <w:color w:val="auto"/>
              </w:rPr>
              <w:t>Cross-Currency Swaps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(loss) gain recognized in OCL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7"/>
        </w:trPr>
        <w:tc>
          <w:tcPr>
            <w:tcW w:w="6400" w:type="dxa"/>
            <w:vAlign w:val="bottom"/>
          </w:tcPr>
          <w:p>
            <w:pPr>
              <w:ind w:left="240"/>
              <w:spacing w:after="0"/>
              <w:rPr>
                <w:sz w:val="20"/>
                <w:szCs w:val="20"/>
                <w:color w:val="auto"/>
              </w:rPr>
            </w:pPr>
            <w:r>
              <w:rPr>
                <w:rFonts w:ascii="Arial" w:cs="Arial" w:eastAsia="Arial" w:hAnsi="Arial"/>
                <w:sz w:val="18"/>
                <w:szCs w:val="18"/>
                <w:color w:val="auto"/>
              </w:rPr>
              <w:t>Amount of income recognized in Interest expense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$17 million of net gains on cash flow hedges are expected to be reclassified into earnings in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no gains or losses on the net investment hedges are expected to be reclassified into earnings over their duration.</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480" w:type="dxa"/>
            <w:vAlign w:val="bottom"/>
          </w:tcPr>
          <w:p>
            <w:pPr>
              <w:jc w:val="right"/>
              <w:ind w:right="336"/>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77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Cash Flow Hedges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Net Investment Hedges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i w:val="1"/>
                <w:iCs w:val="1"/>
                <w:color w:val="auto"/>
              </w:rPr>
              <w:t>Cash Flow Hedges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i w:val="1"/>
                <w:iCs w:val="1"/>
                <w:color w:val="auto"/>
              </w:rPr>
              <w:t>Net Investment Hedges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accrued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11.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Customer-related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warranty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facilitates the opportunity for suppliers to participate in voluntary supply chain financing programs with third-party financial institutions. Xylem agrees on commercial terms, including payment terms, with suppliers regardless of program participation. The Company does not determine the terms or conditions of the arrangement between suppliers and the third-party financial institutions. Participating suppliers are paid directly by the third-party financial institution. Xylem pays the third-party financial institution the stated amount of confirmed invoices from its designated suppliers at the original invoice amount on the original maturity dates of the invoices, ranging from 45 to 180 days. Xylem does not pay fees related to these programs. Xylem or the third-party financial institutions may terminate the agreements upon at least 30 days’ notice. The total outstanding balance presented within "Accounts payable" on our Condensed Consolidated Balance Sheets under these programs is $278 million and $250 million as of June 30, 2025 and December 31, 2024, respectively.</w:t>
      </w:r>
    </w:p>
    <w:p>
      <w:pPr>
        <w:spacing w:after="0" w:line="7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table below provides changes in the confirmed obligations outstanding related to our supplier financing programs over the six months ended June 30, 2025:</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1193"/>
              <w:spacing w:after="0"/>
              <w:rPr>
                <w:sz w:val="20"/>
                <w:szCs w:val="20"/>
                <w:color w:val="auto"/>
              </w:rPr>
            </w:pPr>
            <w:r>
              <w:rPr>
                <w:rFonts w:ascii="Arial" w:cs="Arial" w:eastAsia="Arial" w:hAnsi="Arial"/>
                <w:sz w:val="14"/>
                <w:szCs w:val="14"/>
                <w:b w:val="1"/>
                <w:bCs w:val="1"/>
                <w:color w:val="auto"/>
              </w:rPr>
              <w:t>2025</w:t>
            </w:r>
          </w:p>
        </w:tc>
      </w:tr>
      <w:tr>
        <w:trPr>
          <w:trHeight w:val="257"/>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Confirmed obligations outstanding – January 1</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r>
      <w:tr>
        <w:trPr>
          <w:trHeight w:val="256"/>
        </w:trPr>
        <w:tc>
          <w:tcPr>
            <w:tcW w:w="8360" w:type="dxa"/>
            <w:vAlign w:val="bottom"/>
          </w:tcPr>
          <w:p>
            <w:pPr>
              <w:ind w:left="140"/>
              <w:spacing w:after="0"/>
              <w:rPr>
                <w:sz w:val="20"/>
                <w:szCs w:val="20"/>
                <w:color w:val="auto"/>
              </w:rPr>
            </w:pPr>
            <w:r>
              <w:rPr>
                <w:rFonts w:ascii="Arial" w:cs="Arial" w:eastAsia="Arial" w:hAnsi="Arial"/>
                <w:sz w:val="18"/>
                <w:szCs w:val="18"/>
                <w:color w:val="auto"/>
              </w:rPr>
              <w:t>Invoices confirmed</w:t>
            </w:r>
          </w:p>
        </w:tc>
        <w:tc>
          <w:tcPr>
            <w:tcW w:w="700" w:type="dxa"/>
            <w:vAlign w:val="bottom"/>
          </w:tcPr>
          <w:p>
            <w:pPr>
              <w:spacing w:after="0"/>
              <w:rPr>
                <w:sz w:val="22"/>
                <w:szCs w:val="22"/>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523</w:t>
            </w:r>
          </w:p>
        </w:tc>
      </w:tr>
      <w:tr>
        <w:trPr>
          <w:trHeight w:val="257"/>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Confirmed invoices paid</w:t>
            </w:r>
          </w:p>
        </w:tc>
        <w:tc>
          <w:tcPr>
            <w:tcW w:w="700" w:type="dxa"/>
            <w:vAlign w:val="bottom"/>
            <w:shd w:val="clear" w:color="auto" w:fill="CCEEFF"/>
          </w:tcPr>
          <w:p>
            <w:pPr>
              <w:spacing w:after="0"/>
              <w:rPr>
                <w:sz w:val="22"/>
                <w:szCs w:val="22"/>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r>
      <w:tr>
        <w:trPr>
          <w:trHeight w:val="256"/>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7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Confirmed obligations outstanding – June 30</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12. Credit Facilities and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debt outstanding is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20" w:type="dxa"/>
            <w:vAlign w:val="bottom"/>
          </w:tcPr>
          <w:p>
            <w:pPr>
              <w:jc w:val="right"/>
              <w:ind w:right="17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3.250% Senior Notes due 2026 (a)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1.950% Senior Notes due 2028 (a)</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2.250% Senior Notes due 2031 (a)</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4.375% Senior Notes due 2046 (a)</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 Financing due 2025 to 2032</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and unamortized discount (b)</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40" w:hanging="332"/>
        <w:spacing w:after="0" w:line="260" w:lineRule="auto"/>
        <w:tabs>
          <w:tab w:leader="none" w:pos="33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2026 was $492 million and $488 million as of June 30, 2025 and December 31, 2024, respectively. The fair value of our Senior Notes due 2028 was $472 million and $459 million as of June 30, 2025 and December 31, 2024, respectively. The fair value of our Senior Notes due 2031 was $443 million and $427 million as of June 30, 2025 and December 31, 2024, respectively. The fair value of our Senior Notes due 2046 was $325 million and $327 million as of June 30, 2025 and December 31, 2024, respectively.</w:t>
      </w:r>
    </w:p>
    <w:p>
      <w:pPr>
        <w:spacing w:after="0" w:line="83" w:lineRule="exact"/>
        <w:rPr>
          <w:rFonts w:ascii="Arial" w:cs="Arial" w:eastAsia="Arial" w:hAnsi="Arial"/>
          <w:sz w:val="16"/>
          <w:szCs w:val="16"/>
          <w:color w:val="auto"/>
        </w:rPr>
      </w:pPr>
    </w:p>
    <w:p>
      <w:pPr>
        <w:ind w:left="340" w:right="480" w:hanging="332"/>
        <w:spacing w:after="0" w:line="266" w:lineRule="auto"/>
        <w:tabs>
          <w:tab w:leader="none" w:pos="33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Interest on the Green Bond is payable on January 30 and July 30 of each year. As of June 30, 2025, we are in compliance with all covenants for the Green Bond.</w:t>
      </w:r>
    </w:p>
    <w:p>
      <w:pPr>
        <w:spacing w:after="0" w:line="4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2026, the “Senior Notes”).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300"/>
        <w:spacing w:after="0" w:line="287"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Interest on the Senior Notes due 2026 and the Senior Notes due 2046 is payable on May 1 and November 1 of each year. As of June 30, 2025, we are in compliance with all covenants for the Senior Notes.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Five-Year Revolving Credit Facility</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March 1, 2023, Xylem entered into a five-year revolving credit facility (the "2023 Credit Facility") with Citibank, N.A., as Administrative Agent, and a syndicate of lenders. The 2023 Credit Facility provides for an aggregate principal amount of up to $1 billion (available in U.S. Dollars and in Euros), with increases of up to $300 million for a maximum aggregate principal amount of $1.3 billion at the request of Xylem and with the consent of the institutions providing such increased commitments.</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on all loans under the 2023 Credit Facility is payable either quarterly or at the expiration of any Term SOFR or EURIBOR interest period applicable thereto. Borrowings accrue interest at a rate equal to, at Xylem's election, a base rate or an adjusted Term SOFR or EURIBOR rate plus an applicable margin. The 2023 Credit Facility includes customary provisions for implementation of replacement rates for Term SOFR-based and EURIBOR-based loans. The 2023 Credit Facility also includes a pricing grid that determines the applicable margin based on Xylem's credit rating, with a further adjustment based on Xylem's achievement of certain Environmental, Social and Governance ("ESG") key performance indicators. Xylem will also pay quarterly fees to each lender for such lender's commitment to lend accruing on such commitment at a rate based on Xylem's credit rating, whether such commitment is used or unused, as well as a quarterly letter of credit fee accruing on the letter of credit exposure of such lender during the preceding quarter at a rate based on the credit rating of Xylem with a further adjustment based on Xylem's achievement of certain ESG key performance indicators.</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2023 Credit Facility requires that Xylem maintain a consolidated total debt to consolidated EBITDA ratio (or maximum leverage ratio), which will be based on the last four fiscal quarters. In accordance with the terms of the agreement to the 2023 Credit Facility, Xylem may not exceed a maximum leverage ratio of 4.00 to 1.00 for a period of four consecutive fiscal quarters beginning with the fiscal quarter during which a material acquisition is consummated and a maximum leverage ratio of 3.50 to 1.00 thereafter for a minimum of four fiscal quarters before another material acquisition is consummated. In addition, the 2023 Credit Facility contains a number of customary covenants, including limitations on the incurrence of secured debt and debt of subsidiaries, liens, sale and lease-back transactions, mergers, consolidations, liquidations, dissolutions and sales of assets. The 2023 Credit Facility also contains customary events of default. Finally, Xylem has the ability to designate subsidiaries that can borrow under the 2023 Credit Facility, subject to certain requirements and conditions set forth in the 2023 Credit Facility. As of June 30, 2025, the 2023 Credit Facility was undrawn, and we are in compliance with all revolver covenants. The 2023 Credit Facility has availability of $1 billion, comprised of the $1 billion aggregate principal as of June 30, 2025.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Financing</w:t>
      </w:r>
    </w:p>
    <w:p>
      <w:pPr>
        <w:spacing w:after="0" w:line="11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has secured financing agreements that require providing a security interest in specified equipment and, in some cases, the underlying contract and related receivables. As of June 30, 2025, the gross and net amounts of those assets are included on the Consolidated Balance Sheets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 2025</w:t>
            </w:r>
          </w:p>
        </w:tc>
        <w:tc>
          <w:tcPr>
            <w:tcW w:w="1120" w:type="dxa"/>
            <w:vAlign w:val="bottom"/>
            <w:tcBorders>
              <w:bottom w:val="single" w:sz="8" w:color="auto"/>
            </w:tcBorders>
          </w:tcPr>
          <w:p>
            <w:pPr>
              <w:spacing w:after="0"/>
              <w:rPr>
                <w:sz w:val="20"/>
                <w:szCs w:val="20"/>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9"/>
                <w:szCs w:val="19"/>
                <w:color w:val="auto"/>
              </w:rPr>
            </w:pP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Gross</w:t>
            </w:r>
          </w:p>
        </w:tc>
        <w:tc>
          <w:tcPr>
            <w:tcW w:w="600" w:type="dxa"/>
            <w:vAlign w:val="bottom"/>
          </w:tcPr>
          <w:p>
            <w:pPr>
              <w:spacing w:after="0"/>
              <w:rPr>
                <w:sz w:val="19"/>
                <w:szCs w:val="19"/>
                <w:color w:val="auto"/>
              </w:rPr>
            </w:pPr>
          </w:p>
        </w:tc>
        <w:tc>
          <w:tcPr>
            <w:tcW w:w="1120" w:type="dxa"/>
            <w:vAlign w:val="bottom"/>
          </w:tcPr>
          <w:p>
            <w:pPr>
              <w:jc w:val="right"/>
              <w:ind w:right="630"/>
              <w:spacing w:after="0"/>
              <w:rPr>
                <w:sz w:val="20"/>
                <w:szCs w:val="20"/>
                <w:color w:val="auto"/>
              </w:rPr>
            </w:pPr>
            <w:r>
              <w:rPr>
                <w:rFonts w:ascii="Arial" w:cs="Arial" w:eastAsia="Arial" w:hAnsi="Arial"/>
                <w:sz w:val="18"/>
                <w:szCs w:val="18"/>
                <w:b w:val="1"/>
                <w:bCs w:val="1"/>
                <w:color w:val="auto"/>
              </w:rPr>
              <w:t>Net</w:t>
            </w:r>
          </w:p>
        </w:tc>
      </w:tr>
      <w:tr>
        <w:trPr>
          <w:trHeight w:val="223"/>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48"/>
        </w:trPr>
        <w:tc>
          <w:tcPr>
            <w:tcW w:w="7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As of June 30, 2025 the future maturities of our debt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Maturity</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From July 1, 2025 through December 31, 2025</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2028</w:t>
            </w:r>
          </w:p>
        </w:tc>
        <w:tc>
          <w:tcPr>
            <w:tcW w:w="4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4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Maturities</w:t>
            </w:r>
          </w:p>
        </w:tc>
        <w:tc>
          <w:tcPr>
            <w:tcW w:w="4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 and unamortized discount (a)</w:t>
            </w: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right="300" w:hanging="332"/>
        <w:spacing w:after="0" w:line="286" w:lineRule="auto"/>
        <w:tabs>
          <w:tab w:leader="none" w:pos="25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debt issuance costs and unamortized discount is recognized as a reduction in the carrying value of the Senior Notes in the Consolidated Balance Sheets and is being amortized to interest expense in our Consolidated Income Statements over the expected remaining terms of the Senior Notes.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1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$1 billion inclusive of the 2023 Credit Facility. As of June 30, 2025 and December 31, 2024, none of the Company's $600 million U.S. Dollar commercial paper program was outstanding,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1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On June 3, 2019, Xylem entered into a Euro commercial paper program with ING Bank N.V., as administrative agent, and a syndicate of dealers. The Euro commercial paper program provides for a maximum issuing balance of up to €500 million (approximately $586 million) which may be denominated in a variety of currencies. The maximum issuing balance may be increased in accordance with the Dealer Agreement. As of June 30, 2025 and December 31, 2024, none of the Company's Euro commercial paper program was outstanding. We have the ability to continue borrowing under this program going forward in future periods.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Post-retirement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7"/>
                <w:szCs w:val="17"/>
                <w:color w:val="auto"/>
              </w:rPr>
            </w:pPr>
          </w:p>
        </w:tc>
        <w:tc>
          <w:tcPr>
            <w:tcW w:w="24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196"/>
        </w:trPr>
        <w:tc>
          <w:tcPr>
            <w:tcW w:w="55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2024</w:t>
            </w:r>
          </w:p>
        </w:tc>
      </w:tr>
      <w:tr>
        <w:trPr>
          <w:trHeight w:val="212"/>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center"/>
              <w:ind w:left="674"/>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99"/>
              </w:rPr>
              <w:t>1</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center"/>
              <w:ind w:left="674"/>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center"/>
              <w:ind w:left="632"/>
              <w:spacing w:after="0"/>
              <w:rPr>
                <w:sz w:val="20"/>
                <w:szCs w:val="20"/>
                <w:color w:val="auto"/>
              </w:rPr>
            </w:pPr>
            <w:r>
              <w:rPr>
                <w:rFonts w:ascii="Arial" w:cs="Arial" w:eastAsia="Arial" w:hAnsi="Arial"/>
                <w:sz w:val="18"/>
                <w:szCs w:val="18"/>
                <w:color w:val="auto"/>
                <w:w w:val="99"/>
              </w:rPr>
              <w:t>2</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74"/>
              <w:spacing w:after="0"/>
              <w:rPr>
                <w:sz w:val="20"/>
                <w:szCs w:val="20"/>
                <w:color w:val="auto"/>
              </w:rPr>
            </w:pPr>
            <w:r>
              <w:rPr>
                <w:rFonts w:ascii="Arial" w:cs="Arial" w:eastAsia="Arial" w:hAnsi="Arial"/>
                <w:sz w:val="18"/>
                <w:szCs w:val="18"/>
                <w:b w:val="1"/>
                <w:bCs w:val="1"/>
                <w:color w:val="auto"/>
                <w:w w:val="99"/>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99"/>
              </w:rPr>
              <w:t>(3)</w:t>
            </w:r>
          </w:p>
        </w:tc>
      </w:tr>
      <w:tr>
        <w:trPr>
          <w:trHeight w:val="230"/>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674"/>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632"/>
              <w:spacing w:after="0"/>
              <w:rPr>
                <w:sz w:val="20"/>
                <w:szCs w:val="20"/>
                <w:color w:val="auto"/>
              </w:rPr>
            </w:pPr>
            <w:r>
              <w:rPr>
                <w:rFonts w:ascii="Arial" w:cs="Arial" w:eastAsia="Arial" w:hAnsi="Arial"/>
                <w:sz w:val="18"/>
                <w:szCs w:val="18"/>
                <w:color w:val="auto"/>
                <w:w w:val="99"/>
              </w:rPr>
              <w:t>1</w:t>
            </w:r>
          </w:p>
        </w:tc>
      </w:tr>
      <w:tr>
        <w:trPr>
          <w:trHeight w:val="223"/>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center"/>
              <w:ind w:left="674"/>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99"/>
              </w:rPr>
              <w:t>1</w:t>
            </w:r>
          </w:p>
        </w:tc>
      </w:tr>
      <w:tr>
        <w:trPr>
          <w:trHeight w:val="210"/>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center"/>
              <w:ind w:left="674"/>
              <w:spacing w:after="0"/>
              <w:rPr>
                <w:sz w:val="20"/>
                <w:szCs w:val="20"/>
                <w:color w:val="auto"/>
              </w:rPr>
            </w:pPr>
            <w:r>
              <w:rPr>
                <w:rFonts w:ascii="Arial" w:cs="Arial" w:eastAsia="Arial" w:hAnsi="Arial"/>
                <w:sz w:val="18"/>
                <w:szCs w:val="18"/>
                <w:b w:val="1"/>
                <w:bCs w:val="1"/>
                <w:color w:val="auto"/>
                <w:w w:val="99"/>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99"/>
              </w:rPr>
              <w:t>5</w:t>
            </w: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center"/>
              <w:ind w:left="674"/>
              <w:spacing w:after="0"/>
              <w:rPr>
                <w:sz w:val="20"/>
                <w:szCs w:val="20"/>
                <w:color w:val="auto"/>
              </w:rPr>
            </w:pPr>
            <w:r>
              <w:rPr>
                <w:rFonts w:ascii="Arial" w:cs="Arial" w:eastAsia="Arial" w:hAnsi="Arial"/>
                <w:sz w:val="18"/>
                <w:szCs w:val="18"/>
                <w:b w:val="1"/>
                <w:bCs w:val="1"/>
                <w:color w:val="auto"/>
                <w:w w:val="99"/>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center"/>
              <w:ind w:left="632"/>
              <w:spacing w:after="0"/>
              <w:rPr>
                <w:sz w:val="20"/>
                <w:szCs w:val="20"/>
                <w:color w:val="auto"/>
              </w:rPr>
            </w:pPr>
            <w:r>
              <w:rPr>
                <w:rFonts w:ascii="Arial" w:cs="Arial" w:eastAsia="Arial" w:hAnsi="Arial"/>
                <w:sz w:val="18"/>
                <w:szCs w:val="18"/>
                <w:color w:val="auto"/>
                <w:w w:val="99"/>
              </w:rPr>
              <w:t>8</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74"/>
              <w:spacing w:after="0"/>
              <w:rPr>
                <w:sz w:val="20"/>
                <w:szCs w:val="20"/>
                <w:color w:val="auto"/>
              </w:rPr>
            </w:pPr>
            <w:r>
              <w:rPr>
                <w:rFonts w:ascii="Arial" w:cs="Arial" w:eastAsia="Arial" w:hAnsi="Arial"/>
                <w:sz w:val="18"/>
                <w:szCs w:val="18"/>
                <w:b w:val="1"/>
                <w:bCs w:val="1"/>
                <w:color w:val="auto"/>
                <w:w w:val="99"/>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99"/>
              </w:rPr>
              <w:t>(6)</w:t>
            </w:r>
          </w:p>
        </w:tc>
      </w:tr>
      <w:tr>
        <w:trPr>
          <w:trHeight w:val="230"/>
        </w:trPr>
        <w:tc>
          <w:tcPr>
            <w:tcW w:w="5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center"/>
              <w:ind w:left="674"/>
              <w:spacing w:after="0"/>
              <w:rPr>
                <w:sz w:val="20"/>
                <w:szCs w:val="20"/>
                <w:color w:val="auto"/>
              </w:rPr>
            </w:pPr>
            <w:r>
              <w:rPr>
                <w:rFonts w:ascii="Arial" w:cs="Arial" w:eastAsia="Arial" w:hAnsi="Arial"/>
                <w:sz w:val="18"/>
                <w:szCs w:val="18"/>
                <w:b w:val="1"/>
                <w:bCs w:val="1"/>
                <w:color w:val="auto"/>
                <w:w w:val="99"/>
              </w:rPr>
              <w:t>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center"/>
              <w:ind w:left="632"/>
              <w:spacing w:after="0"/>
              <w:rPr>
                <w:sz w:val="20"/>
                <w:szCs w:val="20"/>
                <w:color w:val="auto"/>
              </w:rPr>
            </w:pPr>
            <w:r>
              <w:rPr>
                <w:rFonts w:ascii="Arial" w:cs="Arial" w:eastAsia="Arial" w:hAnsi="Arial"/>
                <w:sz w:val="18"/>
                <w:szCs w:val="18"/>
                <w:color w:val="auto"/>
                <w:w w:val="99"/>
              </w:rPr>
              <w:t>7</w:t>
            </w:r>
          </w:p>
        </w:tc>
      </w:tr>
      <w:tr>
        <w:trPr>
          <w:trHeight w:val="248"/>
        </w:trPr>
        <w:tc>
          <w:tcPr>
            <w:tcW w:w="5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net periodic benefit cost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center"/>
              <w:ind w:left="674"/>
              <w:spacing w:after="0"/>
              <w:rPr>
                <w:sz w:val="20"/>
                <w:szCs w:val="20"/>
                <w:color w:val="auto"/>
              </w:rPr>
            </w:pPr>
            <w:r>
              <w:rPr>
                <w:rFonts w:ascii="Arial" w:cs="Arial" w:eastAsia="Arial" w:hAnsi="Arial"/>
                <w:sz w:val="18"/>
                <w:szCs w:val="18"/>
                <w:b w:val="1"/>
                <w:bCs w:val="1"/>
                <w:color w:val="auto"/>
                <w:w w:val="99"/>
              </w:rPr>
              <w:t>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center"/>
              <w:ind w:left="632"/>
              <w:spacing w:after="0"/>
              <w:rPr>
                <w:sz w:val="20"/>
                <w:szCs w:val="20"/>
                <w:color w:val="auto"/>
              </w:rPr>
            </w:pPr>
            <w:r>
              <w:rPr>
                <w:rFonts w:ascii="Arial" w:cs="Arial" w:eastAsia="Arial" w:hAnsi="Arial"/>
                <w:sz w:val="18"/>
                <w:szCs w:val="18"/>
                <w:color w:val="auto"/>
                <w:w w:val="99"/>
              </w:rPr>
              <w:t>8</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right="440"/>
        <w:spacing w:after="0" w:line="28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income, net" in the Condensed Consolidated Income Statements.</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net periodic benefit cost for other post-retirement employee benefit plans was less than $1 million, including net credits recognized into "Other comprehensive income (loss)" of less than $1 million, for each of the three and six months ended June 30, 2025 and 2024,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contributed $9 million and $7 million to our defined benefit plans for the six months ended June 30, 2025 and 2024,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 contributions ranging between approximately $11 million and $15 million are expected to be made during the remainder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01" w:right="479" w:bottom="1440" w:gutter="0" w:footer="0" w:header="0"/>
        </w:sectPr>
      </w:pPr>
    </w:p>
    <w:bookmarkStart w:id="27" w:name="page28"/>
    <w:bookmarkEnd w:id="27"/>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six months ended June 30,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40" w:type="dxa"/>
            <w:vAlign w:val="bottom"/>
          </w:tcPr>
          <w:p>
            <w:pPr>
              <w:spacing w:after="0"/>
              <w:rPr>
                <w:sz w:val="16"/>
                <w:szCs w:val="16"/>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Non-</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Controlling</w:t>
            </w:r>
          </w:p>
        </w:tc>
        <w:tc>
          <w:tcPr>
            <w:tcW w:w="200" w:type="dxa"/>
            <w:vAlign w:val="bottom"/>
          </w:tcPr>
          <w:p>
            <w:pPr>
              <w:spacing w:after="0"/>
              <w:rPr>
                <w:sz w:val="14"/>
                <w:szCs w:val="14"/>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(Loss) Income</w:t>
            </w:r>
          </w:p>
        </w:tc>
        <w:tc>
          <w:tcPr>
            <w:tcW w:w="1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10,647</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40" w:type="dxa"/>
            <w:vAlign w:val="bottom"/>
          </w:tcPr>
          <w:p>
            <w:pPr>
              <w:ind w:left="140"/>
              <w:spacing w:after="0" w:line="176" w:lineRule="exact"/>
              <w:rPr>
                <w:sz w:val="20"/>
                <w:szCs w:val="20"/>
                <w:color w:val="auto"/>
              </w:rPr>
            </w:pPr>
            <w:r>
              <w:rPr>
                <w:rFonts w:ascii="Arial" w:cs="Arial" w:eastAsia="Arial" w:hAnsi="Arial"/>
                <w:sz w:val="18"/>
                <w:szCs w:val="18"/>
                <w:color w:val="auto"/>
              </w:rPr>
              <w:t>Dividends declared ($0.40 per</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43"/>
        </w:trPr>
        <w:tc>
          <w:tcPr>
            <w:tcW w:w="2640" w:type="dxa"/>
            <w:vAlign w:val="bottom"/>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 income attributable to non-</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controlling interests</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10,822</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($0.40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140"/>
              <w:spacing w:after="0" w:line="176" w:lineRule="exact"/>
              <w:rPr>
                <w:sz w:val="20"/>
                <w:szCs w:val="20"/>
                <w:color w:val="auto"/>
              </w:rPr>
            </w:pPr>
            <w:r>
              <w:rPr>
                <w:rFonts w:ascii="Arial" w:cs="Arial" w:eastAsia="Arial" w:hAnsi="Arial"/>
                <w:sz w:val="18"/>
                <w:szCs w:val="18"/>
                <w:color w:val="auto"/>
              </w:rPr>
              <w:t>Distribution to minority</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2640" w:type="dxa"/>
            <w:vAlign w:val="bottom"/>
          </w:tcPr>
          <w:p>
            <w:pPr>
              <w:ind w:left="140"/>
              <w:spacing w:after="0"/>
              <w:rPr>
                <w:sz w:val="20"/>
                <w:szCs w:val="20"/>
                <w:color w:val="auto"/>
              </w:rPr>
            </w:pPr>
            <w:r>
              <w:rPr>
                <w:rFonts w:ascii="Arial" w:cs="Arial" w:eastAsia="Arial" w:hAnsi="Arial"/>
                <w:sz w:val="18"/>
                <w:szCs w:val="18"/>
                <w:color w:val="auto"/>
              </w:rPr>
              <w:t>shareholders</w:t>
            </w: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 income attributable to non-</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controlling interests</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shows the changes in stockholders' equity for the six months ended June 30,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40" w:type="dxa"/>
            <w:vAlign w:val="bottom"/>
          </w:tcPr>
          <w:p>
            <w:pPr>
              <w:spacing w:after="0"/>
              <w:rPr>
                <w:sz w:val="16"/>
                <w:szCs w:val="16"/>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Non-</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Controlling</w:t>
            </w:r>
          </w:p>
        </w:tc>
        <w:tc>
          <w:tcPr>
            <w:tcW w:w="200" w:type="dxa"/>
            <w:vAlign w:val="bottom"/>
          </w:tcPr>
          <w:p>
            <w:pPr>
              <w:spacing w:after="0"/>
              <w:rPr>
                <w:sz w:val="14"/>
                <w:szCs w:val="14"/>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Loss</w:t>
            </w:r>
          </w:p>
        </w:tc>
        <w:tc>
          <w:tcPr>
            <w:tcW w:w="1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($0.36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10,203</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($0.36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 Plans</w:t>
      </w:r>
    </w:p>
    <w:p>
      <w:pPr>
        <w:spacing w:after="0" w:line="11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Share-based compensation expense was $ 13 million and $ 25 million during the three and six months ended June 30, 2025, respectively, and $13 million and $31 million during the three and six months ended June 30, 2024, respectively. The unrecognized compensation expense related to our stock options, restricted stock units and performance share units was $12 million, $45 million and $20 million, respectively, at June 30, 2025 and is expected to be recognized over a weighted average period of 2.2, 2.0 and 2.1 years, respectively. The amount of cash received from the exercise of stock options was $8 million and $63 million for the six months ended June 30, 2025 and 2024,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there were approximately 4.8 million shares of common stock available for future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stock options for the six months ended June 30, 2025</w:t>
      </w:r>
      <w:r>
        <w:rPr>
          <w:rFonts w:ascii="Arial" w:cs="Arial" w:eastAsia="Arial" w:hAnsi="Arial"/>
          <w:sz w:val="16"/>
          <w:szCs w:val="16"/>
          <w:color w:val="auto"/>
        </w:rPr>
        <w: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1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Average</w:t>
            </w:r>
          </w:p>
        </w:tc>
        <w:tc>
          <w:tcPr>
            <w:tcW w:w="14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Exercise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2"/>
                <w:szCs w:val="12"/>
                <w:color w:val="auto"/>
              </w:rPr>
            </w:pPr>
          </w:p>
        </w:tc>
        <w:tc>
          <w:tcPr>
            <w:tcW w:w="11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 /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(Years)</w:t>
            </w:r>
          </w:p>
        </w:tc>
        <w:tc>
          <w:tcPr>
            <w:tcW w:w="140" w:type="dxa"/>
            <w:vAlign w:val="bottom"/>
          </w:tcPr>
          <w:p>
            <w:pPr>
              <w:spacing w:after="0"/>
              <w:rPr>
                <w:sz w:val="16"/>
                <w:szCs w:val="16"/>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and 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94.87</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Options exercisable at June 30, 2025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79.28</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Vested and expected to vest as of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total intrinsic value of options exercised (which is the amount by which the stock price exceeded the exercise price of the options on the date of exercise) during the six months ended June 30, 2025 was $7 million.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Fair Value</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employee exercise patterns, stock price volatility and changes in dividends. The following are weighted-average assumptions for 2025 grants:</w:t>
      </w:r>
    </w:p>
    <w:tbl>
      <w:tblPr>
        <w:tblLayout w:type="fixed"/>
        <w:tblInd w:w="0" w:type="dxa"/>
        <w:tblCellMar>
          <w:top w:w="0" w:type="dxa"/>
          <w:left w:w="0" w:type="dxa"/>
          <w:bottom w:w="0" w:type="dxa"/>
          <w:right w:w="0" w:type="dxa"/>
        </w:tblCellMar>
      </w:tblP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4.10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yield</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Expected term (in years)</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300" w:type="dxa"/>
            <w:vAlign w:val="bottom"/>
          </w:tcPr>
          <w:p>
            <w:pPr>
              <w:spacing w:after="0"/>
              <w:rPr>
                <w:sz w:val="19"/>
                <w:szCs w:val="19"/>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fair value / share</w:t>
            </w:r>
          </w:p>
        </w:tc>
        <w:tc>
          <w:tcPr>
            <w:tcW w:w="3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36.94</w:t>
            </w:r>
          </w:p>
        </w:tc>
        <w:tc>
          <w:tcPr>
            <w:tcW w:w="300" w:type="dxa"/>
            <w:vAlign w:val="bottom"/>
            <w:shd w:val="clear" w:color="auto" w:fill="CCEEFF"/>
          </w:tcPr>
          <w:p>
            <w:pPr>
              <w:spacing w:after="0"/>
              <w:rPr>
                <w:sz w:val="19"/>
                <w:szCs w:val="19"/>
                <w:color w:val="auto"/>
              </w:rPr>
            </w:pPr>
          </w:p>
        </w:tc>
      </w:tr>
    </w:tbl>
    <w:p>
      <w:pPr>
        <w:spacing w:after="0" w:line="17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15"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The following is a summary of restricted stock unit activity for the six months ended June 30, 2025</w:t>
      </w:r>
      <w:r>
        <w:rPr>
          <w:rFonts w:ascii="Arial" w:cs="Arial" w:eastAsia="Arial" w:hAnsi="Arial"/>
          <w:sz w:val="16"/>
          <w:szCs w:val="16"/>
          <w:color w:val="auto"/>
        </w:rPr>
        <w:t>.</w:t>
      </w:r>
      <w:r>
        <w:rPr>
          <w:rFonts w:ascii="Arial" w:cs="Arial" w:eastAsia="Arial" w:hAnsi="Arial"/>
          <w:sz w:val="18"/>
          <w:szCs w:val="18"/>
          <w:color w:val="auto"/>
        </w:rPr>
        <w:t xml:space="preserve"> The fair value of the restricted share unit awards is determined using the closing price of our common stock on date of grant:</w:t>
      </w:r>
    </w:p>
    <w:tbl>
      <w:tblPr>
        <w:tblLayout w:type="fixed"/>
        <w:tblInd w:w="0" w:type="dxa"/>
        <w:tblCellMar>
          <w:top w:w="0" w:type="dxa"/>
          <w:left w:w="0" w:type="dxa"/>
          <w:bottom w:w="0" w:type="dxa"/>
          <w:right w:w="0" w:type="dxa"/>
        </w:tblCellMar>
      </w:tblPr>
      <w:tr>
        <w:trPr>
          <w:trHeight w:val="14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2"/>
                <w:szCs w:val="12"/>
                <w:color w:val="auto"/>
              </w:rPr>
            </w:pPr>
          </w:p>
        </w:tc>
        <w:tc>
          <w:tcPr>
            <w:tcW w:w="15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8"/>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111.33</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129.39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106.27</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118.19</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June 30, 2025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121.72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ROIC and Adjusted EBITDA Performance Share Unit Grants</w:t>
      </w:r>
    </w:p>
    <w:p>
      <w:pPr>
        <w:spacing w:after="0" w:line="115"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following is a summary of our ROIC and EBITDA grants for the six months ended June 30, 2025. The fair value of the adjusted EBITDA performance share units is equal to the closing share price on the date of the grant:</w:t>
      </w:r>
    </w:p>
    <w:tbl>
      <w:tblPr>
        <w:tblLayout w:type="fixed"/>
        <w:tblInd w:w="0" w:type="dxa"/>
        <w:tblCellMar>
          <w:top w:w="0" w:type="dxa"/>
          <w:left w:w="0" w:type="dxa"/>
          <w:bottom w:w="0" w:type="dxa"/>
          <w:right w:w="0" w:type="dxa"/>
        </w:tblCellMar>
      </w:tblPr>
      <w:tr>
        <w:trPr>
          <w:trHeight w:val="149"/>
        </w:trPr>
        <w:tc>
          <w:tcPr>
            <w:tcW w:w="7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30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rPr>
              <w:t>Share units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w:t>
            </w:r>
          </w:p>
        </w:tc>
        <w:tc>
          <w:tcPr>
            <w:tcW w:w="0" w:type="dxa"/>
            <w:vAlign w:val="bottom"/>
          </w:tcPr>
          <w:p>
            <w:pPr>
              <w:spacing w:after="0"/>
              <w:rPr>
                <w:sz w:val="1"/>
                <w:szCs w:val="1"/>
                <w:color w:val="auto"/>
              </w:rPr>
            </w:pPr>
          </w:p>
        </w:tc>
      </w:tr>
      <w:tr>
        <w:trPr>
          <w:trHeight w:val="230"/>
        </w:trPr>
        <w:tc>
          <w:tcPr>
            <w:tcW w:w="9100" w:type="dxa"/>
            <w:vAlign w:val="bottom"/>
            <w:gridSpan w:val="2"/>
          </w:tcPr>
          <w:p>
            <w:pPr>
              <w:ind w:left="140"/>
              <w:spacing w:after="0"/>
              <w:rPr>
                <w:sz w:val="20"/>
                <w:szCs w:val="20"/>
                <w:color w:val="auto"/>
              </w:rPr>
            </w:pPr>
            <w:r>
              <w:rPr>
                <w:rFonts w:ascii="Arial" w:cs="Arial" w:eastAsia="Arial" w:hAnsi="Arial"/>
                <w:sz w:val="18"/>
                <w:szCs w:val="18"/>
                <w:color w:val="auto"/>
              </w:rPr>
              <w:t>Adjustment for Performance Condition Achieved (a)</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29"/>
        </w:trPr>
        <w:tc>
          <w:tcPr>
            <w:tcW w:w="9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30"/>
        </w:trPr>
        <w:tc>
          <w:tcPr>
            <w:tcW w:w="910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113.55</w:t>
            </w:r>
          </w:p>
        </w:tc>
        <w:tc>
          <w:tcPr>
            <w:tcW w:w="0" w:type="dxa"/>
            <w:vAlign w:val="bottom"/>
          </w:tcPr>
          <w:p>
            <w:pPr>
              <w:spacing w:after="0"/>
              <w:rPr>
                <w:sz w:val="1"/>
                <w:szCs w:val="1"/>
                <w:color w:val="auto"/>
              </w:rPr>
            </w:pPr>
          </w:p>
        </w:tc>
      </w:tr>
      <w:tr>
        <w:trPr>
          <w:trHeight w:val="248"/>
        </w:trPr>
        <w:tc>
          <w:tcPr>
            <w:tcW w:w="7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June 30, 2025</w:t>
            </w:r>
          </w:p>
        </w:tc>
        <w:tc>
          <w:tcPr>
            <w:tcW w:w="130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113.92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firstLine="8"/>
        <w:spacing w:after="0" w:line="286" w:lineRule="auto"/>
        <w:tabs>
          <w:tab w:leader="none" w:pos="243"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an increase in the number of original ROIC performance share units awarded based on the final market condition achievement at the end of the performance period of such awards.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TSR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Shareholder Return ("TSR") performance share unit grants for the six months ended June 30,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8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2"/>
                <w:szCs w:val="12"/>
                <w:color w:val="auto"/>
              </w:rPr>
            </w:pPr>
          </w:p>
        </w:tc>
        <w:tc>
          <w:tcPr>
            <w:tcW w:w="15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7"/>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125.42</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180.50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for Market Condition Achieved (a)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149.29</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June 30, 2025</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157.27</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40" w:firstLine="8"/>
        <w:spacing w:after="0" w:line="286" w:lineRule="auto"/>
        <w:tabs>
          <w:tab w:leader="none" w:pos="243"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a decrease in the number of original TSR performance share units awarded based on the final market condition achievement at the end of the performance period of such awards.</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2025 grants: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47"/>
        </w:trPr>
        <w:tc>
          <w:tcPr>
            <w:tcW w:w="608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4720" w:type="dxa"/>
            <w:vAlign w:val="bottom"/>
          </w:tcPr>
          <w:p>
            <w:pPr>
              <w:jc w:val="right"/>
              <w:spacing w:after="0"/>
              <w:rPr>
                <w:sz w:val="20"/>
                <w:szCs w:val="20"/>
                <w:color w:val="auto"/>
              </w:rPr>
            </w:pPr>
            <w:r>
              <w:rPr>
                <w:rFonts w:ascii="Arial" w:cs="Arial" w:eastAsia="Arial" w:hAnsi="Arial"/>
                <w:sz w:val="18"/>
                <w:szCs w:val="18"/>
                <w:b w:val="1"/>
                <w:bCs w:val="1"/>
                <w:color w:val="auto"/>
              </w:rPr>
              <w:t>4.01</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Revenue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Revenue performance share unit grants for the six months ended June 30,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30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rPr>
              <w:t>Share units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w:t>
            </w:r>
          </w:p>
        </w:tc>
        <w:tc>
          <w:tcPr>
            <w:tcW w:w="0" w:type="dxa"/>
            <w:vAlign w:val="bottom"/>
          </w:tcPr>
          <w:p>
            <w:pPr>
              <w:spacing w:after="0"/>
              <w:rPr>
                <w:sz w:val="1"/>
                <w:szCs w:val="1"/>
                <w:color w:val="auto"/>
              </w:rPr>
            </w:pPr>
          </w:p>
        </w:tc>
      </w:tr>
      <w:tr>
        <w:trPr>
          <w:trHeight w:val="229"/>
        </w:trPr>
        <w:tc>
          <w:tcPr>
            <w:tcW w:w="9100" w:type="dxa"/>
            <w:vAlign w:val="bottom"/>
            <w:gridSpan w:val="2"/>
          </w:tcPr>
          <w:p>
            <w:pPr>
              <w:ind w:left="140"/>
              <w:spacing w:after="0"/>
              <w:rPr>
                <w:sz w:val="20"/>
                <w:szCs w:val="20"/>
                <w:color w:val="auto"/>
              </w:rPr>
            </w:pPr>
            <w:r>
              <w:rPr>
                <w:rFonts w:ascii="Arial" w:cs="Arial" w:eastAsia="Arial" w:hAnsi="Arial"/>
                <w:sz w:val="18"/>
                <w:szCs w:val="18"/>
                <w:color w:val="auto"/>
              </w:rPr>
              <w:t>Adjustment for Performance Condition Achieved (a)</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30"/>
        </w:trPr>
        <w:tc>
          <w:tcPr>
            <w:tcW w:w="9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29"/>
        </w:trPr>
        <w:tc>
          <w:tcPr>
            <w:tcW w:w="910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113.56</w:t>
            </w:r>
          </w:p>
        </w:tc>
        <w:tc>
          <w:tcPr>
            <w:tcW w:w="0" w:type="dxa"/>
            <w:vAlign w:val="bottom"/>
          </w:tcPr>
          <w:p>
            <w:pPr>
              <w:spacing w:after="0"/>
              <w:rPr>
                <w:sz w:val="1"/>
                <w:szCs w:val="1"/>
                <w:color w:val="auto"/>
              </w:rPr>
            </w:pPr>
          </w:p>
        </w:tc>
      </w:tr>
      <w:tr>
        <w:trPr>
          <w:trHeight w:val="248"/>
        </w:trPr>
        <w:tc>
          <w:tcPr>
            <w:tcW w:w="7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June 30, 2025</w:t>
            </w:r>
          </w:p>
        </w:tc>
        <w:tc>
          <w:tcPr>
            <w:tcW w:w="130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113.92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0" w:firstLine="8"/>
        <w:spacing w:after="0" w:line="286" w:lineRule="auto"/>
        <w:tabs>
          <w:tab w:leader="none" w:pos="2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an increase in the number of original REV performance share units awarded based on the final market condition achievement at the end of the performance period of such awards.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EPS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EPS performance share unit grants for the six months ended June 30,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800" w:type="dxa"/>
            <w:vAlign w:val="bottom"/>
          </w:tcPr>
          <w:p>
            <w:pPr>
              <w:spacing w:after="0"/>
              <w:rPr>
                <w:sz w:val="12"/>
                <w:szCs w:val="12"/>
                <w:color w:val="auto"/>
              </w:rPr>
            </w:pPr>
          </w:p>
        </w:tc>
        <w:tc>
          <w:tcPr>
            <w:tcW w:w="13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rPr>
              <w:t>Share units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9"/>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1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129.67</w:t>
            </w:r>
          </w:p>
        </w:tc>
        <w:tc>
          <w:tcPr>
            <w:tcW w:w="0" w:type="dxa"/>
            <w:vAlign w:val="bottom"/>
          </w:tcPr>
          <w:p>
            <w:pPr>
              <w:spacing w:after="0"/>
              <w:rPr>
                <w:sz w:val="1"/>
                <w:szCs w:val="1"/>
                <w:color w:val="auto"/>
              </w:rPr>
            </w:pPr>
          </w:p>
        </w:tc>
      </w:tr>
      <w:tr>
        <w:trPr>
          <w:trHeight w:val="229"/>
        </w:trPr>
        <w:tc>
          <w:tcPr>
            <w:tcW w:w="9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129.67</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June 30, 2025</w:t>
            </w:r>
          </w:p>
        </w:tc>
        <w:tc>
          <w:tcPr>
            <w:tcW w:w="13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129.67</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EPS performance share unit awards is determined using the closing price of our common stock on date of grant.</w:t>
      </w:r>
    </w:p>
    <w:p>
      <w:pPr>
        <w:spacing w:after="0" w:line="117"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performance share units were each awarded at a target of 100% with actual payout for each type of grant contingent upon the achievement of performance targets as follows:</w:t>
      </w:r>
    </w:p>
    <w:p>
      <w:pPr>
        <w:spacing w:after="0" w:line="4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ROIC performance share units - a pre-set, three-year adjusted ROIC performance target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EBITDA performance share units - a third-year adjusted EBITDA performance target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TSR performance share units - a relative TSR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performance share units - a pre-set third year revenue target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EPS performance share units - a cumulative three-year EPS performance target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Capital Stock</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three and six months ended June 30, 2025 the Company repurchased less than 0.1 million shares of common stock for less than $1 million and 0.1 million shares of common stock for $13 million, respectively. For the three and six months ended June 30, 2024 the Company repurchased less than 0.1 million shares of common stock for $3 million and 0.1 million shares of common stock for $18 million, respectively. Repurchases may include share repurchase programs approved by the Board of Directors and repurchases in relation to settlement of employee tax withholding obligations due as a result of the vesting of restricted stock units. The details of repurchases by each program are as follows:</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stockholders and maintains our focus on growth. There were no shares repurchased under the program for the three and six months ended June 30, 2025 and June 30, 2024. There are up to $182 million in shares that may still be purchased under this plan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2" w:name="page33"/>
    <w:bookmarkEnd w:id="32"/>
    <w:p>
      <w:pPr>
        <w:spacing w:after="0" w:line="262" w:lineRule="auto"/>
        <w:rPr>
          <w:sz w:val="20"/>
          <w:szCs w:val="20"/>
          <w:color w:val="auto"/>
        </w:rPr>
      </w:pPr>
      <w:r>
        <w:rPr>
          <w:rFonts w:ascii="Arial" w:cs="Arial" w:eastAsia="Arial" w:hAnsi="Arial"/>
          <w:sz w:val="18"/>
          <w:szCs w:val="18"/>
          <w:color w:val="auto"/>
        </w:rPr>
        <w:t>Aside from the aforementioned repurchase programs, we repurchased less than 0.1 million shares and 0.1 million shares for approximately less than $1 million and $13 million for the three and six months ended June 30, 2025, and less than 0.1 million shares and 0.1 million shares for $3 million and $18 million for the three and six months ended June 30, 2024, respectively, in relation to settlement of employee tax withholding obligations due as a result of the vesting of restricted stock units.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Accumulated Other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accumulated other comprehensive loss ("AOCL") for the six months ended June 30,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Amount of currency translation adjustment relating to divestiture</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foreign subsidiaries reclassified into net income</w:t>
            </w:r>
          </w:p>
        </w:tc>
        <w:tc>
          <w:tcPr>
            <w:tcW w:w="2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benefit on unrealized gain on derivative hedge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Amortization of prior service credit and actuarial loss on post-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retirement benefit plans into other non-operating income, net</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Income tax benefit on unrealized gain on derivative hedge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2025</w:t>
            </w:r>
          </w:p>
        </w:tc>
        <w:tc>
          <w:tcPr>
            <w:tcW w:w="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table provides the components of AOCL for the six months ended June 30,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March 31, 2024</w:t>
            </w:r>
          </w:p>
        </w:tc>
        <w:tc>
          <w:tcPr>
            <w:tcW w:w="220" w:type="dxa"/>
            <w:vAlign w:val="bottom"/>
            <w:tcBorders>
              <w:top w:val="single" w:sz="8" w:color="auto"/>
              <w:bottom w:val="single" w:sz="8" w:color="auto"/>
            </w:tcBorders>
          </w:tcPr>
          <w:p>
            <w:pPr>
              <w:jc w:val="right"/>
              <w:ind w:right="15"/>
              <w:spacing w:after="0" w:line="196" w:lineRule="exact"/>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(271)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(71)</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(345)</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See Note 6, "Income Taxes," of our condensed consolidated financial statements for a description of a pending tax litigation matter.</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 We have estimated and accrued $7 million and $4 million as of June 30, 2025 and December 31, 2024, respectively, for these general legal matters.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insurance-related requirements. As of June 30, 2025 and December 31, 2024, the amount of surety bonds, bank guarantees, insurance letters of credit, and stand-by letters of credit was $798 million and $758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1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Our accrued environmental liabilities represent our best estimates related to the investigation and remediation of environmental media such as water, soil, soil vapor, air and structures at these sites, as well as related legal fees. Liabilities for these environmental expenditures are recorded on an undiscounted basis. We have estimated and accrued $4 million as of June 30, 2025 and December 31, 2024 for environmental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jc w:val="both"/>
        <w:ind w:right="420"/>
        <w:spacing w:after="0" w:line="268" w:lineRule="auto"/>
        <w:rPr>
          <w:sz w:val="20"/>
          <w:szCs w:val="20"/>
          <w:color w:val="auto"/>
        </w:rPr>
      </w:pPr>
      <w:r>
        <w:rPr>
          <w:rFonts w:ascii="Arial" w:cs="Arial" w:eastAsia="Arial" w:hAnsi="Arial"/>
          <w:sz w:val="18"/>
          <w:szCs w:val="18"/>
          <w:color w:val="auto"/>
        </w:rPr>
        <w:t>Given the complexities and uncertainties involved in on-going and future investigation and remediation projects, the process to estimate environmental remediation liabilities requires judgement. We believe the total amount accrued is reasonable based on existing facts and circumstances.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15" w:lineRule="exact"/>
        <w:rPr>
          <w:sz w:val="20"/>
          <w:szCs w:val="20"/>
          <w:color w:val="auto"/>
        </w:rPr>
      </w:pPr>
    </w:p>
    <w:p>
      <w:pPr>
        <w:ind w:right="600"/>
        <w:spacing w:after="0" w:line="295" w:lineRule="auto"/>
        <w:rPr>
          <w:sz w:val="20"/>
          <w:szCs w:val="20"/>
          <w:color w:val="auto"/>
        </w:rPr>
      </w:pPr>
      <w:r>
        <w:rPr>
          <w:rFonts w:ascii="Arial" w:cs="Arial" w:eastAsia="Arial" w:hAnsi="Arial"/>
          <w:sz w:val="17"/>
          <w:szCs w:val="17"/>
          <w:color w:val="auto"/>
        </w:rPr>
        <w:t>We warrant numerous products, the terms of which vary widely. In general, we warrant products against defects and specific non-performance. The table below provides changes in the combined current and non-current product warranty accruals over each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2024</w:t>
            </w:r>
          </w:p>
        </w:tc>
      </w:tr>
      <w:tr>
        <w:trPr>
          <w:trHeight w:val="224"/>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Warranty accrual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Net charges for product warranties in the period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of warranty claims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Warranty accrual – June 30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117"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Our business has four reportable segments: Water Infrastructure, Applied Water, Measurement and Control Solutions and Water Solutions and Services. The Water Infrastructure segment focuses on the transportation and treatment of water, offering a range of products including water, wastewater and storm water pumps, controls and systems; treatment equipment: filtration and separation, disinfection, wastewater solutions for municipal and industrial applications. The Applied Water segment serves many of the primary uses of water and focuses on the residential, commercial and industrial markets. The Applied Water segment's major products include pumps, valves, heat exchangers, controls and dispensing equipment. The Measurement and Control Solutions segment focuses on developing advanced technology solutions that enable intelligent use and conservation of critical water and energy resources as well as analytical instrumentation used in the testing of water. The Measurement and Control Solutions segment's major products include smart metering, networked communications, measurement and control technologies, critical infrastructure technologies, software and services including cloud-based analytics, and remote monitoring and data management. The Water Solutions and Services segment provides tailored services and solutions, in collaboration with customers and backed by life</w:t>
      </w:r>
      <w:r>
        <w:rPr>
          <w:rFonts w:ascii="MS PGothic" w:cs="MS PGothic" w:eastAsia="MS PGothic" w:hAnsi="MS PGothic"/>
          <w:sz w:val="18"/>
          <w:szCs w:val="18"/>
          <w:color w:val="auto"/>
        </w:rPr>
        <w:t>‑</w:t>
      </w:r>
      <w:r>
        <w:rPr>
          <w:rFonts w:ascii="Arial" w:cs="Arial" w:eastAsia="Arial" w:hAnsi="Arial"/>
          <w:sz w:val="18"/>
          <w:szCs w:val="18"/>
          <w:color w:val="auto"/>
        </w:rPr>
        <w:t>cycle services,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 outsourced water, recycle / reuse,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 / reuse), full-scale outsourcing of operations and maintenance, and municipal services, including odor and corrosion control services, as well as leak detection, condition assessment and asset management and pressure monitoring solutions.</w:t>
      </w:r>
    </w:p>
    <w:p>
      <w:pPr>
        <w:spacing w:after="0" w:line="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right="480"/>
        <w:spacing w:after="0" w:line="318" w:lineRule="auto"/>
        <w:rPr>
          <w:sz w:val="20"/>
          <w:szCs w:val="20"/>
          <w:color w:val="auto"/>
        </w:rPr>
      </w:pPr>
      <w:r>
        <w:rPr>
          <w:rFonts w:ascii="Arial" w:cs="Arial" w:eastAsia="Arial" w:hAnsi="Arial"/>
          <w:sz w:val="17"/>
          <w:szCs w:val="17"/>
          <w:color w:val="auto"/>
        </w:rPr>
        <w:t>Disaggregated asset information by segment is not provided to the chief operating decision maker ("CODM") for review, therefore, such information is not presented. The following tables contain financial information provided to the CODM for each reportable segment: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Water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Applied Water</w:t>
            </w:r>
          </w:p>
        </w:tc>
        <w:tc>
          <w:tcPr>
            <w:tcW w:w="1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Measurement and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Water Solutions</w:t>
            </w:r>
          </w:p>
        </w:tc>
        <w:tc>
          <w:tcPr>
            <w:tcW w:w="280" w:type="dxa"/>
            <w:vAlign w:val="bottom"/>
          </w:tcPr>
          <w:p>
            <w:pPr>
              <w:spacing w:after="0"/>
              <w:rPr>
                <w:sz w:val="14"/>
                <w:szCs w:val="14"/>
                <w:color w:val="auto"/>
              </w:rPr>
            </w:pPr>
          </w:p>
        </w:tc>
        <w:tc>
          <w:tcPr>
            <w:tcW w:w="10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Infrastructure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Control Solutions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and Services</w:t>
            </w: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Balance for three months ended June 30, 2025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2,301</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cost of revenue (a)</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Adjusted operating expenses (a)</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333</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segment operating income</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Corporate and other (loss)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54"/>
        </w:trPr>
        <w:tc>
          <w:tcPr>
            <w:tcW w:w="4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Water</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gridSpan w:val="4"/>
            <w:vMerge w:val="restart"/>
          </w:tcPr>
          <w:p>
            <w:pPr>
              <w:ind w:left="60"/>
              <w:spacing w:after="0"/>
              <w:rPr>
                <w:sz w:val="20"/>
                <w:szCs w:val="20"/>
                <w:color w:val="auto"/>
              </w:rPr>
            </w:pPr>
            <w:r>
              <w:rPr>
                <w:rFonts w:ascii="Arial" w:cs="Arial" w:eastAsia="Arial" w:hAnsi="Arial"/>
                <w:sz w:val="14"/>
                <w:szCs w:val="14"/>
                <w:b w:val="1"/>
                <w:bCs w:val="1"/>
                <w:color w:val="auto"/>
              </w:rPr>
              <w:t>Measurement and</w:t>
            </w: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gridSpan w:val="4"/>
            <w:vMerge w:val="restart"/>
          </w:tcPr>
          <w:p>
            <w:pPr>
              <w:jc w:val="center"/>
              <w:ind w:right="180"/>
              <w:spacing w:after="0"/>
              <w:rPr>
                <w:sz w:val="20"/>
                <w:szCs w:val="20"/>
                <w:color w:val="auto"/>
              </w:rPr>
            </w:pPr>
            <w:r>
              <w:rPr>
                <w:rFonts w:ascii="Arial" w:cs="Arial" w:eastAsia="Arial" w:hAnsi="Arial"/>
                <w:sz w:val="14"/>
                <w:szCs w:val="14"/>
                <w:b w:val="1"/>
                <w:bCs w:val="1"/>
                <w:color w:val="auto"/>
              </w:rPr>
              <w:t>Water Solutions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2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Applied Water</w:t>
            </w:r>
          </w:p>
        </w:tc>
        <w:tc>
          <w:tcPr>
            <w:tcW w:w="140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Infrastructure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400" w:type="dxa"/>
            <w:vAlign w:val="bottom"/>
            <w:gridSpan w:val="4"/>
          </w:tcPr>
          <w:p>
            <w:pPr>
              <w:ind w:left="60"/>
              <w:spacing w:after="0"/>
              <w:rPr>
                <w:sz w:val="20"/>
                <w:szCs w:val="20"/>
                <w:color w:val="auto"/>
              </w:rPr>
            </w:pPr>
            <w:r>
              <w:rPr>
                <w:rFonts w:ascii="Arial" w:cs="Arial" w:eastAsia="Arial" w:hAnsi="Arial"/>
                <w:sz w:val="14"/>
                <w:szCs w:val="14"/>
                <w:b w:val="1"/>
                <w:bCs w:val="1"/>
                <w:color w:val="auto"/>
              </w:rPr>
              <w:t>Control Solutions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and Services</w:t>
            </w: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Arial" w:cs="Arial" w:eastAsia="Arial" w:hAnsi="Arial"/>
                <w:sz w:val="18"/>
                <w:szCs w:val="18"/>
                <w:color w:val="auto"/>
              </w:rPr>
              <w:t>Balance for three months ended June 30, 2024</w:t>
            </w: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8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cost of revenue (a)</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Adjusted operating expenses (a)</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580" w:type="dxa"/>
            <w:vAlign w:val="bottom"/>
            <w:gridSpan w:val="2"/>
          </w:tcPr>
          <w:p>
            <w:pPr>
              <w:jc w:val="right"/>
              <w:ind w:right="38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18"/>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segment operating income</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Corporate and other (loss)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Gain/(loss) on sale of businesses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8"/>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Water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Applied Water</w:t>
            </w:r>
          </w:p>
        </w:tc>
        <w:tc>
          <w:tcPr>
            <w:tcW w:w="1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Measurement and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Water Solutions</w:t>
            </w:r>
          </w:p>
        </w:tc>
        <w:tc>
          <w:tcPr>
            <w:tcW w:w="280" w:type="dxa"/>
            <w:vAlign w:val="bottom"/>
          </w:tcPr>
          <w:p>
            <w:pPr>
              <w:spacing w:after="0"/>
              <w:rPr>
                <w:sz w:val="14"/>
                <w:szCs w:val="14"/>
                <w:color w:val="auto"/>
              </w:rPr>
            </w:pPr>
          </w:p>
        </w:tc>
        <w:tc>
          <w:tcPr>
            <w:tcW w:w="10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Infrastructure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Control Solutions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and Services</w:t>
            </w: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Balance for six months ended June 30, 2025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918</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4,370</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cost of revenue (a)</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Adjusted operating expenses (a)</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585</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segment operating income</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Corporate and other (loss)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Gain/(loss) on sale of businesses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Water</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Measurement and</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rPr>
              <w:t>Water Solutions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2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Applied Water</w:t>
            </w:r>
          </w:p>
        </w:tc>
        <w:tc>
          <w:tcPr>
            <w:tcW w:w="140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Infrastructure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400" w:type="dxa"/>
            <w:vAlign w:val="bottom"/>
            <w:gridSpan w:val="4"/>
          </w:tcPr>
          <w:p>
            <w:pPr>
              <w:ind w:left="60"/>
              <w:spacing w:after="0"/>
              <w:rPr>
                <w:sz w:val="20"/>
                <w:szCs w:val="20"/>
                <w:color w:val="auto"/>
              </w:rPr>
            </w:pPr>
            <w:r>
              <w:rPr>
                <w:rFonts w:ascii="Arial" w:cs="Arial" w:eastAsia="Arial" w:hAnsi="Arial"/>
                <w:sz w:val="14"/>
                <w:szCs w:val="14"/>
                <w:b w:val="1"/>
                <w:bCs w:val="1"/>
                <w:color w:val="auto"/>
              </w:rPr>
              <w:t>Control Solutions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and Services</w:t>
            </w: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60" w:type="dxa"/>
            <w:vAlign w:val="bottom"/>
          </w:tcPr>
          <w:p>
            <w:pPr>
              <w:ind w:left="20"/>
              <w:spacing w:after="0"/>
              <w:rPr>
                <w:sz w:val="20"/>
                <w:szCs w:val="20"/>
                <w:color w:val="auto"/>
              </w:rPr>
            </w:pPr>
            <w:r>
              <w:rPr>
                <w:rFonts w:ascii="Arial" w:cs="Arial" w:eastAsia="Arial" w:hAnsi="Arial"/>
                <w:sz w:val="18"/>
                <w:szCs w:val="18"/>
                <w:color w:val="auto"/>
              </w:rPr>
              <w:t>Balance for six months ended June 30, 2024</w:t>
            </w: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cost of revenue (a)</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Adjusted operating expenses (a)</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540" w:type="dxa"/>
            <w:vAlign w:val="bottom"/>
            <w:gridSpan w:val="2"/>
          </w:tcPr>
          <w:p>
            <w:pPr>
              <w:jc w:val="right"/>
              <w:ind w:right="348"/>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18"/>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segment operating income</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Corporate and other (loss)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Gain/(loss) on sale of businesses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8"/>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40" w:firstLine="8"/>
        <w:spacing w:after="0" w:line="275" w:lineRule="auto"/>
        <w:tabs>
          <w:tab w:leader="none" w:pos="2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costs of revenue and adjusted operating expenses represent segment-level information that are regularly provided to the CODM. These balances represent costs of revenue and operating expenses, respectively, adjusted to exclude purchase accounting intangible amortization, restructuring and realignment expenses, and special charges.</w:t>
      </w:r>
    </w:p>
    <w:p>
      <w:pPr>
        <w:spacing w:after="0" w:line="56" w:lineRule="exact"/>
        <w:rPr>
          <w:rFonts w:ascii="Arial" w:cs="Arial" w:eastAsia="Arial" w:hAnsi="Arial"/>
          <w:sz w:val="16"/>
          <w:szCs w:val="16"/>
          <w:color w:val="auto"/>
        </w:rPr>
      </w:pPr>
    </w:p>
    <w:p>
      <w:pPr>
        <w:ind w:right="20" w:firstLine="8"/>
        <w:spacing w:after="0" w:line="275" w:lineRule="auto"/>
        <w:tabs>
          <w:tab w:leader="none" w:pos="2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segment items for each segment represents purchase accounting intangible amortization, restructuring and realignment expenses, and special charges, which are excluded from the above significant expense categories regularly provided to the CODM in line with our adjusted measures as outlined in Item 7 "Management's Discussion and Analysis of Financial Condition and Results of Operations" in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section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 1 in the Annual Report. The following table contains financial information for each reportable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58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96"/>
              </w:rPr>
              <w:t>2024</w:t>
            </w:r>
          </w:p>
        </w:tc>
        <w:tc>
          <w:tcPr>
            <w:tcW w:w="0" w:type="dxa"/>
            <w:vAlign w:val="bottom"/>
          </w:tcPr>
          <w:p>
            <w:pPr>
              <w:spacing w:after="0"/>
              <w:rPr>
                <w:sz w:val="1"/>
                <w:szCs w:val="1"/>
                <w:color w:val="auto"/>
              </w:rPr>
            </w:pPr>
          </w:p>
        </w:tc>
      </w:tr>
      <w:tr>
        <w:trPr>
          <w:trHeight w:val="211"/>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1000" w:type="dxa"/>
            <w:vAlign w:val="bottom"/>
          </w:tcPr>
          <w:p>
            <w:pPr>
              <w:jc w:val="right"/>
              <w:ind w:right="79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Measurement and Control Solutions</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Solutions and Services</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2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and Control Solutions</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Water Solutions and Services</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selling locations (a)</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  Represents capital expenditures incurred by the Regional selling locations not allocated to the segments.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Redeemable Non-Controlling Interest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holder of the non-controlling interest in Idrica, which is a consolidated subsidiary of the Company, has a right to sell the remaining equity interest in Idrica to the Company for cash (the “Put Right”). The Put Right is exercisable after December 10, 2027 and has a fixed strike price of €168 million during the first two years after it is exercisable. Beginning in the third year of exercisability, the Put Right is exercisable at the fair market value of underlying equity interests. Redeemable non-controlling interest is reflected in the consolidated balance sheets at the greater of the carrying value or the redemption value. As of June 30, 2025, the redeemable non-controlling interest is reflected in the consolidated balance sheet at its carrying value.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the redeemable non-controlling interest for the six months ended June 30,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9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2025</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r>
      <w:tr>
        <w:trPr>
          <w:trHeight w:val="230"/>
        </w:trPr>
        <w:tc>
          <w:tcPr>
            <w:tcW w:w="8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loss attributable to non-controlling interest</w:t>
            </w:r>
          </w:p>
        </w:tc>
        <w:tc>
          <w:tcPr>
            <w:tcW w:w="10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r>
      <w:tr>
        <w:trPr>
          <w:trHeight w:val="230"/>
        </w:trPr>
        <w:tc>
          <w:tcPr>
            <w:tcW w:w="8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loss attributable to non-controlling interest</w:t>
            </w:r>
          </w:p>
        </w:tc>
        <w:tc>
          <w:tcPr>
            <w:tcW w:w="10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2025</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21. Subsequent Events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EMX Holdings, Inc.</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23, 2025, we completed the acquisition of 100% ownership in EMX Holdings, Inc. and its subsidiary ("EnviroMix"). EnviroMix is headquartered in South Carolina, U.S., and provides mixing and process control products and services to municipal and industrial customers. The transaction had a purchase price of $108 million in cash, subject to working capital and other ordinary adjustments. EnviroMix will be included in the Water Infrastructure segment. We are currently in the process of finalizing the initial accounting for the transaction, which will be reflected in the financial results of the third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left="940" w:right="2260" w:hanging="917"/>
        <w:spacing w:after="0" w:line="249" w:lineRule="auto"/>
        <w:tabs>
          <w:tab w:leader="none" w:pos="9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80"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i w:val="1"/>
          <w:iCs w:val="1"/>
          <w:color w:val="auto"/>
        </w:rPr>
        <w:t>The following discussion should be read in conjunction with the condensed consolidated financial statements, including the notes, included elsewhere in this report on Form 10-Q (this "Report").</w:t>
      </w:r>
    </w:p>
    <w:p>
      <w:pPr>
        <w:spacing w:after="0" w:line="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interest rates, inflation and related monetary policy by governments in response to inflation, and the strength of the residential and commercial real estate markets, on economic activity and our operations; geopolitical events, including ongoing, possible escalation or outbreak of international conflicts, as well as regulatory, economic and other risks associated with our global sales and operations, including those related to domestic content requirements applicable to projects receiving governmental funding; manufacturing and operating cost increases due to macroeconomic conditions, including inflation, energy supply, supply chain shortages, logistics challenges, tight labor markets, prevailing price changes, tariffs, trade policies and other factors; demand for our products, disruption, competition or pricing pressures in the markets we serve; cybersecurity incidents or other disruptions of information technology systems on which we rely, or involving our connected products and services; lack of availability or delays in receiving parts and raw materials from our supply chain, including electronic components (in particular, semiconductors); disruptions in operations at our facilities or that of third parties upon which we rely; uncertainty related to the realization of the benefits and synergies from our acquisition of Evoqua Water Technologies Corp.; safe and compliant treatment and handling of water, wastewater and hazardous materials; failure to successfully execute large projects, including with respect to meeting performance guarantees and customers’ budgets, timelines and safety requirements; our ability to retain and attract leadership and other diverse and key talent, as well as competition for overall talent and labor; defects, security, warranty and liability claims, and recalls related to our products; uncertainty around restructuring and realignment actions and related costs and savings; our ability to execute strategic investments for growth, including related to acquisitions and divestitures; availability, regulation or interference with radio spectrum used by certain of our products; volatility in served markets or impacts on our business and operations due to weather conditions, including the effects of climate change; risks related to our sustainability commitments and related disclosures; fluctuations in foreign currency exchange rates; difficulty predicting our financial results; risk of future impairments to goodwill and other intangible assets; changes in our effective tax rates or tax expenses; financial market risks related to our pension and other defined benefit plans; failure to comply with, or changes in, laws or regulations, including those pertaining to our business conduct, operations, products and services, including anti-corruption, data privacy and security, trade, competition, the environment, climate change and health and safety; legal, governmental or regulatory claims, investigations or proceedings and associated contingent liabilities; matters related to intellectual property infringement or expiration of rights; and other factors set forth under “Item 1A. Risk Factors” in our Annual Report on Form 10-K for the year ended December 31, 2024 ("2024 Annual Report") and in subsequent filings we make with the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40" w:name="page41"/>
    <w:bookmarkEnd w:id="40"/>
    <w:p>
      <w:pPr>
        <w:ind w:right="60"/>
        <w:spacing w:after="0" w:line="255" w:lineRule="auto"/>
        <w:rPr>
          <w:sz w:val="20"/>
          <w:szCs w:val="20"/>
          <w:color w:val="auto"/>
        </w:rPr>
      </w:pPr>
      <w:r>
        <w:rPr>
          <w:rFonts w:ascii="Arial" w:cs="Arial" w:eastAsia="Arial" w:hAnsi="Arial"/>
          <w:sz w:val="18"/>
          <w:szCs w:val="18"/>
          <w:i w:val="1"/>
          <w:iCs w:val="1"/>
          <w:color w:val="auto"/>
        </w:rPr>
        <w:t>Forward-looking and other statements in this Report regarding our environmental and other sustainability plans and goals are not an indication that these statements are necessarily material to investors, to our business, operating results, financial condition, outlook, or strategy, to our impacts on sustainability matters or other parties, or are required to be disclosed in our filings with the SEC.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Water Solutions and Services.</w:t>
      </w:r>
    </w:p>
    <w:p>
      <w:pPr>
        <w:spacing w:after="0" w:line="74" w:lineRule="exact"/>
        <w:rPr>
          <w:sz w:val="20"/>
          <w:szCs w:val="20"/>
          <w:color w:val="auto"/>
        </w:rPr>
      </w:pPr>
    </w:p>
    <w:p>
      <w:pPr>
        <w:ind w:left="660" w:right="34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transportation and treatment of water, offering a range of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water, wastewater and storm water pumps, controls and systems; treatment equipment: filtration and separation, disinfection, wastewater solutions for municipal and industrial applications.</w:t>
      </w:r>
    </w:p>
    <w:p>
      <w:pPr>
        <w:spacing w:after="0" w:line="62"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solutions markets.</w:t>
      </w:r>
    </w:p>
    <w:p>
      <w:pPr>
        <w:spacing w:after="0" w:line="44"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and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w:t>
      </w:r>
    </w:p>
    <w:p>
      <w:pPr>
        <w:spacing w:after="0" w:line="31" w:lineRule="exact"/>
        <w:rPr>
          <w:rFonts w:ascii="Arial" w:cs="Arial" w:eastAsia="Arial" w:hAnsi="Arial"/>
          <w:sz w:val="18"/>
          <w:szCs w:val="18"/>
          <w:color w:val="auto"/>
        </w:rPr>
      </w:pPr>
    </w:p>
    <w:p>
      <w:pPr>
        <w:ind w:left="660" w:hanging="328"/>
        <w:spacing w:after="0" w:line="237" w:lineRule="exact"/>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Water Solutions and Services </w:t>
      </w:r>
      <w:r>
        <w:rPr>
          <w:rFonts w:ascii="Arial" w:cs="Arial" w:eastAsia="Arial" w:hAnsi="Arial"/>
          <w:sz w:val="18"/>
          <w:szCs w:val="18"/>
          <w:color w:val="auto"/>
        </w:rPr>
        <w:t>provides tailored services and solutions, in collaboration with customers,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w:t>
      </w:r>
      <w:r>
        <w:rPr>
          <w:rFonts w:ascii="Arial" w:cs="Arial" w:eastAsia="Arial" w:hAnsi="Arial"/>
          <w:sz w:val="18"/>
          <w:szCs w:val="18"/>
          <w:i w:val="1"/>
          <w:iCs w:val="1"/>
          <w:color w:val="auto"/>
        </w:rPr>
        <w:t xml:space="preserve"> </w:t>
      </w:r>
      <w:r>
        <w:rPr>
          <w:rFonts w:ascii="Arial" w:cs="Arial" w:eastAsia="Arial" w:hAnsi="Arial"/>
          <w:sz w:val="18"/>
          <w:szCs w:val="18"/>
          <w:color w:val="auto"/>
        </w:rPr>
        <w:t>outsourced water, recycle/reuse, pipeline assessment services, specialty dewatering and emergency response service alternatives to improve operational reliability, performance and environmental compliance.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Xylem reported revenue for the second quarter of 2025 of $2,301 million, an increase of 6.1% compared to $2,169 million reported in the second quarter of 2024. The revenue increase consisted primarily of organic growth of 5.5% across all of our segments, led by strong volume in our Measurement and Control Solutions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the quarter ended June 30, 2025 include the following:</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Orders of $2,174 million, up 4.1% from $2,087 million in the prior year period, and up 3.7% on an organic basis.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per share of $0.93, up 16.3% compared to prior year ($1.26, up 15.6% versus prior year, on an adjusted basis).</w:t>
      </w:r>
    </w:p>
    <w:p>
      <w:pPr>
        <w:spacing w:after="0" w:line="117"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attributable to Xylem as a percent of revenue of 9.8%, up 90 basis points compared to 8.9% in the prior year. Adjusted EBITDA margin of 21.8%, up 100 basis points when compared to 20.8%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 titled measures reported by other companies.</w:t>
      </w:r>
    </w:p>
    <w:p>
      <w:pPr>
        <w:spacing w:after="0" w:line="79" w:lineRule="exact"/>
        <w:rPr>
          <w:sz w:val="20"/>
          <w:szCs w:val="20"/>
          <w:color w:val="auto"/>
        </w:rPr>
      </w:pPr>
    </w:p>
    <w:p>
      <w:pPr>
        <w:ind w:left="660" w:hanging="328"/>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71"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62" w:lineRule="exact"/>
        <w:rPr>
          <w:rFonts w:ascii="Arial" w:cs="Arial" w:eastAsia="Arial" w:hAnsi="Arial"/>
          <w:sz w:val="18"/>
          <w:szCs w:val="18"/>
          <w:color w:val="auto"/>
        </w:rPr>
      </w:pPr>
    </w:p>
    <w:p>
      <w:pPr>
        <w:ind w:left="660" w:right="200" w:hanging="328"/>
        <w:spacing w:after="0" w:line="26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attributable to Xylem and corresponding earnings per share, respectively, adjusted to exclude restructuring and realignment costs, amortization of acquired intangible assets, gain or loss from sale of businesses, special charges and tax-related special items, as applicable. A reconciliation of adjusted net income and adjusted earnings per share is provided below.</w:t>
      </w:r>
    </w:p>
    <w:p>
      <w:pPr>
        <w:spacing w:after="0" w:line="118"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for per share data)</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2024</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240" w:type="dxa"/>
            <w:vAlign w:val="bottom"/>
            <w:shd w:val="clear" w:color="auto" w:fill="CCEEFF"/>
          </w:tcPr>
          <w:p>
            <w:pPr>
              <w:ind w:left="140"/>
              <w:spacing w:after="0" w:line="157" w:lineRule="exact"/>
              <w:rPr>
                <w:sz w:val="20"/>
                <w:szCs w:val="20"/>
                <w:color w:val="auto"/>
              </w:rPr>
            </w:pPr>
            <w:r>
              <w:rPr>
                <w:rFonts w:ascii="Arial" w:cs="Arial" w:eastAsia="Arial" w:hAnsi="Arial"/>
                <w:sz w:val="18"/>
                <w:szCs w:val="18"/>
                <w:b w:val="1"/>
                <w:bCs w:val="1"/>
                <w:color w:val="auto"/>
              </w:rPr>
              <w:t>Net income attributable to Xylem &amp;</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3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shd w:val="clear" w:color="auto" w:fill="CCEEFF"/>
          </w:tcPr>
          <w:p>
            <w:pPr>
              <w:jc w:val="center"/>
              <w:ind w:left="74"/>
              <w:spacing w:after="0"/>
              <w:rPr>
                <w:sz w:val="20"/>
                <w:szCs w:val="20"/>
                <w:color w:val="auto"/>
              </w:rPr>
            </w:pPr>
            <w:r>
              <w:rPr>
                <w:rFonts w:ascii="Arial" w:cs="Arial" w:eastAsia="Arial" w:hAnsi="Arial"/>
                <w:sz w:val="18"/>
                <w:szCs w:val="18"/>
                <w:b w:val="1"/>
                <w:bCs w:val="1"/>
                <w:color w:val="auto"/>
                <w:w w:val="96"/>
              </w:rPr>
              <w:t>1.62</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360" w:type="dxa"/>
            <w:vAlign w:val="bottom"/>
            <w:gridSpan w:val="3"/>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center"/>
              <w:ind w:left="74"/>
              <w:spacing w:after="0"/>
              <w:rPr>
                <w:sz w:val="20"/>
                <w:szCs w:val="20"/>
                <w:color w:val="auto"/>
              </w:rPr>
            </w:pPr>
            <w:r>
              <w:rPr>
                <w:rFonts w:ascii="Arial" w:cs="Arial" w:eastAsia="Arial" w:hAnsi="Arial"/>
                <w:sz w:val="18"/>
                <w:szCs w:val="18"/>
                <w:b w:val="1"/>
                <w:bCs w:val="1"/>
                <w:color w:val="auto"/>
                <w:w w:val="96"/>
              </w:rPr>
              <w:t>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intangible amortization</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74"/>
              <w:spacing w:after="0"/>
              <w:rPr>
                <w:sz w:val="20"/>
                <w:szCs w:val="20"/>
                <w:color w:val="auto"/>
              </w:rPr>
            </w:pPr>
            <w:r>
              <w:rPr>
                <w:rFonts w:ascii="Arial" w:cs="Arial" w:eastAsia="Arial" w:hAnsi="Arial"/>
                <w:sz w:val="18"/>
                <w:szCs w:val="18"/>
                <w:b w:val="1"/>
                <w:bCs w:val="1"/>
                <w:color w:val="auto"/>
                <w:w w:val="96"/>
              </w:rPr>
              <w:t>0.45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Special charges</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center"/>
              <w:ind w:left="74"/>
              <w:spacing w:after="0"/>
              <w:rPr>
                <w:sz w:val="20"/>
                <w:szCs w:val="20"/>
                <w:color w:val="auto"/>
              </w:rPr>
            </w:pPr>
            <w:r>
              <w:rPr>
                <w:rFonts w:ascii="Arial" w:cs="Arial" w:eastAsia="Arial" w:hAnsi="Arial"/>
                <w:sz w:val="18"/>
                <w:szCs w:val="18"/>
                <w:b w:val="1"/>
                <w:bCs w:val="1"/>
                <w:color w:val="auto"/>
                <w:w w:val="96"/>
              </w:rPr>
              <w:t>0.10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Tax-related special items</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74"/>
              <w:spacing w:after="0"/>
              <w:rPr>
                <w:sz w:val="20"/>
                <w:szCs w:val="20"/>
                <w:color w:val="auto"/>
              </w:rPr>
            </w:pPr>
            <w:r>
              <w:rPr>
                <w:rFonts w:ascii="Arial" w:cs="Arial" w:eastAsia="Arial" w:hAnsi="Arial"/>
                <w:sz w:val="18"/>
                <w:szCs w:val="18"/>
                <w:b w:val="1"/>
                <w:bCs w:val="1"/>
                <w:color w:val="auto"/>
                <w:w w:val="96"/>
              </w:rPr>
              <w:t>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Loss/(gain) from sale of business</w:t>
            </w:r>
          </w:p>
        </w:tc>
        <w:tc>
          <w:tcPr>
            <w:tcW w:w="2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center"/>
              <w:ind w:left="74"/>
              <w:spacing w:after="0"/>
              <w:rPr>
                <w:sz w:val="20"/>
                <w:szCs w:val="20"/>
                <w:color w:val="auto"/>
              </w:rPr>
            </w:pPr>
            <w:r>
              <w:rPr>
                <w:rFonts w:ascii="Arial" w:cs="Arial" w:eastAsia="Arial" w:hAnsi="Arial"/>
                <w:sz w:val="18"/>
                <w:szCs w:val="18"/>
                <w:b w:val="1"/>
                <w:bCs w:val="1"/>
                <w:color w:val="auto"/>
                <w:w w:val="96"/>
              </w:rPr>
              <w:t>0.04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effects of adjustments (a)</w:t>
            </w: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ind w:left="54"/>
              <w:spacing w:after="0"/>
              <w:rPr>
                <w:sz w:val="20"/>
                <w:szCs w:val="20"/>
                <w:color w:val="auto"/>
              </w:rPr>
            </w:pPr>
            <w:r>
              <w:rPr>
                <w:rFonts w:ascii="Arial" w:cs="Arial" w:eastAsia="Arial" w:hAnsi="Arial"/>
                <w:sz w:val="18"/>
                <w:szCs w:val="18"/>
                <w:b w:val="1"/>
                <w:bCs w:val="1"/>
                <w:color w:val="auto"/>
              </w:rPr>
              <w:t>(0.17)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55"/>
        </w:trPr>
        <w:tc>
          <w:tcPr>
            <w:tcW w:w="3240" w:type="dxa"/>
            <w:vAlign w:val="bottom"/>
          </w:tcPr>
          <w:p>
            <w:pPr>
              <w:ind w:left="140"/>
              <w:spacing w:after="0" w:line="156" w:lineRule="exact"/>
              <w:rPr>
                <w:sz w:val="20"/>
                <w:szCs w:val="20"/>
                <w:color w:val="auto"/>
              </w:rPr>
            </w:pPr>
            <w:r>
              <w:rPr>
                <w:rFonts w:ascii="Arial" w:cs="Arial" w:eastAsia="Arial" w:hAnsi="Arial"/>
                <w:sz w:val="18"/>
                <w:szCs w:val="18"/>
                <w:b w:val="1"/>
                <w:bCs w:val="1"/>
                <w:color w:val="auto"/>
              </w:rPr>
              <w:t>Adjusted net income &amp; Adjusted</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307</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1.26</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559</w:t>
            </w:r>
          </w:p>
        </w:tc>
        <w:tc>
          <w:tcPr>
            <w:tcW w:w="36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center"/>
              <w:ind w:left="74"/>
              <w:spacing w:after="0"/>
              <w:rPr>
                <w:sz w:val="20"/>
                <w:szCs w:val="20"/>
                <w:color w:val="auto"/>
              </w:rPr>
            </w:pPr>
            <w:r>
              <w:rPr>
                <w:rFonts w:ascii="Arial" w:cs="Arial" w:eastAsia="Arial" w:hAnsi="Arial"/>
                <w:sz w:val="18"/>
                <w:szCs w:val="18"/>
                <w:b w:val="1"/>
                <w:bCs w:val="1"/>
                <w:color w:val="auto"/>
                <w:w w:val="96"/>
              </w:rPr>
              <w:t>2.29</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360" w:type="dxa"/>
            <w:vAlign w:val="bottom"/>
            <w:gridSpan w:val="3"/>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40" w:type="dxa"/>
            <w:vAlign w:val="bottom"/>
            <w:shd w:val="clear" w:color="auto" w:fill="CCEEFF"/>
          </w:tcPr>
          <w:p>
            <w:pPr>
              <w:ind w:left="140"/>
              <w:spacing w:after="0" w:line="142" w:lineRule="exact"/>
              <w:rPr>
                <w:sz w:val="20"/>
                <w:szCs w:val="20"/>
                <w:color w:val="auto"/>
              </w:rPr>
            </w:pPr>
            <w:r>
              <w:rPr>
                <w:rFonts w:ascii="Arial" w:cs="Arial" w:eastAsia="Arial" w:hAnsi="Arial"/>
                <w:sz w:val="16"/>
                <w:szCs w:val="16"/>
                <w:b w:val="1"/>
                <w:bCs w:val="1"/>
                <w:color w:val="auto"/>
              </w:rPr>
              <w:t>Weighted average number of</w:t>
            </w: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243.5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243.8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243.3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shares - diluted</w:t>
            </w:r>
          </w:p>
        </w:tc>
        <w:tc>
          <w:tcPr>
            <w:tcW w:w="2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80" w:right="400" w:hanging="6"/>
        <w:spacing w:after="0" w:line="271" w:lineRule="auto"/>
        <w:tabs>
          <w:tab w:leader="none" w:pos="9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tax effects of adjustments are calculated using the statutory tax rate, taking into consideration the nature of the item and the relevant taxing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ind w:left="328" w:right="540" w:hanging="328"/>
        <w:spacing w:after="0" w:line="287"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operating expenses" defined as operating expenses adjusted to exclude amortization of acquired intangible assets, restructuring and realignment costs and special charges, as applicable.</w:t>
      </w:r>
    </w:p>
    <w:p>
      <w:pPr>
        <w:spacing w:after="0" w:line="44" w:lineRule="exact"/>
        <w:rPr>
          <w:rFonts w:ascii="Arial" w:cs="Arial" w:eastAsia="Arial" w:hAnsi="Arial"/>
          <w:sz w:val="18"/>
          <w:szCs w:val="18"/>
          <w:color w:val="auto"/>
        </w:rPr>
      </w:pPr>
    </w:p>
    <w:p>
      <w:pPr>
        <w:ind w:left="328" w:right="40" w:hanging="328"/>
        <w:spacing w:after="0" w:line="262"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amortization of acquired intangible assets, gain or loss from sale of businesses, gain on remeasurement of previously held equity interest, special charges and tax-related special items, as applicable, and "adjusted operating margin" defined as adjusted operating income divided by total revenue.</w:t>
      </w:r>
    </w:p>
    <w:p>
      <w:pPr>
        <w:spacing w:after="0" w:line="68" w:lineRule="exact"/>
        <w:rPr>
          <w:rFonts w:ascii="Arial" w:cs="Arial" w:eastAsia="Arial" w:hAnsi="Arial"/>
          <w:sz w:val="18"/>
          <w:szCs w:val="18"/>
          <w:color w:val="auto"/>
        </w:rPr>
      </w:pPr>
    </w:p>
    <w:p>
      <w:pPr>
        <w:ind w:left="328" w:right="120" w:hanging="328"/>
        <w:spacing w:after="0" w:line="262"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"EBITDA margin" defined as EBITDA divided by total revenue, "adjusted EBITDA" reflects the adjustment to EBITDA to exclude share-based compensation charges, restructuring and realignment costs, gain or loss from sale of businesses, and special charges, and "adjusted EBITDA margin" defined as adjusted EBITDA divided by total revenue.</w:t>
      </w:r>
    </w:p>
    <w:p>
      <w:pPr>
        <w:spacing w:after="0" w:line="68" w:lineRule="exact"/>
        <w:rPr>
          <w:rFonts w:ascii="Arial" w:cs="Arial" w:eastAsia="Arial" w:hAnsi="Arial"/>
          <w:sz w:val="18"/>
          <w:szCs w:val="18"/>
          <w:color w:val="auto"/>
        </w:rPr>
      </w:pPr>
    </w:p>
    <w:p>
      <w:pPr>
        <w:ind w:left="328" w:right="260" w:hanging="328"/>
        <w:spacing w:after="0" w:line="287"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44" w:lineRule="exact"/>
        <w:rPr>
          <w:rFonts w:ascii="Arial" w:cs="Arial" w:eastAsia="Arial" w:hAnsi="Arial"/>
          <w:sz w:val="18"/>
          <w:szCs w:val="18"/>
          <w:color w:val="auto"/>
        </w:rPr>
      </w:pPr>
    </w:p>
    <w:p>
      <w:pPr>
        <w:ind w:left="328" w:right="220" w:hanging="328"/>
        <w:spacing w:after="0" w:line="287"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“special charges" defined as non-recurring costs incurred by the Company, such as those related to acquisitions and integrations, divestitures and non-cash impairment charges.</w:t>
      </w:r>
    </w:p>
    <w:p>
      <w:pPr>
        <w:spacing w:after="0" w:line="44" w:lineRule="exact"/>
        <w:rPr>
          <w:rFonts w:ascii="Arial" w:cs="Arial" w:eastAsia="Arial" w:hAnsi="Arial"/>
          <w:sz w:val="18"/>
          <w:szCs w:val="18"/>
          <w:color w:val="auto"/>
        </w:rPr>
      </w:pPr>
    </w:p>
    <w:p>
      <w:pPr>
        <w:ind w:left="328" w:right="420" w:hanging="328"/>
        <w:spacing w:after="0" w:line="287"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44" w:lineRule="exact"/>
        <w:rPr>
          <w:rFonts w:ascii="Arial" w:cs="Arial" w:eastAsia="Arial" w:hAnsi="Arial"/>
          <w:sz w:val="18"/>
          <w:szCs w:val="18"/>
          <w:color w:val="auto"/>
        </w:rPr>
      </w:pPr>
    </w:p>
    <w:p>
      <w:pPr>
        <w:ind w:left="328" w:hanging="328"/>
        <w:spacing w:after="0" w:line="268"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"free cash flow" defined as net cash from operating activities, as reported in the Statement of Cash Flows, less capital expenditures. Our definition of "free cash flow" does not consider certain non-discretionary cash payments, such as debt. The following table provides a reconciliation of free cash flow.</w:t>
      </w:r>
    </w:p>
    <w:p>
      <w:pPr>
        <w:spacing w:after="0" w:line="113" w:lineRule="exact"/>
        <w:rPr>
          <w:sz w:val="20"/>
          <w:szCs w:val="20"/>
          <w:color w:val="auto"/>
        </w:rPr>
      </w:pPr>
    </w:p>
    <w:tbl>
      <w:tblPr>
        <w:tblLayout w:type="fixed"/>
        <w:tblInd w:w="248"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4"/>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center"/>
              <w:ind w:left="717"/>
              <w:spacing w:after="0"/>
              <w:rPr>
                <w:sz w:val="20"/>
                <w:szCs w:val="20"/>
                <w:color w:val="auto"/>
              </w:rPr>
            </w:pPr>
            <w:r>
              <w:rPr>
                <w:rFonts w:ascii="Arial" w:cs="Arial" w:eastAsia="Arial" w:hAnsi="Arial"/>
                <w:sz w:val="18"/>
                <w:szCs w:val="18"/>
                <w:b w:val="1"/>
                <w:bCs w:val="1"/>
                <w:color w:val="auto"/>
                <w:w w:val="99"/>
              </w:rPr>
              <w:t>338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99"/>
              </w:rPr>
              <w:t>377</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Capital expenditures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77"/>
              <w:spacing w:after="0"/>
              <w:rPr>
                <w:sz w:val="20"/>
                <w:szCs w:val="20"/>
                <w:color w:val="auto"/>
              </w:rPr>
            </w:pPr>
            <w:r>
              <w:rPr>
                <w:rFonts w:ascii="Arial" w:cs="Arial" w:eastAsia="Arial" w:hAnsi="Arial"/>
                <w:sz w:val="18"/>
                <w:szCs w:val="18"/>
                <w:b w:val="1"/>
                <w:bCs w:val="1"/>
                <w:color w:val="auto"/>
                <w:w w:val="99"/>
              </w:rPr>
              <w:t>(169)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493"/>
              <w:spacing w:after="0"/>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Free cash flow</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center"/>
              <w:ind w:left="717"/>
              <w:spacing w:after="0"/>
              <w:rPr>
                <w:sz w:val="20"/>
                <w:szCs w:val="20"/>
                <w:color w:val="auto"/>
              </w:rPr>
            </w:pPr>
            <w:r>
              <w:rPr>
                <w:rFonts w:ascii="Arial" w:cs="Arial" w:eastAsia="Arial" w:hAnsi="Arial"/>
                <w:sz w:val="18"/>
                <w:szCs w:val="18"/>
                <w:b w:val="1"/>
                <w:bCs w:val="1"/>
                <w:color w:val="auto"/>
                <w:w w:val="99"/>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center"/>
              <w:ind w:left="493"/>
              <w:spacing w:after="0"/>
              <w:rPr>
                <w:sz w:val="20"/>
                <w:szCs w:val="20"/>
                <w:color w:val="auto"/>
              </w:rPr>
            </w:pPr>
            <w:r>
              <w:rPr>
                <w:rFonts w:ascii="Arial" w:cs="Arial" w:eastAsia="Arial" w:hAnsi="Arial"/>
                <w:sz w:val="18"/>
                <w:szCs w:val="18"/>
                <w:color w:val="auto"/>
                <w:w w:val="99"/>
              </w:rPr>
              <w:t>230</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vMerge w:val="continue"/>
          </w:tcPr>
          <w:p>
            <w:pPr>
              <w:spacing w:after="0"/>
              <w:rPr>
                <w:sz w:val="17"/>
                <w:szCs w:val="17"/>
                <w:color w:val="auto"/>
              </w:rPr>
            </w:pP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center"/>
              <w:ind w:left="677"/>
              <w:spacing w:after="0" w:line="203" w:lineRule="exact"/>
              <w:rPr>
                <w:sz w:val="20"/>
                <w:szCs w:val="20"/>
                <w:color w:val="auto"/>
              </w:rPr>
            </w:pPr>
            <w:r>
              <w:rPr>
                <w:rFonts w:ascii="Arial" w:cs="Arial" w:eastAsia="Arial" w:hAnsi="Arial"/>
                <w:sz w:val="18"/>
                <w:szCs w:val="18"/>
                <w:b w:val="1"/>
                <w:bCs w:val="1"/>
                <w:color w:val="auto"/>
                <w:w w:val="99"/>
              </w:rPr>
              <w:t>(140)</w:t>
            </w:r>
          </w:p>
        </w:tc>
        <w:tc>
          <w:tcPr>
            <w:tcW w:w="100" w:type="dxa"/>
            <w:vAlign w:val="bottom"/>
          </w:tcPr>
          <w:p>
            <w:pPr>
              <w:spacing w:after="0"/>
              <w:rPr>
                <w:sz w:val="17"/>
                <w:szCs w:val="17"/>
                <w:color w:val="auto"/>
              </w:rPr>
            </w:pPr>
          </w:p>
        </w:tc>
        <w:tc>
          <w:tcPr>
            <w:tcW w:w="620" w:type="dxa"/>
            <w:vAlign w:val="bottom"/>
          </w:tcPr>
          <w:p>
            <w:pPr>
              <w:jc w:val="right"/>
              <w:ind w:right="4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Pr>
          <w:p>
            <w:pPr>
              <w:jc w:val="center"/>
              <w:ind w:left="493"/>
              <w:spacing w:after="0" w:line="203"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by financing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center"/>
              <w:ind w:left="677"/>
              <w:spacing w:after="0"/>
              <w:rPr>
                <w:sz w:val="20"/>
                <w:szCs w:val="20"/>
                <w:color w:val="auto"/>
              </w:rPr>
            </w:pPr>
            <w:r>
              <w:rPr>
                <w:rFonts w:ascii="Arial" w:cs="Arial" w:eastAsia="Arial" w:hAnsi="Arial"/>
                <w:sz w:val="18"/>
                <w:szCs w:val="18"/>
                <w:b w:val="1"/>
                <w:bCs w:val="1"/>
                <w:color w:val="auto"/>
                <w:w w:val="99"/>
              </w:rPr>
              <w:t>(244)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99"/>
              </w:rPr>
              <w:t>(419)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12"/>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8"/>
          </w:cols>
          <w:pgMar w:left="652" w:top="1201"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Results of 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2,301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4,370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4,202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892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1,660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Gross margin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bp</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587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1,124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 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26.4 %</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(70) bp</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305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536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Operating margin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bp</w:t>
            </w:r>
          </w:p>
        </w:tc>
        <w:tc>
          <w:tcPr>
            <w:tcW w:w="0" w:type="dxa"/>
            <w:vAlign w:val="bottom"/>
          </w:tcPr>
          <w:p>
            <w:pPr>
              <w:spacing w:after="0"/>
              <w:rPr>
                <w:sz w:val="1"/>
                <w:szCs w:val="1"/>
                <w:color w:val="auto"/>
              </w:rPr>
            </w:pPr>
          </w:p>
        </w:tc>
      </w:tr>
      <w:tr>
        <w:trPr>
          <w:trHeight w:val="176"/>
        </w:trPr>
        <w:tc>
          <w:tcPr>
            <w:tcW w:w="3080" w:type="dxa"/>
            <w:vAlign w:val="bottom"/>
          </w:tcPr>
          <w:p>
            <w:pPr>
              <w:ind w:left="140"/>
              <w:spacing w:after="0" w:line="176" w:lineRule="exact"/>
              <w:rPr>
                <w:sz w:val="20"/>
                <w:szCs w:val="20"/>
                <w:color w:val="auto"/>
              </w:rPr>
            </w:pPr>
            <w:r>
              <w:rPr>
                <w:rFonts w:ascii="Arial" w:cs="Arial" w:eastAsia="Arial" w:hAnsi="Arial"/>
                <w:sz w:val="18"/>
                <w:szCs w:val="18"/>
                <w:color w:val="auto"/>
              </w:rPr>
              <w:t>Interest and other non-operating</w:t>
            </w:r>
          </w:p>
        </w:tc>
        <w:tc>
          <w:tcPr>
            <w:tcW w:w="280" w:type="dxa"/>
            <w:vAlign w:val="bottom"/>
          </w:tcPr>
          <w:p>
            <w:pPr>
              <w:spacing w:after="0"/>
              <w:rPr>
                <w:sz w:val="15"/>
                <w:szCs w:val="15"/>
                <w:color w:val="auto"/>
              </w:rPr>
            </w:pPr>
          </w:p>
        </w:tc>
        <w:tc>
          <w:tcPr>
            <w:tcW w:w="94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(14.3)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43"/>
        </w:trPr>
        <w:tc>
          <w:tcPr>
            <w:tcW w:w="308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(Loss)/gain on sale of businesses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41.5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(125)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30.2</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Tax rate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bp</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224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391</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5"/>
        </w:trPr>
        <w:tc>
          <w:tcPr>
            <w:tcW w:w="30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Net loss attributable to non-</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gridSpan w:val="3"/>
            <w:vMerge w:val="restart"/>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controlling interest</w:t>
            </w:r>
          </w:p>
        </w:tc>
        <w:tc>
          <w:tcPr>
            <w:tcW w:w="2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gridSpan w:val="3"/>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080" w:type="dxa"/>
            <w:vAlign w:val="bottom"/>
          </w:tcPr>
          <w:p>
            <w:pPr>
              <w:ind w:left="140"/>
              <w:spacing w:after="0"/>
              <w:rPr>
                <w:sz w:val="20"/>
                <w:szCs w:val="20"/>
                <w:color w:val="auto"/>
              </w:rPr>
            </w:pPr>
            <w:r>
              <w:rPr>
                <w:rFonts w:ascii="Arial" w:cs="Arial" w:eastAsia="Arial" w:hAnsi="Arial"/>
                <w:sz w:val="18"/>
                <w:szCs w:val="18"/>
                <w:color w:val="auto"/>
              </w:rPr>
              <w:t>Net income attributable to Xylem</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226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395</w:t>
            </w:r>
          </w:p>
        </w:tc>
        <w:tc>
          <w:tcPr>
            <w:tcW w:w="100" w:type="dxa"/>
            <w:vAlign w:val="bottom"/>
          </w:tcPr>
          <w:p>
            <w:pPr>
              <w:spacing w:after="0"/>
              <w:rPr>
                <w:sz w:val="21"/>
                <w:szCs w:val="21"/>
                <w:color w:val="auto"/>
              </w:rPr>
            </w:pP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bp</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change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generated during the three and six months ended June 30, 2025 was $2,301 million and $4,370 million, respectively, reflecting an increase of $132 million, or 6.1%, and an increase of $168 million, or 4.0% compared to the prior year. Organic revenue increased $120 million, or 5.5%, and $187 million</w:t>
      </w:r>
      <w:r>
        <w:rPr>
          <w:rFonts w:ascii="Times New Roman" w:cs="Times New Roman" w:eastAsia="Times New Roman" w:hAnsi="Times New Roman"/>
          <w:sz w:val="18"/>
          <w:szCs w:val="18"/>
          <w:color w:val="auto"/>
        </w:rPr>
        <w:t>, or</w:t>
      </w:r>
      <w:r>
        <w:rPr>
          <w:rFonts w:ascii="Arial" w:cs="Arial" w:eastAsia="Arial" w:hAnsi="Arial"/>
          <w:sz w:val="18"/>
          <w:szCs w:val="18"/>
          <w:color w:val="auto"/>
        </w:rPr>
        <w:t xml:space="preserve"> 4.5% for the three and six months ended June 30, 2025, respectively. Foreign currency translation had a favorable impact on revenue of $23 million for the three months ended June 30, 2025, and an unfavorable impact on revenue of $ 3 million for the six months ended June 30, 2025. Revenue growth was negatively impacted by $11 million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$16 million due to acquisitions and divestitures, net, for the three and six months ended June 30, 2025, respectively. The increase in organic revenue primarily reflects strength in the U.S. and Canada, driven by price realization and increased volume for the three months ended June 30, 2025 and increased volume and backlog execution for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right="60"/>
        <w:spacing w:after="0" w:line="287"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revenue during the three and six months ended June 30, 2025:</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34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rPr>
              <w:t>Water Infrastructure</w:t>
            </w:r>
          </w:p>
        </w:tc>
        <w:tc>
          <w:tcPr>
            <w:tcW w:w="18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Applied Water</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Measurement and</w:t>
            </w: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2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9"/>
              </w:rPr>
              <w:t>Total Xylem</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Control Solutions</w:t>
            </w: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Services</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jc w:val="center"/>
              <w:ind w:left="448"/>
              <w:spacing w:after="0"/>
              <w:rPr>
                <w:sz w:val="20"/>
                <w:szCs w:val="20"/>
                <w:color w:val="auto"/>
              </w:rPr>
            </w:pPr>
            <w:r>
              <w:rPr>
                <w:rFonts w:ascii="Arial" w:cs="Arial" w:eastAsia="Arial" w:hAnsi="Arial"/>
                <w:sz w:val="14"/>
                <w:szCs w:val="14"/>
                <w:color w:val="auto"/>
              </w:rPr>
              <w:t>$ Change   % Change</w:t>
            </w:r>
          </w:p>
        </w:tc>
        <w:tc>
          <w:tcPr>
            <w:tcW w:w="1860" w:type="dxa"/>
            <w:vAlign w:val="bottom"/>
          </w:tcPr>
          <w:p>
            <w:pPr>
              <w:ind w:left="140"/>
              <w:spacing w:after="0"/>
              <w:rPr>
                <w:sz w:val="20"/>
                <w:szCs w:val="20"/>
                <w:color w:val="auto"/>
              </w:rPr>
            </w:pPr>
            <w:r>
              <w:rPr>
                <w:rFonts w:ascii="Arial" w:cs="Arial" w:eastAsia="Arial" w:hAnsi="Arial"/>
                <w:sz w:val="14"/>
                <w:szCs w:val="14"/>
                <w:color w:val="auto"/>
              </w:rPr>
              <w:t>$ Change   % Change</w:t>
            </w:r>
          </w:p>
        </w:tc>
        <w:tc>
          <w:tcPr>
            <w:tcW w:w="186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920" w:type="dxa"/>
            <w:vAlign w:val="bottom"/>
          </w:tcPr>
          <w:p>
            <w:pPr>
              <w:ind w:left="180"/>
              <w:spacing w:after="0"/>
              <w:rPr>
                <w:sz w:val="20"/>
                <w:szCs w:val="20"/>
                <w:color w:val="auto"/>
              </w:rPr>
            </w:pPr>
            <w:r>
              <w:rPr>
                <w:rFonts w:ascii="Arial" w:cs="Arial" w:eastAsia="Arial" w:hAnsi="Arial"/>
                <w:sz w:val="14"/>
                <w:szCs w:val="14"/>
                <w:color w:val="auto"/>
              </w:rPr>
              <w:t>$ Change</w:t>
            </w:r>
          </w:p>
        </w:tc>
        <w:tc>
          <w:tcPr>
            <w:tcW w:w="980" w:type="dxa"/>
            <w:vAlign w:val="bottom"/>
          </w:tcPr>
          <w:p>
            <w:pPr>
              <w:ind w:left="140"/>
              <w:spacing w:after="0"/>
              <w:rPr>
                <w:sz w:val="20"/>
                <w:szCs w:val="20"/>
                <w:color w:val="auto"/>
              </w:rPr>
            </w:pPr>
            <w:r>
              <w:rPr>
                <w:rFonts w:ascii="Arial" w:cs="Arial" w:eastAsia="Arial" w:hAnsi="Arial"/>
                <w:sz w:val="14"/>
                <w:szCs w:val="14"/>
                <w:color w:val="auto"/>
              </w:rPr>
              <w:t>% Change</w:t>
            </w:r>
          </w:p>
        </w:tc>
        <w:tc>
          <w:tcPr>
            <w:tcW w:w="1720" w:type="dxa"/>
            <w:vAlign w:val="bottom"/>
          </w:tcPr>
          <w:p>
            <w:pPr>
              <w:jc w:val="center"/>
              <w:ind w:left="108"/>
              <w:spacing w:after="0"/>
              <w:rPr>
                <w:sz w:val="20"/>
                <w:szCs w:val="20"/>
                <w:color w:val="auto"/>
              </w:rPr>
            </w:pPr>
            <w:r>
              <w:rPr>
                <w:rFonts w:ascii="Arial" w:cs="Arial" w:eastAsia="Arial" w:hAnsi="Arial"/>
                <w:sz w:val="14"/>
                <w:szCs w:val="14"/>
                <w:color w:val="auto"/>
              </w:rPr>
              <w:t>$ Change   %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9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6"/>
                <w:szCs w:val="16"/>
                <w:color w:val="auto"/>
              </w:rPr>
              <w:t>Organic Growth</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90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98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940" w:type="dxa"/>
            <w:vAlign w:val="bottom"/>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98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94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revenue</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11.9 %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2025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628</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2,301</w:t>
            </w: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360" w:hanging="332"/>
        <w:spacing w:after="0" w:line="286" w:lineRule="auto"/>
        <w:tabs>
          <w:tab w:leader="none" w:pos="3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strengthening in value of various currencies against the U.S. Dollar, the largest being the Euro, British Pound and the Swedish Krona.</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32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rPr>
              <w:t>Water Infrastructure</w:t>
            </w:r>
          </w:p>
        </w:tc>
        <w:tc>
          <w:tcPr>
            <w:tcW w:w="18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Applied Water</w:t>
            </w:r>
          </w:p>
        </w:tc>
        <w:tc>
          <w:tcPr>
            <w:tcW w:w="1900" w:type="dxa"/>
            <w:vAlign w:val="bottom"/>
            <w:gridSpan w:val="2"/>
          </w:tcPr>
          <w:p>
            <w:pPr>
              <w:ind w:left="360"/>
              <w:spacing w:after="0"/>
              <w:rPr>
                <w:sz w:val="20"/>
                <w:szCs w:val="20"/>
                <w:color w:val="auto"/>
              </w:rPr>
            </w:pPr>
            <w:r>
              <w:rPr>
                <w:rFonts w:ascii="Arial" w:cs="Arial" w:eastAsia="Arial" w:hAnsi="Arial"/>
                <w:sz w:val="14"/>
                <w:szCs w:val="14"/>
                <w:b w:val="1"/>
                <w:bCs w:val="1"/>
                <w:color w:val="auto"/>
              </w:rPr>
              <w:t>Measurement and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9"/>
              </w:rPr>
              <w:t>Total Xylem</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232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1900" w:type="dxa"/>
            <w:vAlign w:val="bottom"/>
            <w:gridSpan w:val="2"/>
          </w:tcPr>
          <w:p>
            <w:pPr>
              <w:ind w:left="380"/>
              <w:spacing w:after="0"/>
              <w:rPr>
                <w:sz w:val="20"/>
                <w:szCs w:val="20"/>
                <w:color w:val="auto"/>
              </w:rPr>
            </w:pPr>
            <w:r>
              <w:rPr>
                <w:rFonts w:ascii="Arial" w:cs="Arial" w:eastAsia="Arial" w:hAnsi="Arial"/>
                <w:sz w:val="14"/>
                <w:szCs w:val="14"/>
                <w:b w:val="1"/>
                <w:bCs w:val="1"/>
                <w:color w:val="auto"/>
              </w:rPr>
              <w:t>Control Solutions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20" w:type="dxa"/>
            <w:vAlign w:val="bottom"/>
          </w:tcPr>
          <w:p>
            <w:pPr>
              <w:spacing w:after="0"/>
              <w:rPr>
                <w:sz w:val="20"/>
                <w:szCs w:val="20"/>
                <w:color w:val="auto"/>
              </w:rPr>
            </w:pPr>
            <w:r>
              <w:rPr>
                <w:rFonts w:ascii="Arial" w:cs="Arial" w:eastAsia="Arial" w:hAnsi="Arial"/>
                <w:sz w:val="14"/>
                <w:szCs w:val="14"/>
                <w:color w:val="auto"/>
              </w:rPr>
              <w:t>(in millions)</w:t>
            </w:r>
          </w:p>
        </w:tc>
        <w:tc>
          <w:tcPr>
            <w:tcW w:w="2320" w:type="dxa"/>
            <w:vAlign w:val="bottom"/>
          </w:tcPr>
          <w:p>
            <w:pPr>
              <w:jc w:val="center"/>
              <w:ind w:left="468"/>
              <w:spacing w:after="0"/>
              <w:rPr>
                <w:sz w:val="20"/>
                <w:szCs w:val="20"/>
                <w:color w:val="auto"/>
              </w:rPr>
            </w:pPr>
            <w:r>
              <w:rPr>
                <w:rFonts w:ascii="Arial" w:cs="Arial" w:eastAsia="Arial" w:hAnsi="Arial"/>
                <w:sz w:val="14"/>
                <w:szCs w:val="14"/>
                <w:color w:val="auto"/>
              </w:rPr>
              <w:t>$ Change   % Change</w:t>
            </w:r>
          </w:p>
        </w:tc>
        <w:tc>
          <w:tcPr>
            <w:tcW w:w="1860" w:type="dxa"/>
            <w:vAlign w:val="bottom"/>
          </w:tcPr>
          <w:p>
            <w:pPr>
              <w:ind w:left="140"/>
              <w:spacing w:after="0"/>
              <w:rPr>
                <w:sz w:val="20"/>
                <w:szCs w:val="20"/>
                <w:color w:val="auto"/>
              </w:rPr>
            </w:pPr>
            <w:r>
              <w:rPr>
                <w:rFonts w:ascii="Arial" w:cs="Arial" w:eastAsia="Arial" w:hAnsi="Arial"/>
                <w:sz w:val="14"/>
                <w:szCs w:val="14"/>
                <w:color w:val="auto"/>
              </w:rPr>
              <w:t>$ Change   % Change</w:t>
            </w:r>
          </w:p>
        </w:tc>
        <w:tc>
          <w:tcPr>
            <w:tcW w:w="940" w:type="dxa"/>
            <w:vAlign w:val="bottom"/>
          </w:tcPr>
          <w:p>
            <w:pPr>
              <w:ind w:left="180"/>
              <w:spacing w:after="0"/>
              <w:rPr>
                <w:sz w:val="20"/>
                <w:szCs w:val="20"/>
                <w:color w:val="auto"/>
              </w:rPr>
            </w:pPr>
            <w:r>
              <w:rPr>
                <w:rFonts w:ascii="Arial" w:cs="Arial" w:eastAsia="Arial" w:hAnsi="Arial"/>
                <w:sz w:val="14"/>
                <w:szCs w:val="14"/>
                <w:color w:val="auto"/>
              </w:rPr>
              <w:t>$ Change</w:t>
            </w:r>
          </w:p>
        </w:tc>
        <w:tc>
          <w:tcPr>
            <w:tcW w:w="960" w:type="dxa"/>
            <w:vAlign w:val="bottom"/>
          </w:tcPr>
          <w:p>
            <w:pPr>
              <w:ind w:left="120"/>
              <w:spacing w:after="0"/>
              <w:rPr>
                <w:sz w:val="20"/>
                <w:szCs w:val="20"/>
                <w:color w:val="auto"/>
              </w:rPr>
            </w:pPr>
            <w:r>
              <w:rPr>
                <w:rFonts w:ascii="Arial" w:cs="Arial" w:eastAsia="Arial" w:hAnsi="Arial"/>
                <w:sz w:val="14"/>
                <w:szCs w:val="14"/>
                <w:color w:val="auto"/>
              </w:rPr>
              <w:t>% Change</w:t>
            </w:r>
          </w:p>
        </w:tc>
        <w:tc>
          <w:tcPr>
            <w:tcW w:w="188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700" w:type="dxa"/>
            <w:vAlign w:val="bottom"/>
          </w:tcPr>
          <w:p>
            <w:pPr>
              <w:jc w:val="center"/>
              <w:ind w:left="88"/>
              <w:spacing w:after="0"/>
              <w:rPr>
                <w:sz w:val="20"/>
                <w:szCs w:val="20"/>
                <w:color w:val="auto"/>
              </w:rPr>
            </w:pPr>
            <w:r>
              <w:rPr>
                <w:rFonts w:ascii="Arial" w:cs="Arial" w:eastAsia="Arial" w:hAnsi="Arial"/>
                <w:sz w:val="14"/>
                <w:szCs w:val="14"/>
                <w:color w:val="auto"/>
              </w:rPr>
              <w:t>$ Change   %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9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6"/>
                <w:szCs w:val="16"/>
                <w:color w:val="auto"/>
              </w:rPr>
              <w:t>Organic Growth</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90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98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98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92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187</w:t>
            </w:r>
          </w:p>
        </w:tc>
        <w:tc>
          <w:tcPr>
            <w:tcW w:w="94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revenue</w:t>
            </w: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9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9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9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9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2025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1,231</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918</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1,030</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1,191</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4,370</w:t>
            </w: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580" w:hanging="332"/>
        <w:spacing w:after="0" w:line="286" w:lineRule="auto"/>
        <w:tabs>
          <w:tab w:leader="none" w:pos="3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weakening in value of various currencies against the U.S. Dollar, the largest being the Canadian Dollar, Mexican Peso and the Australian Dollar partially offset by the strengthening of the Euro and the British Pound.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Water Infrastructure revenue increased $19 million, or 3.1%, for the second quarter of 2025 as compared to the prior year. Revenue growth for the quarter included organic revenue growth of $26 million, or 4.1% and $12 million of favorable impacts from foreign currency translation partially offset by a loss of $19 million of revenue from divestitures. The treatment application contributed $19 million of organic revenue growth, driven by backlog execution and capital projects in the emerging markets and price realization in the U.S. Organic growth for the transport applications was $7 million, led by increased sales volume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spacing w:after="0" w:line="278" w:lineRule="auto"/>
        <w:rPr>
          <w:sz w:val="20"/>
          <w:szCs w:val="20"/>
          <w:color w:val="auto"/>
        </w:rPr>
      </w:pPr>
      <w:r>
        <w:rPr>
          <w:rFonts w:ascii="Arial" w:cs="Arial" w:eastAsia="Arial" w:hAnsi="Arial"/>
          <w:sz w:val="17"/>
          <w:szCs w:val="17"/>
          <w:color w:val="auto"/>
        </w:rPr>
        <w:t>Water Infrastructure revenue increased $26 million, or 2.2%, for the six months ended June 30, 2025 as compared to the prior year. Revenue growth included organic revenue growth of $54 million, or 4.5% and $1 million of favorable impacts from foreign currency translation partially offset by a loss of $29 million of revenue from divestitures. The treatment application contributed $ 31 million of organic revenue growth, led by strong volume and backlog execution in the emerging markets and the U.S. Organic growth for the transport application was $23 million, led by strong backlog execution and order intake in western Europe and emerging markets, and higher volume in the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Applied Water revenue increased $27 million, or 5.8%, for the second quarter of 2025 as compared to the prior year. Revenue growth for the quarter included organic revenue growth of $21 million, or 4.7% and $6 million of favorable foreign currency translation. Organic growth was driven by growth in the building solutions applications of $13 million, led by price and increased sales volume in the U.S, partially offset by lapping of project orders in western Europe. The industrial application had organic growth of $9 million primarily due to price realization in the U.S and western Europe.</w:t>
      </w:r>
    </w:p>
    <w:p>
      <w:pPr>
        <w:spacing w:after="0" w:line="71"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Applied Water revenue increased $26 million, or 2.9%, for the six months ended June 30, 2025 as compared to the prior year, consisting entirely of organic growth. Organic growth was driven by growth in the building solutions applications of $23 million, led by price and increased sales volume in the U.S., partially offset by order softness in the emerging markets. The industrial application had organic growth of $3 million due to price and volume in north America and western Europe, partially offset by order softness in the emerging markets.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Measurement and Control Solutions revenue increased $58 million, or 11.9%, for the second quarter of 2025 as compared to the prior year. The revenue growth was primarily driven by organic growth of $ 46 million, or 9.4%, with an additional increase from acquisitions of $8 million, and $4 million of favorable foreign currency translation. Organic revenue growth during the quarter was driven by $45 million from the smart metering and other applications, due primarily to backlog execution from energy in north America, partially offset by declines in water, in the U.S.</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Measurement and Control Solutions revenue increased $86 million, or 9.1%, for the six months ended June 30, 2025 as compared to the prior year. The revenue increase was primarily driven by organic growth of $73 million, or 7.7%, with an additional increase from acquisitions of $13 million. Organic revenue increased by $70 million in the smart metering and other applications, due primarily to backlog execution from energy in north America and water project deliveries in the emerging markets. These increases were partially offset by organic declines in water due to lower demand in the U.S. following strong prior year backlog execution. The analytics application was up $3 million organically, driven by increased demand in the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Solutions and Services</w:t>
      </w:r>
    </w:p>
    <w:p>
      <w:pPr>
        <w:spacing w:after="0" w:line="11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Water Solutions and Services revenue increased $28 million, or 4.7%, for the second quarter of 2025 as compared to the prior year. The revenue growth was primarily driven by organic revenue growth of $27 million, or 4.6% and $1 million of favorable impacts from foreign currency translation. Organic revenue growth was led by service growth of $16 million, primarily due to increased volume and price realization in the U.S. Organic revenue from the capital and other applications increased by $11 million due to increased capital project revenue in the U.S. and volume in the emerging markets.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Water Solutions and Services revenue increased $30 million, or 2.6%, for the six months ended June 30, 2025 as compared to the prior year. The revenue growth was primarily driven by organic revenue growth of $34 million, or 3.0%, partially offset by $4 million of unfavorable impacts from foreign currency translation. Organic revenue growth was led by service growth of $ 24 million, primarily due to increased volume and price realization in the U.S. and emerging markets. Organic revenue from the capital and other applications increased by $10 million due to increased project revenue in the U.S., partially offset by lapping of capital project revenue in the emerging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Orders /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Orders</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tables illustrate the impact from organic decline/growth, recent acquisitions and divestitures, and foreign currency translation in relation to orders during the three and six months ended June 30, 2025:</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34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rPr>
              <w:t>Water Infrastructure</w:t>
            </w:r>
          </w:p>
        </w:tc>
        <w:tc>
          <w:tcPr>
            <w:tcW w:w="18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Applied Water</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Measurement and</w:t>
            </w: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2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9"/>
              </w:rPr>
              <w:t>Total Xylem</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Control Solutions</w:t>
            </w: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Services</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jc w:val="center"/>
              <w:ind w:left="448"/>
              <w:spacing w:after="0"/>
              <w:rPr>
                <w:sz w:val="20"/>
                <w:szCs w:val="20"/>
                <w:color w:val="auto"/>
              </w:rPr>
            </w:pPr>
            <w:r>
              <w:rPr>
                <w:rFonts w:ascii="Arial" w:cs="Arial" w:eastAsia="Arial" w:hAnsi="Arial"/>
                <w:sz w:val="14"/>
                <w:szCs w:val="14"/>
                <w:color w:val="auto"/>
              </w:rPr>
              <w:t>$ Change   % Change</w:t>
            </w:r>
          </w:p>
        </w:tc>
        <w:tc>
          <w:tcPr>
            <w:tcW w:w="1860" w:type="dxa"/>
            <w:vAlign w:val="bottom"/>
          </w:tcPr>
          <w:p>
            <w:pPr>
              <w:ind w:left="140"/>
              <w:spacing w:after="0"/>
              <w:rPr>
                <w:sz w:val="20"/>
                <w:szCs w:val="20"/>
                <w:color w:val="auto"/>
              </w:rPr>
            </w:pPr>
            <w:r>
              <w:rPr>
                <w:rFonts w:ascii="Arial" w:cs="Arial" w:eastAsia="Arial" w:hAnsi="Arial"/>
                <w:sz w:val="14"/>
                <w:szCs w:val="14"/>
                <w:color w:val="auto"/>
              </w:rPr>
              <w:t>$ Change   % Change</w:t>
            </w:r>
          </w:p>
        </w:tc>
        <w:tc>
          <w:tcPr>
            <w:tcW w:w="186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920" w:type="dxa"/>
            <w:vAlign w:val="bottom"/>
          </w:tcPr>
          <w:p>
            <w:pPr>
              <w:ind w:left="180"/>
              <w:spacing w:after="0"/>
              <w:rPr>
                <w:sz w:val="20"/>
                <w:szCs w:val="20"/>
                <w:color w:val="auto"/>
              </w:rPr>
            </w:pPr>
            <w:r>
              <w:rPr>
                <w:rFonts w:ascii="Arial" w:cs="Arial" w:eastAsia="Arial" w:hAnsi="Arial"/>
                <w:sz w:val="14"/>
                <w:szCs w:val="14"/>
                <w:color w:val="auto"/>
              </w:rPr>
              <w:t>$ Change</w:t>
            </w:r>
          </w:p>
        </w:tc>
        <w:tc>
          <w:tcPr>
            <w:tcW w:w="980" w:type="dxa"/>
            <w:vAlign w:val="bottom"/>
          </w:tcPr>
          <w:p>
            <w:pPr>
              <w:ind w:left="140"/>
              <w:spacing w:after="0"/>
              <w:rPr>
                <w:sz w:val="20"/>
                <w:szCs w:val="20"/>
                <w:color w:val="auto"/>
              </w:rPr>
            </w:pPr>
            <w:r>
              <w:rPr>
                <w:rFonts w:ascii="Arial" w:cs="Arial" w:eastAsia="Arial" w:hAnsi="Arial"/>
                <w:sz w:val="14"/>
                <w:szCs w:val="14"/>
                <w:color w:val="auto"/>
              </w:rPr>
              <w:t>% Change</w:t>
            </w:r>
          </w:p>
        </w:tc>
        <w:tc>
          <w:tcPr>
            <w:tcW w:w="1720" w:type="dxa"/>
            <w:vAlign w:val="bottom"/>
          </w:tcPr>
          <w:p>
            <w:pPr>
              <w:jc w:val="center"/>
              <w:ind w:left="108"/>
              <w:spacing w:after="0"/>
              <w:rPr>
                <w:sz w:val="20"/>
                <w:szCs w:val="20"/>
                <w:color w:val="auto"/>
              </w:rPr>
            </w:pPr>
            <w:r>
              <w:rPr>
                <w:rFonts w:ascii="Arial" w:cs="Arial" w:eastAsia="Arial" w:hAnsi="Arial"/>
                <w:sz w:val="14"/>
                <w:szCs w:val="14"/>
                <w:color w:val="auto"/>
              </w:rPr>
              <w:t>$ Change   %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 Orders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w:t>
            </w: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2,087</w:t>
            </w:r>
          </w:p>
        </w:tc>
        <w:tc>
          <w:tcPr>
            <w:tcW w:w="9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6"/>
                <w:szCs w:val="16"/>
                <w:color w:val="auto"/>
              </w:rPr>
              <w:t>Organic Impact</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98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940" w:type="dxa"/>
            <w:vAlign w:val="bottom"/>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98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94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orders</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13.7 %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2025 Orders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672</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2,174</w:t>
            </w: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360" w:hanging="332"/>
        <w:spacing w:after="0" w:line="286" w:lineRule="auto"/>
        <w:tabs>
          <w:tab w:leader="none" w:pos="3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strengthening in value of various currencies against the U.S. Dollar, the largest being the Euro, British Pound and the Swedish Krona.</w:t>
      </w: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32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rPr>
              <w:t>Water Infrastructure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Applied Water</w:t>
            </w:r>
          </w:p>
        </w:tc>
        <w:tc>
          <w:tcPr>
            <w:tcW w:w="1900" w:type="dxa"/>
            <w:vAlign w:val="bottom"/>
            <w:gridSpan w:val="2"/>
          </w:tcPr>
          <w:p>
            <w:pPr>
              <w:ind w:left="360"/>
              <w:spacing w:after="0"/>
              <w:rPr>
                <w:sz w:val="20"/>
                <w:szCs w:val="20"/>
                <w:color w:val="auto"/>
              </w:rPr>
            </w:pPr>
            <w:r>
              <w:rPr>
                <w:rFonts w:ascii="Arial" w:cs="Arial" w:eastAsia="Arial" w:hAnsi="Arial"/>
                <w:sz w:val="14"/>
                <w:szCs w:val="14"/>
                <w:b w:val="1"/>
                <w:bCs w:val="1"/>
                <w:color w:val="auto"/>
              </w:rPr>
              <w:t>Measurement and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232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1900" w:type="dxa"/>
            <w:vAlign w:val="bottom"/>
            <w:gridSpan w:val="2"/>
          </w:tcPr>
          <w:p>
            <w:pPr>
              <w:ind w:left="360"/>
              <w:spacing w:after="0"/>
              <w:rPr>
                <w:sz w:val="20"/>
                <w:szCs w:val="20"/>
                <w:color w:val="auto"/>
              </w:rPr>
            </w:pPr>
            <w:r>
              <w:rPr>
                <w:rFonts w:ascii="Arial" w:cs="Arial" w:eastAsia="Arial" w:hAnsi="Arial"/>
                <w:sz w:val="14"/>
                <w:szCs w:val="14"/>
                <w:b w:val="1"/>
                <w:bCs w:val="1"/>
                <w:color w:val="auto"/>
              </w:rPr>
              <w:t>Control Solutions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20" w:type="dxa"/>
            <w:vAlign w:val="bottom"/>
          </w:tcPr>
          <w:p>
            <w:pPr>
              <w:spacing w:after="0"/>
              <w:rPr>
                <w:sz w:val="20"/>
                <w:szCs w:val="20"/>
                <w:color w:val="auto"/>
              </w:rPr>
            </w:pPr>
            <w:r>
              <w:rPr>
                <w:rFonts w:ascii="Arial" w:cs="Arial" w:eastAsia="Arial" w:hAnsi="Arial"/>
                <w:sz w:val="14"/>
                <w:szCs w:val="14"/>
                <w:color w:val="auto"/>
              </w:rPr>
              <w:t>(in millions)</w:t>
            </w:r>
          </w:p>
        </w:tc>
        <w:tc>
          <w:tcPr>
            <w:tcW w:w="2320" w:type="dxa"/>
            <w:vAlign w:val="bottom"/>
          </w:tcPr>
          <w:p>
            <w:pPr>
              <w:jc w:val="center"/>
              <w:ind w:left="468"/>
              <w:spacing w:after="0"/>
              <w:rPr>
                <w:sz w:val="20"/>
                <w:szCs w:val="20"/>
                <w:color w:val="auto"/>
              </w:rPr>
            </w:pPr>
            <w:r>
              <w:rPr>
                <w:rFonts w:ascii="Arial" w:cs="Arial" w:eastAsia="Arial" w:hAnsi="Arial"/>
                <w:sz w:val="14"/>
                <w:szCs w:val="14"/>
                <w:color w:val="auto"/>
              </w:rPr>
              <w:t>$ Change   % Change</w:t>
            </w:r>
          </w:p>
        </w:tc>
        <w:tc>
          <w:tcPr>
            <w:tcW w:w="184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920" w:type="dxa"/>
            <w:vAlign w:val="bottom"/>
          </w:tcPr>
          <w:p>
            <w:pPr>
              <w:ind w:left="160"/>
              <w:spacing w:after="0"/>
              <w:rPr>
                <w:sz w:val="20"/>
                <w:szCs w:val="20"/>
                <w:color w:val="auto"/>
              </w:rPr>
            </w:pPr>
            <w:r>
              <w:rPr>
                <w:rFonts w:ascii="Arial" w:cs="Arial" w:eastAsia="Arial" w:hAnsi="Arial"/>
                <w:sz w:val="14"/>
                <w:szCs w:val="14"/>
                <w:color w:val="auto"/>
              </w:rPr>
              <w:t>$ Change</w:t>
            </w:r>
          </w:p>
        </w:tc>
        <w:tc>
          <w:tcPr>
            <w:tcW w:w="980" w:type="dxa"/>
            <w:vAlign w:val="bottom"/>
          </w:tcPr>
          <w:p>
            <w:pPr>
              <w:ind w:left="120"/>
              <w:spacing w:after="0"/>
              <w:rPr>
                <w:sz w:val="20"/>
                <w:szCs w:val="20"/>
                <w:color w:val="auto"/>
              </w:rPr>
            </w:pPr>
            <w:r>
              <w:rPr>
                <w:rFonts w:ascii="Arial" w:cs="Arial" w:eastAsia="Arial" w:hAnsi="Arial"/>
                <w:sz w:val="14"/>
                <w:szCs w:val="14"/>
                <w:color w:val="auto"/>
              </w:rPr>
              <w:t>% Change</w:t>
            </w:r>
          </w:p>
        </w:tc>
        <w:tc>
          <w:tcPr>
            <w:tcW w:w="188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720" w:type="dxa"/>
            <w:vAlign w:val="bottom"/>
          </w:tcPr>
          <w:p>
            <w:pPr>
              <w:jc w:val="center"/>
              <w:ind w:left="108"/>
              <w:spacing w:after="0"/>
              <w:rPr>
                <w:sz w:val="20"/>
                <w:szCs w:val="20"/>
                <w:color w:val="auto"/>
              </w:rPr>
            </w:pPr>
            <w:r>
              <w:rPr>
                <w:rFonts w:ascii="Arial" w:cs="Arial" w:eastAsia="Arial" w:hAnsi="Arial"/>
                <w:sz w:val="14"/>
                <w:szCs w:val="14"/>
                <w:color w:val="auto"/>
              </w:rPr>
              <w:t>$ Change   %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 Orders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1,336</w:t>
            </w:r>
          </w:p>
        </w:tc>
        <w:tc>
          <w:tcPr>
            <w:tcW w:w="9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w:t>
            </w: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813</w:t>
            </w:r>
          </w:p>
        </w:tc>
        <w:tc>
          <w:tcPr>
            <w:tcW w:w="10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1,239</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4,333</w:t>
            </w:r>
          </w:p>
        </w:tc>
        <w:tc>
          <w:tcPr>
            <w:tcW w:w="9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6"/>
                <w:szCs w:val="16"/>
                <w:color w:val="auto"/>
              </w:rPr>
              <w:t>Organic Impact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92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0" w:type="dxa"/>
            <w:vAlign w:val="bottom"/>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940" w:type="dxa"/>
            <w:vAlign w:val="bottom"/>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orders</w:t>
            </w: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9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9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0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3.2 %</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2025 Orders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1,298</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974</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w:t>
            </w: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1,221</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4,332</w:t>
            </w: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580" w:hanging="332"/>
        <w:spacing w:after="0" w:line="286" w:lineRule="auto"/>
        <w:tabs>
          <w:tab w:leader="none" w:pos="3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weakening in value of various currencies against the U.S. Dollar, the largest being the Canadian Dollar, Mexican Peso and the Australian Dollar partially offset by the strengthening of the Euro and the British 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Backlog</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capital projects require longer lead production cycles and deployment schedules and delays occur from time to time. Total backlog was $ 5,018 million at June 30, 2025, a decrease of $138 million or 2.7%, as compared to June 30, 2024 backlog of $5,156 million. The decrease in backlog was driven by increased revenue outpacing order intake and contract wins in the current period, partially offset by favorable impacts from foreign currency translation. Backlog decreased in the Measurement and Control Solutions segment due to strong backlog execution and improved lead times, partially offset by backlog growth in the Water Infrastructure, Water Solutions and Services, and Applied Water segments primarily due to orders and contract wins outpacing revenue. Backlog decreased $ 52 million or 1.0% at June 30, 2025, as compared to December 31, 2024 backlog of $5,070 million. We anticipate that approximately 40% of the backlog as of June 30, 2025 will be recognized as revenue in the remainder of 2025. There were no significant order cancellations during the quarter.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Gross margin as a percentage of revenue increased 100 basis points t</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38.8% for the three months ended June 30, 2025, as compared to 37.8% for the three months ended June 30, 2024. The gross margin increase included favorable impacts of 30 basis points from decreases in acquired intangible amortization and special charges as compared to the prior year, and 360 basis points of favorable operational impacts, driven almost entirely by 210 basis points of productivity savings and 130 basis points of price realization. These increases in gross margin were offset by 330 basis points of unfavorable operational impacts driven by 180 basis points of inflation and 60 basis points of unfavorable mix.</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Gross margin as a percentage of revenue increased 60 basis points to 38.0% for the six months ended June 30, 2025, as compared to</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37.4% for the six months ended June 30, 2024. The gross margin increase included favorable impacts of 20 basis points from decreases in acquired intangible amortization and special charges as compared to the prior year and favorable operational impacts of 380 basis points, driven almost entirely by 240 basis points of productivity savings and 130 basis points of price realization. These increases in gross margin were offset by 340 basis points of unfavorable operational impacts driven by 170 basis points of inflation and 80 basis points of unfavorable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3"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expenses for the three and six months ended June 30, 2025 and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2025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4"/>
                <w:szCs w:val="14"/>
                <w:color w:val="auto"/>
              </w:rPr>
              <w:t>Change</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56"/>
        </w:trPr>
        <w:tc>
          <w:tcPr>
            <w:tcW w:w="3500" w:type="dxa"/>
            <w:vAlign w:val="bottom"/>
          </w:tcPr>
          <w:p>
            <w:pPr>
              <w:ind w:left="140"/>
              <w:spacing w:after="0" w:line="156" w:lineRule="exact"/>
              <w:rPr>
                <w:sz w:val="20"/>
                <w:szCs w:val="20"/>
                <w:color w:val="auto"/>
              </w:rPr>
            </w:pPr>
            <w:r>
              <w:rPr>
                <w:rFonts w:ascii="Arial" w:cs="Arial" w:eastAsia="Arial" w:hAnsi="Arial"/>
                <w:sz w:val="18"/>
                <w:szCs w:val="18"/>
                <w:color w:val="auto"/>
              </w:rPr>
              <w:t>Selling, general and administrative</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503</w:t>
            </w:r>
          </w:p>
        </w:tc>
        <w:tc>
          <w:tcPr>
            <w:tcW w:w="3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963</w:t>
            </w:r>
          </w:p>
        </w:tc>
        <w:tc>
          <w:tcPr>
            <w:tcW w:w="100" w:type="dxa"/>
            <w:vAlign w:val="bottom"/>
          </w:tcPr>
          <w:p>
            <w:pPr>
              <w:spacing w:after="0"/>
              <w:rPr>
                <w:sz w:val="13"/>
                <w:szCs w:val="13"/>
                <w:color w:val="auto"/>
              </w:rPr>
            </w:pPr>
          </w:p>
        </w:tc>
        <w:tc>
          <w:tcPr>
            <w:tcW w:w="260" w:type="dxa"/>
            <w:vAlign w:val="bottom"/>
            <w:vMerge w:val="restart"/>
          </w:tcPr>
          <w:p>
            <w:pPr>
              <w:jc w:val="right"/>
              <w:ind w:right="56"/>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154"/>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140"/>
              <w:spacing w:after="0"/>
              <w:rPr>
                <w:sz w:val="20"/>
                <w:szCs w:val="20"/>
                <w:color w:val="auto"/>
              </w:rPr>
            </w:pPr>
            <w:r>
              <w:rPr>
                <w:rFonts w:ascii="Arial" w:cs="Arial" w:eastAsia="Arial" w:hAnsi="Arial"/>
                <w:sz w:val="18"/>
                <w:szCs w:val="18"/>
                <w:color w:val="auto"/>
              </w:rPr>
              <w:t>expenses</w:t>
            </w:r>
          </w:p>
        </w:tc>
        <w:tc>
          <w:tcPr>
            <w:tcW w:w="26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SG&amp;A as a % of 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(50) bp</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(80) bp</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rPr>
              <w:t>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5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R&amp;D as a % of 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 bp</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 bp</w:t>
            </w:r>
          </w:p>
        </w:tc>
        <w:tc>
          <w:tcPr>
            <w:tcW w:w="0" w:type="dxa"/>
            <w:vAlign w:val="bottom"/>
          </w:tcPr>
          <w:p>
            <w:pPr>
              <w:spacing w:after="0"/>
              <w:rPr>
                <w:sz w:val="1"/>
                <w:szCs w:val="1"/>
                <w:color w:val="auto"/>
              </w:rPr>
            </w:pPr>
          </w:p>
        </w:tc>
      </w:tr>
      <w:tr>
        <w:trPr>
          <w:trHeight w:val="176"/>
        </w:trPr>
        <w:tc>
          <w:tcPr>
            <w:tcW w:w="3500" w:type="dxa"/>
            <w:vAlign w:val="bottom"/>
          </w:tcPr>
          <w:p>
            <w:pPr>
              <w:ind w:left="140"/>
              <w:spacing w:after="0" w:line="176" w:lineRule="exact"/>
              <w:rPr>
                <w:sz w:val="20"/>
                <w:szCs w:val="20"/>
                <w:color w:val="auto"/>
              </w:rPr>
            </w:pPr>
            <w:r>
              <w:rPr>
                <w:rFonts w:ascii="Arial" w:cs="Arial" w:eastAsia="Arial" w:hAnsi="Arial"/>
                <w:sz w:val="18"/>
                <w:szCs w:val="18"/>
                <w:color w:val="auto"/>
              </w:rPr>
              <w:t>Restructuring and asset impairment</w:t>
            </w:r>
          </w:p>
        </w:tc>
        <w:tc>
          <w:tcPr>
            <w:tcW w:w="260" w:type="dxa"/>
            <w:vAlign w:val="bottom"/>
          </w:tcPr>
          <w:p>
            <w:pPr>
              <w:spacing w:after="0"/>
              <w:rPr>
                <w:sz w:val="15"/>
                <w:szCs w:val="15"/>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15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42.4</w:t>
            </w: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charges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vMerge w:val="continue"/>
          </w:tcPr>
          <w:p>
            <w:pPr>
              <w:spacing w:after="0"/>
              <w:rPr>
                <w:sz w:val="21"/>
                <w:szCs w:val="21"/>
                <w:color w:val="auto"/>
              </w:rPr>
            </w:pPr>
          </w:p>
        </w:tc>
        <w:tc>
          <w:tcPr>
            <w:tcW w:w="48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vMerge w:val="continue"/>
          </w:tcPr>
          <w:p>
            <w:pPr>
              <w:spacing w:after="0"/>
              <w:rPr>
                <w:sz w:val="21"/>
                <w:szCs w:val="21"/>
                <w:color w:val="auto"/>
              </w:rPr>
            </w:pPr>
          </w:p>
        </w:tc>
        <w:tc>
          <w:tcPr>
            <w:tcW w:w="48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3500" w:type="dxa"/>
            <w:vAlign w:val="bottom"/>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25.5 %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3"/>
          </w:tcPr>
          <w:p>
            <w:pPr>
              <w:ind w:left="260"/>
              <w:spacing w:after="0"/>
              <w:rPr>
                <w:sz w:val="20"/>
                <w:szCs w:val="20"/>
                <w:color w:val="auto"/>
              </w:rPr>
            </w:pPr>
            <w:r>
              <w:rPr>
                <w:rFonts w:ascii="Arial" w:cs="Arial" w:eastAsia="Arial" w:hAnsi="Arial"/>
                <w:sz w:val="18"/>
                <w:szCs w:val="18"/>
                <w:color w:val="auto"/>
              </w:rPr>
              <w:t>(60) bp</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(70) bp</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SG&amp;A expenses increased by $18 million to $ 503 million, or 21.9% of revenue, in the second quarter of 2025, as compared to $485 million, or 22.4% of revenue, in the comparable 2024 period and increased $4 million to $963 million, or 22.0% of revenue, in the six-month period ended June 30, 2025. The increase in SG&amp;A in the second quarter of 2025 as compared to the prior year primarily consisted of $16 million of inflation, $10 million in increased spending on strategic investments, and $7 million in unfavorable foreign exchange, partially offset by</w:t>
      </w:r>
    </w:p>
    <w:p>
      <w:pPr>
        <w:spacing w:after="0" w:line="2"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$20 million in productivity savings. The increase in SG&amp;A in the six-month period ended June 30, 2025 as compared to the prior year primarily consisted of $29 million of inflation, $12 million of increased spending on strategic investments, $6 million of acquired intangible amortization, partially offset by of $44 million of productivity savings.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R&amp;D expense was $58 million, or 2.5% of revenue, in the second quarter of 2025, as compared to $58 million, or 2.7% of revenue in the second quarter of 2024, and was $ 114 million, or 2.6% of revenue, in the six months ended June 30, 2025, as compared to $117 million, or 2.8% of revenue, in the six months ended June 30, 2024. R&amp;D expense was fairly consistent year over year.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During the three and six months ended June 30, 2025, we incurred restructuring charges of $22 million and $39 million, respectively. During the three and six months ended June 30, 2024, we incurred restructuring charges of $23 million and $32 million, respectively For the three and six months ended June 30, 2025, the incurred charges primarily related to actions taken to further streamline our organization through simplification efforts in order to strengthen our competitive positioning and ability to better serve our customers.</w:t>
      </w: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Actions commenced in 2025 and 2024 consist primarily of severance charges. We currently expect to incur between $60 and $70 million in restructuring costs for the full year related to these actions.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"Restructuring and Asset Impairment Charges"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9" w:name="page50"/>
    <w:bookmarkEnd w:id="49"/>
    <w:p>
      <w:pPr>
        <w:ind w:right="880"/>
        <w:spacing w:after="0" w:line="279" w:lineRule="auto"/>
        <w:rPr>
          <w:sz w:val="20"/>
          <w:szCs w:val="20"/>
          <w:color w:val="auto"/>
        </w:rPr>
      </w:pPr>
      <w:r>
        <w:rPr>
          <w:rFonts w:ascii="Arial" w:cs="Arial" w:eastAsia="Arial" w:hAnsi="Arial"/>
          <w:sz w:val="18"/>
          <w:szCs w:val="18"/>
          <w:color w:val="auto"/>
        </w:rPr>
        <w:t>The following is a roll-forward for the six months ended June 30, 2025 and 2024 of employee position eliminations associated with restructuring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20" w:type="dxa"/>
            <w:vAlign w:val="bottom"/>
            <w:gridSpan w:val="2"/>
          </w:tcPr>
          <w:p>
            <w:pPr>
              <w:ind w:left="9100"/>
              <w:spacing w:after="0"/>
              <w:rPr>
                <w:sz w:val="20"/>
                <w:szCs w:val="20"/>
                <w:color w:val="auto"/>
              </w:rPr>
            </w:pPr>
            <w:r>
              <w:rPr>
                <w:rFonts w:ascii="Arial" w:cs="Arial" w:eastAsia="Arial" w:hAnsi="Arial"/>
                <w:sz w:val="14"/>
                <w:szCs w:val="14"/>
                <w:b w:val="1"/>
                <w:bCs w:val="1"/>
                <w:color w:val="auto"/>
                <w:w w:val="96"/>
              </w:rPr>
              <w:t>2025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color w:val="auto"/>
              </w:rPr>
              <w:t>2024</w:t>
            </w:r>
          </w:p>
        </w:tc>
      </w:tr>
      <w:tr>
        <w:trPr>
          <w:trHeight w:val="224"/>
        </w:trPr>
        <w:tc>
          <w:tcPr>
            <w:tcW w:w="8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7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382</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9420" w:type="dxa"/>
            <w:vAlign w:val="bottom"/>
            <w:gridSpan w:val="2"/>
          </w:tcPr>
          <w:p>
            <w:pPr>
              <w:ind w:left="20"/>
              <w:spacing w:after="0"/>
              <w:rPr>
                <w:sz w:val="20"/>
                <w:szCs w:val="20"/>
                <w:color w:val="auto"/>
              </w:rPr>
            </w:pPr>
            <w:r>
              <w:rPr>
                <w:rFonts w:ascii="Arial" w:cs="Arial" w:eastAsia="Arial" w:hAnsi="Arial"/>
                <w:sz w:val="18"/>
                <w:szCs w:val="18"/>
                <w:color w:val="auto"/>
              </w:rPr>
              <w:t>Additional planned reductions</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9"/>
              </w:rPr>
              <w:t>500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(530)</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9420" w:type="dxa"/>
            <w:vAlign w:val="bottom"/>
            <w:gridSpan w:val="2"/>
          </w:tcPr>
          <w:p>
            <w:pPr>
              <w:ind w:left="20"/>
              <w:spacing w:after="0"/>
              <w:rPr>
                <w:sz w:val="20"/>
                <w:szCs w:val="20"/>
                <w:color w:val="auto"/>
              </w:rPr>
            </w:pPr>
            <w:r>
              <w:rPr>
                <w:rFonts w:ascii="Arial" w:cs="Arial" w:eastAsia="Arial" w:hAnsi="Arial"/>
                <w:sz w:val="18"/>
                <w:szCs w:val="18"/>
                <w:color w:val="auto"/>
              </w:rPr>
              <w:t>Planned reductions - June 30</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9"/>
              </w:rPr>
              <w:t>352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
        </w:trPr>
        <w:tc>
          <w:tcPr>
            <w:tcW w:w="8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Refer to Note 9, "Goodwill and Other Intangible Assets" for more information on intangible asset impairment charges incurred during the three months ended June 30, 2025.</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Net Income, and Adjusted EBITDA</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was $305 million (operating margin of 13.3%) during the second quarter of 2025, an increase of $52 million, or 20.6%, when compared to operating income of $ 253 million (operating margin of 11.7%) during the prior year. Operating margin increased 160 basis points, which included 30 basis points of favorable impacts from decreased acquired intangible amortization and flat restructuring, realignment and special charges relative to increasing revenue. Additionally, operating margin expansion included 560 basis points of favorable operational impacts driven by 330 basis points of productivity savings, 180 basis points of price realization, and 40 basis points of increased volume. These favorable impacts were partially offset by 430 basis points of unfavorable operational impacts, driven by 240 basis points of inflation, 60 basis points of unfavorable mix, and 50 basis points of increased spending on strategic investments. Excluding acquired intangible asset amortization, restructuring and realignment costs, and special charges, adjusted operating income was $402 million (adjusted operating margin of 17.5%) for the second quarter of 2025 as compared to adjusted operating income of $352 million (adjusted operating margin of 16.2%) during the comparable quarter in the prior year.</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income attributable to Xylem for the second quarter was $ 226 million (net income margin of 9.8%), an increase of $32 million as compared to net income attributable to Xylem in the prior year of $ 194 million (net income margin of 8.9%). The increase in net income attributable to Xylem was driven by increased operating income of $52 million, decreased interest expense of $2 million, and the net loss attributable to non-controlling interest of $2 million, partially offset by increased income tax expense of $22 million, decreased non-operating income of $1 million and decreased gain from sale of businesses of $1 million.</w:t>
      </w:r>
    </w:p>
    <w:p>
      <w:pPr>
        <w:spacing w:after="0" w:line="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Adjusted EBITDA was $ 502 million (adjusted EBITDA margin of 21.8%) during the second quarter of 2025, an increase of $50 million, or 11.1%, when compared to adjusted EBITDA of $452 million (adjusted EBITDA margin of 20.8%) during the comparable quarter in the prior year, an increase to adjusted EBITDA margin of 100 basis points. The increase in adjusted EBITDA margin was primarily driven by the same factors impacting the adjusted operating margin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0" w:name="page51"/>
    <w:bookmarkEnd w:id="50"/>
    <w:p>
      <w:pPr>
        <w:spacing w:after="0" w:line="254" w:lineRule="auto"/>
        <w:rPr>
          <w:sz w:val="20"/>
          <w:szCs w:val="20"/>
          <w:color w:val="auto"/>
        </w:rPr>
      </w:pPr>
      <w:r>
        <w:rPr>
          <w:rFonts w:ascii="Arial" w:cs="Arial" w:eastAsia="Arial" w:hAnsi="Arial"/>
          <w:sz w:val="18"/>
          <w:szCs w:val="18"/>
          <w:color w:val="auto"/>
        </w:rPr>
        <w:t>Operating income was $ 536 million (operating margin of 12.3%) during the six months ended June 30, 2025, an increase of $74 million, or 16.0%, when compared to operating income of $462 million (operating margin of 11.0%) during the prior year. Operating margin increased 130 basis points, which included net favorable impacts of 10 basis points from increasing revenue more than offsetting the impact of increased restructuring and realignment costs, as well as decreases in acquired intangible amortization and in special charges compared to the prior year. Additionally, operating margin expansion included 530 basis points of favorable operational impacts driven by 340 basis points of productivity savings and 160 basis points of price realization. These favorable impacts were partially offset by 410 basis points of unfavorable operational impacts, driven by 240 basis points of inflation, 80 basis points of unfavorable mix, and 40 basis points of increased spending on strategic investments. Excluding acquired intangible asset amortization, restructuring and realignment costs, and special charges, adjusted operating income was $ 727 million (adjusted operating margin of 16.6%) for the six months ended June 30, 2025 as compared to adjusted operating income of $646 million (adjusted operating margin of 15.4%) during the comparable period in the prior year.</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income attributable to Xylem for the six months ended June 30, 2025 was $395 million (net income margin of 9.0%), an increase of $48 million as compared to net income attributable to Xylem in the prior year of $347 million (net income margin of 8.3%). The increase in net income attributable to Xylem was driven by increased operating income of $ 74 million and decreased interest expense of $8 million partially offset by decreased non-operating income of $3 million, increased loss from sale of businesses of $6 million, and increased income tax expense of $29 million.</w:t>
      </w:r>
    </w:p>
    <w:p>
      <w:pPr>
        <w:spacing w:after="0" w:line="58"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Adjusted EBITDA was $925 million (adjusted EBITDA margin of 21.2%) during the six months ended June 30, 2025, an increase of $82 million, or 9.7%, when compared to adjusted EBITDA of $843 million (adjusted EBITDA margin of 20.1%) during the comparable prior year period, an increase in adjusted EBITDA margin of 110 basis points. Adjusted EBITDA margin was impacted by the same offsetting factors impacting the adjusted operating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51" w:name="page52"/>
    <w:bookmarkEnd w:id="51"/>
    <w:p>
      <w:pPr>
        <w:ind w:right="200"/>
        <w:spacing w:after="0" w:line="279" w:lineRule="auto"/>
        <w:rPr>
          <w:sz w:val="20"/>
          <w:szCs w:val="20"/>
          <w:color w:val="auto"/>
        </w:rPr>
      </w:pPr>
      <w:r>
        <w:rPr>
          <w:rFonts w:ascii="Arial" w:cs="Arial" w:eastAsia="Arial" w:hAnsi="Arial"/>
          <w:sz w:val="18"/>
          <w:szCs w:val="18"/>
          <w:color w:val="auto"/>
        </w:rPr>
        <w:t>The table below provides a reconciliation of the total and each segment's operating income to adjusted operating income, and a calculation of the corresponding adjusted operating margin: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7"/>
                <w:szCs w:val="17"/>
                <w:color w:val="auto"/>
              </w:rPr>
            </w:pPr>
          </w:p>
        </w:tc>
        <w:tc>
          <w:tcPr>
            <w:tcW w:w="940" w:type="dxa"/>
            <w:vAlign w:val="bottom"/>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79"/>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1280" w:type="dxa"/>
            <w:vAlign w:val="bottom"/>
            <w:gridSpan w:val="3"/>
          </w:tcPr>
          <w:p>
            <w:pPr>
              <w:ind w:left="340"/>
              <w:spacing w:after="0"/>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7"/>
                <w:szCs w:val="17"/>
                <w:color w:val="auto"/>
              </w:rPr>
            </w:pPr>
          </w:p>
        </w:tc>
        <w:tc>
          <w:tcPr>
            <w:tcW w:w="820" w:type="dxa"/>
            <w:vAlign w:val="bottom"/>
          </w:tcPr>
          <w:p>
            <w:pPr>
              <w:jc w:val="right"/>
              <w:ind w:right="27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99"/>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31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7"/>
        </w:trPr>
        <w:tc>
          <w:tcPr>
            <w:tcW w:w="35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Water Infrastructure</w:t>
            </w: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103</w:t>
            </w:r>
          </w:p>
        </w:tc>
        <w:tc>
          <w:tcPr>
            <w:tcW w:w="3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183</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32.6</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15.8 %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12.4 %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340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14.9 %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340</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200.0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(41.2)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(44.4)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w:t>
            </w:r>
          </w:p>
        </w:tc>
        <w:tc>
          <w:tcPr>
            <w:tcW w:w="3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ind w:right="159"/>
              <w:spacing w:after="0"/>
              <w:rPr>
                <w:sz w:val="20"/>
                <w:szCs w:val="20"/>
                <w:color w:val="auto"/>
              </w:rPr>
            </w:pPr>
            <w:r>
              <w:rPr>
                <w:rFonts w:ascii="Arial" w:cs="Arial" w:eastAsia="Arial" w:hAnsi="Arial"/>
                <w:sz w:val="16"/>
                <w:szCs w:val="16"/>
                <w:color w:val="auto"/>
              </w:rPr>
              <w:t>(50.0)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tcPr>
          <w:p>
            <w:pPr>
              <w:jc w:val="right"/>
              <w:ind w:right="199"/>
              <w:spacing w:after="0"/>
              <w:rPr>
                <w:sz w:val="20"/>
                <w:szCs w:val="20"/>
                <w:color w:val="auto"/>
              </w:rPr>
            </w:pPr>
            <w:r>
              <w:rPr>
                <w:rFonts w:ascii="Arial" w:cs="Arial" w:eastAsia="Arial" w:hAnsi="Arial"/>
                <w:sz w:val="16"/>
                <w:szCs w:val="16"/>
                <w:color w:val="auto"/>
              </w:rPr>
              <w:t>(33.3) %</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19.5 %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16.0 %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350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19.0 %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15.7 %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330</w:t>
            </w:r>
          </w:p>
        </w:tc>
        <w:tc>
          <w:tcPr>
            <w:tcW w:w="440" w:type="dxa"/>
            <w:vAlign w:val="bottom"/>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Applied Water</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84</w:t>
            </w:r>
          </w:p>
        </w:tc>
        <w:tc>
          <w:tcPr>
            <w:tcW w:w="3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156</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18.2</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17.4 %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15.6 %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17.0 %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220</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400.0</w:t>
            </w:r>
          </w:p>
        </w:tc>
        <w:tc>
          <w:tcPr>
            <w:tcW w:w="40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275.0</w:t>
            </w:r>
          </w:p>
        </w:tc>
        <w:tc>
          <w:tcPr>
            <w:tcW w:w="440" w:type="dxa"/>
            <w:vAlign w:val="bottom"/>
            <w:tcBorders>
              <w:bottom w:val="single" w:sz="8" w:color="CCEEFF"/>
            </w:tcBorders>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19.5 %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16.0 %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350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18.6 %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15.2 %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340</w:t>
            </w:r>
          </w:p>
        </w:tc>
        <w:tc>
          <w:tcPr>
            <w:tcW w:w="440" w:type="dxa"/>
            <w:vAlign w:val="bottom"/>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Measurement and Control Solutions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68</w:t>
            </w:r>
          </w:p>
        </w:tc>
        <w:tc>
          <w:tcPr>
            <w:tcW w:w="3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(13.9) %</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124</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99"/>
              <w:spacing w:after="0"/>
              <w:rPr>
                <w:sz w:val="20"/>
                <w:szCs w:val="20"/>
                <w:color w:val="auto"/>
              </w:rPr>
            </w:pPr>
            <w:r>
              <w:rPr>
                <w:rFonts w:ascii="Arial" w:cs="Arial" w:eastAsia="Arial" w:hAnsi="Arial"/>
                <w:sz w:val="16"/>
                <w:szCs w:val="16"/>
                <w:color w:val="auto"/>
              </w:rPr>
              <w:t>(16.8)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12.6 %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16.4 %</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(380) bp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12.0 %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(380) bp</w:t>
            </w: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40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4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w:t>
            </w:r>
          </w:p>
        </w:tc>
        <w:tc>
          <w:tcPr>
            <w:tcW w:w="3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500.0</w:t>
            </w:r>
          </w:p>
        </w:tc>
        <w:tc>
          <w:tcPr>
            <w:tcW w:w="40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900.0</w:t>
            </w:r>
          </w:p>
        </w:tc>
        <w:tc>
          <w:tcPr>
            <w:tcW w:w="440" w:type="dxa"/>
            <w:vAlign w:val="bottom"/>
            <w:tcBorders>
              <w:bottom w:val="single" w:sz="8" w:color="CCEEFF"/>
            </w:tcBorders>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6"/>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18.1 %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19.9 %</w:t>
            </w:r>
          </w:p>
        </w:tc>
        <w:tc>
          <w:tcPr>
            <w:tcW w:w="10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6"/>
                <w:szCs w:val="16"/>
                <w:i w:val="1"/>
                <w:iCs w:val="1"/>
                <w:color w:val="auto"/>
              </w:rPr>
              <w:t>(180) bp</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17.5 %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19.3 %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59"/>
              <w:spacing w:after="0"/>
              <w:rPr>
                <w:sz w:val="20"/>
                <w:szCs w:val="20"/>
                <w:color w:val="auto"/>
              </w:rPr>
            </w:pPr>
            <w:r>
              <w:rPr>
                <w:rFonts w:ascii="Arial" w:cs="Arial" w:eastAsia="Arial" w:hAnsi="Arial"/>
                <w:sz w:val="16"/>
                <w:szCs w:val="16"/>
                <w:i w:val="1"/>
                <w:iCs w:val="1"/>
                <w:color w:val="auto"/>
              </w:rPr>
              <w:t>(180) 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Water Solutions and Services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78</w:t>
            </w:r>
          </w:p>
        </w:tc>
        <w:tc>
          <w:tcPr>
            <w:tcW w:w="3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122</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25.8</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12.4 %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7.8 %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460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10.2 %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8.4 %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180</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(91.3)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99"/>
              <w:spacing w:after="0"/>
              <w:rPr>
                <w:sz w:val="20"/>
                <w:szCs w:val="20"/>
                <w:color w:val="auto"/>
              </w:rPr>
            </w:pPr>
            <w:r>
              <w:rPr>
                <w:rFonts w:ascii="Arial" w:cs="Arial" w:eastAsia="Arial" w:hAnsi="Arial"/>
                <w:sz w:val="16"/>
                <w:szCs w:val="16"/>
                <w:color w:val="auto"/>
              </w:rPr>
              <w:t>(76.9) %</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51</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4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w:t>
            </w:r>
          </w:p>
        </w:tc>
        <w:tc>
          <w:tcPr>
            <w:tcW w:w="3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ind w:right="159"/>
              <w:spacing w:after="0"/>
              <w:rPr>
                <w:sz w:val="20"/>
                <w:szCs w:val="20"/>
                <w:color w:val="auto"/>
              </w:rPr>
            </w:pPr>
            <w:r>
              <w:rPr>
                <w:rFonts w:ascii="Arial" w:cs="Arial" w:eastAsia="Arial" w:hAnsi="Arial"/>
                <w:sz w:val="16"/>
                <w:szCs w:val="16"/>
                <w:color w:val="auto"/>
              </w:rPr>
              <w:t>(66.7)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tcPr>
          <w:p>
            <w:pPr>
              <w:jc w:val="right"/>
              <w:ind w:right="199"/>
              <w:spacing w:after="0"/>
              <w:rPr>
                <w:sz w:val="20"/>
                <w:szCs w:val="20"/>
                <w:color w:val="auto"/>
              </w:rPr>
            </w:pPr>
            <w:r>
              <w:rPr>
                <w:rFonts w:ascii="Arial" w:cs="Arial" w:eastAsia="Arial" w:hAnsi="Arial"/>
                <w:sz w:val="16"/>
                <w:szCs w:val="16"/>
                <w:color w:val="auto"/>
              </w:rPr>
              <w:t>(58.3) %</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16.9 %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16.5 %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40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bp</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15.4 %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15.7 %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59"/>
              <w:spacing w:after="0"/>
              <w:rPr>
                <w:sz w:val="20"/>
                <w:szCs w:val="20"/>
                <w:color w:val="auto"/>
              </w:rPr>
            </w:pPr>
            <w:r>
              <w:rPr>
                <w:rFonts w:ascii="Arial" w:cs="Arial" w:eastAsia="Arial" w:hAnsi="Arial"/>
                <w:sz w:val="16"/>
                <w:szCs w:val="16"/>
                <w:i w:val="1"/>
                <w:iCs w:val="1"/>
                <w:color w:val="auto"/>
              </w:rPr>
              <w:t>(30) 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Corporate and other</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loss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(28)</w:t>
            </w:r>
          </w:p>
        </w:tc>
        <w:tc>
          <w:tcPr>
            <w:tcW w:w="3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(49)</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99"/>
              <w:spacing w:after="0"/>
              <w:rPr>
                <w:sz w:val="20"/>
                <w:szCs w:val="20"/>
                <w:color w:val="auto"/>
              </w:rPr>
            </w:pPr>
            <w:r>
              <w:rPr>
                <w:rFonts w:ascii="Arial" w:cs="Arial" w:eastAsia="Arial" w:hAnsi="Arial"/>
                <w:sz w:val="16"/>
                <w:szCs w:val="16"/>
                <w:color w:val="auto"/>
              </w:rPr>
              <w:t>(9.3)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62"/>
        </w:trPr>
        <w:tc>
          <w:tcPr>
            <w:tcW w:w="3580" w:type="dxa"/>
            <w:vAlign w:val="bottom"/>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300" w:type="dxa"/>
            <w:vAlign w:val="bottom"/>
          </w:tcPr>
          <w:p>
            <w:pPr>
              <w:spacing w:after="0"/>
              <w:rPr>
                <w:sz w:val="14"/>
                <w:szCs w:val="14"/>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3"/>
            <w:vMerge w:val="restart"/>
          </w:tcPr>
          <w:p>
            <w:pPr>
              <w:jc w:val="right"/>
              <w:ind w:right="560"/>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amortization</w:t>
            </w: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(20.0)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(40.0) %</w:t>
            </w:r>
          </w:p>
        </w:tc>
        <w:tc>
          <w:tcPr>
            <w:tcW w:w="0" w:type="dxa"/>
            <w:vAlign w:val="bottom"/>
          </w:tcPr>
          <w:p>
            <w:pPr>
              <w:spacing w:after="0"/>
              <w:rPr>
                <w:sz w:val="1"/>
                <w:szCs w:val="1"/>
                <w:color w:val="auto"/>
              </w:rPr>
            </w:pPr>
          </w:p>
        </w:tc>
      </w:tr>
      <w:tr>
        <w:trPr>
          <w:trHeight w:val="210"/>
        </w:trPr>
        <w:tc>
          <w:tcPr>
            <w:tcW w:w="3580" w:type="dxa"/>
            <w:vAlign w:val="bottom"/>
          </w:tcPr>
          <w:p>
            <w:pPr>
              <w:ind w:left="680"/>
              <w:spacing w:after="0"/>
              <w:rPr>
                <w:sz w:val="20"/>
                <w:szCs w:val="20"/>
                <w:color w:val="auto"/>
              </w:rPr>
            </w:pPr>
            <w:r>
              <w:rPr>
                <w:rFonts w:ascii="Arial" w:cs="Arial" w:eastAsia="Arial" w:hAnsi="Arial"/>
                <w:sz w:val="16"/>
                <w:szCs w:val="16"/>
                <w:color w:val="auto"/>
              </w:rPr>
              <w:t>Adjusted operating loss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(42)</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99"/>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Xylem</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305</w:t>
            </w:r>
          </w:p>
        </w:tc>
        <w:tc>
          <w:tcPr>
            <w:tcW w:w="3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536</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13.3 %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11.7 %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12.3 %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130</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27.3</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(3.5)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w:t>
            </w:r>
          </w:p>
        </w:tc>
        <w:tc>
          <w:tcPr>
            <w:tcW w:w="3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tcPr>
          <w:p>
            <w:pPr>
              <w:jc w:val="right"/>
              <w:ind w:right="199"/>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22"/>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17.5 %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16.2 %</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130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16.6 %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15.4 %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120</w:t>
            </w:r>
          </w:p>
        </w:tc>
        <w:tc>
          <w:tcPr>
            <w:tcW w:w="440" w:type="dxa"/>
            <w:vAlign w:val="bottom"/>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percentage change</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color w:val="auto"/>
        </w:rPr>
        <w:t>The table below provides a reconciliation of net income to consolidated EBITDA and adjusted EBITDA:</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9"/>
              </w:rPr>
              <w:t>Three Months Ended</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gridSpan w:val="6"/>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260" w:type="dxa"/>
            <w:vAlign w:val="bottom"/>
          </w:tcPr>
          <w:p>
            <w:pPr>
              <w:spacing w:after="0"/>
              <w:rPr>
                <w:sz w:val="19"/>
                <w:szCs w:val="19"/>
                <w:color w:val="auto"/>
              </w:rPr>
            </w:pPr>
          </w:p>
        </w:tc>
      </w:tr>
      <w:tr>
        <w:trPr>
          <w:trHeight w:val="235"/>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8"/>
                <w:szCs w:val="18"/>
                <w:b w:val="1"/>
                <w:bCs w:val="1"/>
                <w:color w:val="auto"/>
                <w:w w:val="98"/>
              </w:rPr>
              <w:t>June 30</w:t>
            </w: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r>
      <w:tr>
        <w:trPr>
          <w:trHeight w:val="223"/>
        </w:trPr>
        <w:tc>
          <w:tcPr>
            <w:tcW w:w="39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Change</w:t>
            </w: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Change</w:t>
            </w:r>
          </w:p>
        </w:tc>
        <w:tc>
          <w:tcPr>
            <w:tcW w:w="260" w:type="dxa"/>
            <w:vAlign w:val="bottom"/>
            <w:tcBorders>
              <w:bottom w:val="single" w:sz="8" w:color="auto"/>
            </w:tcBorders>
            <w:shd w:val="clear" w:color="auto" w:fill="CCEEFF"/>
          </w:tcPr>
          <w:p>
            <w:pPr>
              <w:spacing w:after="0"/>
              <w:rPr>
                <w:sz w:val="19"/>
                <w:szCs w:val="19"/>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Xylem</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margin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bp</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bp</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123</w:t>
            </w:r>
          </w:p>
        </w:tc>
        <w:tc>
          <w:tcPr>
            <w:tcW w:w="1080" w:type="dxa"/>
            <w:vAlign w:val="bottom"/>
            <w:gridSpan w:val="2"/>
          </w:tcPr>
          <w:p>
            <w:pPr>
              <w:jc w:val="right"/>
              <w:ind w:right="250"/>
              <w:spacing w:after="0"/>
              <w:rPr>
                <w:sz w:val="20"/>
                <w:szCs w:val="20"/>
                <w:color w:val="auto"/>
              </w:rPr>
            </w:pPr>
            <w:r>
              <w:rPr>
                <w:rFonts w:ascii="Arial" w:cs="Arial" w:eastAsia="Arial" w:hAnsi="Arial"/>
                <w:sz w:val="18"/>
                <w:szCs w:val="18"/>
                <w:color w:val="auto"/>
              </w:rPr>
              <w:t>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156</w:t>
            </w:r>
          </w:p>
        </w:tc>
        <w:tc>
          <w:tcPr>
            <w:tcW w:w="10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96</w:t>
            </w:r>
          </w:p>
        </w:tc>
        <w:tc>
          <w:tcPr>
            <w:tcW w:w="10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449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rPr>
              <w:t>813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735</w:t>
            </w:r>
          </w:p>
        </w:tc>
        <w:tc>
          <w:tcPr>
            <w:tcW w:w="1080" w:type="dxa"/>
            <w:vAlign w:val="bottom"/>
            <w:gridSpan w:val="2"/>
          </w:tcPr>
          <w:p>
            <w:pPr>
              <w:jc w:val="right"/>
              <w:ind w:right="250"/>
              <w:spacing w:after="0"/>
              <w:rPr>
                <w:sz w:val="20"/>
                <w:szCs w:val="20"/>
                <w:color w:val="auto"/>
              </w:rPr>
            </w:pPr>
            <w:r>
              <w:rPr>
                <w:rFonts w:ascii="Arial" w:cs="Arial" w:eastAsia="Arial" w:hAnsi="Arial"/>
                <w:sz w:val="18"/>
                <w:szCs w:val="18"/>
                <w:color w:val="auto"/>
              </w:rPr>
              <w:t>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0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Restructuring &amp; realignment</w:t>
            </w:r>
          </w:p>
        </w:tc>
        <w:tc>
          <w:tcPr>
            <w:tcW w:w="22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1080" w:type="dxa"/>
            <w:vAlign w:val="bottom"/>
            <w:gridSpan w:val="2"/>
          </w:tcPr>
          <w:p>
            <w:pPr>
              <w:jc w:val="right"/>
              <w:ind w:right="250"/>
              <w:spacing w:after="0"/>
              <w:rPr>
                <w:sz w:val="20"/>
                <w:szCs w:val="20"/>
                <w:color w:val="auto"/>
              </w:rPr>
            </w:pPr>
            <w:r>
              <w:rPr>
                <w:rFonts w:ascii="Arial" w:cs="Arial" w:eastAsia="Arial" w:hAnsi="Arial"/>
                <w:sz w:val="18"/>
                <w:szCs w:val="18"/>
                <w:color w:val="auto"/>
              </w:rPr>
              <w:t>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10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Loss/(gain) on sale of businesses</w:t>
            </w:r>
          </w:p>
        </w:tc>
        <w:tc>
          <w:tcPr>
            <w:tcW w:w="22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250"/>
              <w:spacing w:after="0"/>
              <w:rPr>
                <w:sz w:val="20"/>
                <w:szCs w:val="20"/>
                <w:color w:val="auto"/>
              </w:rPr>
            </w:pPr>
            <w:r>
              <w:rPr>
                <w:rFonts w:ascii="Arial" w:cs="Arial" w:eastAsia="Arial" w:hAnsi="Arial"/>
                <w:sz w:val="18"/>
                <w:szCs w:val="18"/>
                <w:color w:val="auto"/>
              </w:rPr>
              <w:t>150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non-controlling interest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9"/>
                <w:szCs w:val="19"/>
                <w:color w:val="auto"/>
              </w:rPr>
            </w:pPr>
          </w:p>
        </w:tc>
      </w:tr>
      <w:tr>
        <w:trPr>
          <w:trHeight w:val="223"/>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502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925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843</w:t>
            </w:r>
          </w:p>
        </w:tc>
        <w:tc>
          <w:tcPr>
            <w:tcW w:w="1080" w:type="dxa"/>
            <w:vAlign w:val="bottom"/>
            <w:tcBorders>
              <w:bottom w:val="single" w:sz="8" w:color="CCEEFF"/>
            </w:tcBorders>
            <w:gridSpan w:val="2"/>
          </w:tcPr>
          <w:p>
            <w:pPr>
              <w:jc w:val="right"/>
              <w:ind w:right="25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bp</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10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bp</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a reconciliation of each segment's operating income (loss) to EBITDA and adjusted EBITDA:</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2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3"/>
          </w:tcPr>
          <w:p>
            <w:pPr>
              <w:jc w:val="center"/>
              <w:ind w:left="1039"/>
              <w:spacing w:after="0"/>
              <w:rPr>
                <w:sz w:val="20"/>
                <w:szCs w:val="20"/>
                <w:color w:val="auto"/>
              </w:rPr>
            </w:pPr>
            <w:r>
              <w:rPr>
                <w:rFonts w:ascii="Arial" w:cs="Arial" w:eastAsia="Arial" w:hAnsi="Arial"/>
                <w:sz w:val="16"/>
                <w:szCs w:val="16"/>
                <w:b w:val="1"/>
                <w:bCs w:val="1"/>
                <w:color w:val="auto"/>
              </w:rPr>
              <w:t>June 30, 2025</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Water Infrastructure</w:t>
            </w:r>
          </w:p>
        </w:tc>
        <w:tc>
          <w:tcPr>
            <w:tcW w:w="300" w:type="dxa"/>
            <w:vAlign w:val="bottom"/>
          </w:tcPr>
          <w:p>
            <w:pPr>
              <w:spacing w:after="0"/>
              <w:rPr>
                <w:sz w:val="14"/>
                <w:szCs w:val="14"/>
                <w:color w:val="auto"/>
              </w:rPr>
            </w:pPr>
          </w:p>
        </w:tc>
        <w:tc>
          <w:tcPr>
            <w:tcW w:w="18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Applied Water</w:t>
            </w:r>
          </w:p>
        </w:tc>
        <w:tc>
          <w:tcPr>
            <w:tcW w:w="2160" w:type="dxa"/>
            <w:vAlign w:val="bottom"/>
            <w:gridSpan w:val="3"/>
          </w:tcPr>
          <w:p>
            <w:pPr>
              <w:ind w:left="40"/>
              <w:spacing w:after="0" w:line="163" w:lineRule="exact"/>
              <w:rPr>
                <w:sz w:val="20"/>
                <w:szCs w:val="20"/>
                <w:color w:val="auto"/>
              </w:rPr>
            </w:pPr>
            <w:r>
              <w:rPr>
                <w:rFonts w:ascii="Arial" w:cs="Arial" w:eastAsia="Arial" w:hAnsi="Arial"/>
                <w:sz w:val="16"/>
                <w:szCs w:val="16"/>
                <w:b w:val="1"/>
                <w:bCs w:val="1"/>
                <w:color w:val="auto"/>
              </w:rPr>
              <w:t>Measurement and Control</w:t>
            </w:r>
          </w:p>
        </w:tc>
        <w:tc>
          <w:tcPr>
            <w:tcW w:w="160" w:type="dxa"/>
            <w:vAlign w:val="bottom"/>
          </w:tcPr>
          <w:p>
            <w:pPr>
              <w:spacing w:after="0"/>
              <w:rPr>
                <w:sz w:val="14"/>
                <w:szCs w:val="14"/>
                <w:color w:val="auto"/>
              </w:rPr>
            </w:pPr>
          </w:p>
        </w:tc>
        <w:tc>
          <w:tcPr>
            <w:tcW w:w="1860" w:type="dxa"/>
            <w:vAlign w:val="bottom"/>
          </w:tcPr>
          <w:p>
            <w:pPr>
              <w:jc w:val="right"/>
              <w:ind w:right="159"/>
              <w:spacing w:after="0" w:line="163" w:lineRule="exact"/>
              <w:rPr>
                <w:sz w:val="20"/>
                <w:szCs w:val="20"/>
                <w:color w:val="auto"/>
              </w:rPr>
            </w:pPr>
            <w:r>
              <w:rPr>
                <w:rFonts w:ascii="Arial" w:cs="Arial" w:eastAsia="Arial" w:hAnsi="Arial"/>
                <w:sz w:val="16"/>
                <w:szCs w:val="16"/>
                <w:b w:val="1"/>
                <w:bCs w:val="1"/>
                <w:color w:val="auto"/>
              </w:rPr>
              <w:t>Water Solutions and</w:t>
            </w: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Solutions</w:t>
            </w:r>
          </w:p>
        </w:tc>
        <w:tc>
          <w:tcPr>
            <w:tcW w:w="160" w:type="dxa"/>
            <w:vAlign w:val="bottom"/>
          </w:tcPr>
          <w:p>
            <w:pPr>
              <w:spacing w:after="0"/>
              <w:rPr>
                <w:sz w:val="18"/>
                <w:szCs w:val="18"/>
                <w:color w:val="auto"/>
              </w:rPr>
            </w:pPr>
          </w:p>
        </w:tc>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Services</w:t>
            </w:r>
          </w:p>
        </w:tc>
        <w:tc>
          <w:tcPr>
            <w:tcW w:w="0" w:type="dxa"/>
            <w:vAlign w:val="bottom"/>
          </w:tcPr>
          <w:p>
            <w:pPr>
              <w:spacing w:after="0"/>
              <w:rPr>
                <w:sz w:val="1"/>
                <w:szCs w:val="1"/>
                <w:color w:val="auto"/>
              </w:rPr>
            </w:pPr>
          </w:p>
        </w:tc>
      </w:tr>
      <w:tr>
        <w:trPr>
          <w:trHeight w:val="235"/>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5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Operating margin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15.8 %</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17.4 %</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12.6 %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12.4 %</w:t>
            </w: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Loss attributable to non-</w:t>
            </w:r>
          </w:p>
        </w:tc>
        <w:tc>
          <w:tcPr>
            <w:tcW w:w="18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4"/>
                <w:szCs w:val="14"/>
                <w:color w:val="auto"/>
              </w:rPr>
            </w:pPr>
          </w:p>
        </w:tc>
        <w:tc>
          <w:tcPr>
            <w:tcW w:w="18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controlling interest</w:t>
            </w:r>
          </w:p>
        </w:tc>
        <w:tc>
          <w:tcPr>
            <w:tcW w:w="180" w:type="dxa"/>
            <w:vAlign w:val="bottom"/>
            <w:shd w:val="clear" w:color="auto" w:fill="CCEEFF"/>
          </w:tcPr>
          <w:p>
            <w:pPr>
              <w:spacing w:after="0"/>
              <w:rPr>
                <w:sz w:val="18"/>
                <w:szCs w:val="18"/>
                <w:color w:val="auto"/>
              </w:rPr>
            </w:pPr>
          </w:p>
        </w:tc>
        <w:tc>
          <w:tcPr>
            <w:tcW w:w="20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11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b w:val="1"/>
                <w:bCs w:val="1"/>
                <w:color w:val="auto"/>
              </w:rPr>
              <w:t>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w:t>
            </w:r>
          </w:p>
        </w:tc>
        <w:tc>
          <w:tcPr>
            <w:tcW w:w="0" w:type="dxa"/>
            <w:vAlign w:val="bottom"/>
          </w:tcPr>
          <w:p>
            <w:pPr>
              <w:spacing w:after="0"/>
              <w:rPr>
                <w:sz w:val="1"/>
                <w:szCs w:val="1"/>
                <w:color w:val="auto"/>
              </w:rPr>
            </w:pPr>
          </w:p>
        </w:tc>
      </w:tr>
      <w:tr>
        <w:trPr>
          <w:trHeight w:val="162"/>
        </w:trPr>
        <w:tc>
          <w:tcPr>
            <w:tcW w:w="2460" w:type="dxa"/>
            <w:vAlign w:val="bottom"/>
          </w:tcPr>
          <w:p>
            <w:pPr>
              <w:ind w:left="20"/>
              <w:spacing w:after="0" w:line="162" w:lineRule="exact"/>
              <w:rPr>
                <w:sz w:val="20"/>
                <w:szCs w:val="20"/>
                <w:color w:val="auto"/>
              </w:rPr>
            </w:pPr>
            <w:r>
              <w:rPr>
                <w:rFonts w:ascii="Arial" w:cs="Arial" w:eastAsia="Arial" w:hAnsi="Arial"/>
                <w:sz w:val="16"/>
                <w:szCs w:val="16"/>
                <w:color w:val="auto"/>
              </w:rPr>
              <w:t>Other non-operating (expense)</w:t>
            </w:r>
          </w:p>
        </w:tc>
        <w:tc>
          <w:tcPr>
            <w:tcW w:w="180" w:type="dxa"/>
            <w:vAlign w:val="bottom"/>
          </w:tcPr>
          <w:p>
            <w:pPr>
              <w:spacing w:after="0"/>
              <w:rPr>
                <w:sz w:val="14"/>
                <w:szCs w:val="14"/>
                <w:color w:val="auto"/>
              </w:rPr>
            </w:pPr>
          </w:p>
        </w:tc>
        <w:tc>
          <w:tcPr>
            <w:tcW w:w="18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6"/>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excluding interest</w:t>
            </w: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125</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94</w:t>
            </w: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148</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Share-based compensation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&amp; realignment</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6"/>
                <w:szCs w:val="16"/>
                <w:color w:val="auto"/>
              </w:rPr>
              <w:t>Special charges</w:t>
            </w:r>
          </w:p>
        </w:tc>
        <w:tc>
          <w:tcPr>
            <w:tcW w:w="18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Loss attributable to non-</w:t>
            </w:r>
          </w:p>
        </w:tc>
        <w:tc>
          <w:tcPr>
            <w:tcW w:w="18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4"/>
                <w:szCs w:val="14"/>
                <w:color w:val="auto"/>
              </w:rPr>
            </w:pPr>
          </w:p>
        </w:tc>
        <w:tc>
          <w:tcPr>
            <w:tcW w:w="18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controlling interest</w:t>
            </w:r>
          </w:p>
        </w:tc>
        <w:tc>
          <w:tcPr>
            <w:tcW w:w="180" w:type="dxa"/>
            <w:vAlign w:val="bottom"/>
            <w:shd w:val="clear" w:color="auto" w:fill="CCEEFF"/>
          </w:tcPr>
          <w:p>
            <w:pPr>
              <w:spacing w:after="0"/>
              <w:rPr>
                <w:sz w:val="18"/>
                <w:szCs w:val="18"/>
                <w:color w:val="auto"/>
              </w:rPr>
            </w:pPr>
          </w:p>
        </w:tc>
        <w:tc>
          <w:tcPr>
            <w:tcW w:w="20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142</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105</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5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125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153</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21.8 %</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21.7 %</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23.1 %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24.4 %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40" w:type="dxa"/>
            <w:vAlign w:val="bottom"/>
            <w:gridSpan w:val="8"/>
          </w:tcPr>
          <w:p>
            <w:pPr>
              <w:ind w:left="94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right"/>
              <w:ind w:right="59"/>
              <w:spacing w:after="0"/>
              <w:rPr>
                <w:sz w:val="20"/>
                <w:szCs w:val="20"/>
                <w:color w:val="auto"/>
              </w:rPr>
            </w:pPr>
            <w:r>
              <w:rPr>
                <w:rFonts w:ascii="Arial" w:cs="Arial" w:eastAsia="Arial" w:hAnsi="Arial"/>
                <w:sz w:val="18"/>
                <w:szCs w:val="18"/>
                <w:b w:val="1"/>
                <w:bCs w:val="1"/>
                <w:color w:val="auto"/>
              </w:rPr>
              <w:t>June 30, 2024</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Water Infrastructure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Applied Water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4"/>
          </w:tcPr>
          <w:p>
            <w:pPr>
              <w:ind w:left="20"/>
              <w:spacing w:after="0" w:line="163" w:lineRule="exact"/>
              <w:rPr>
                <w:sz w:val="20"/>
                <w:szCs w:val="20"/>
                <w:color w:val="auto"/>
              </w:rPr>
            </w:pPr>
            <w:r>
              <w:rPr>
                <w:rFonts w:ascii="Arial" w:cs="Arial" w:eastAsia="Arial" w:hAnsi="Arial"/>
                <w:sz w:val="16"/>
                <w:szCs w:val="16"/>
                <w:b w:val="1"/>
                <w:bCs w:val="1"/>
                <w:color w:val="auto"/>
              </w:rPr>
              <w:t>Measurement and Control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right"/>
              <w:ind w:right="240"/>
              <w:spacing w:after="0" w:line="163" w:lineRule="exact"/>
              <w:rPr>
                <w:sz w:val="20"/>
                <w:szCs w:val="20"/>
                <w:color w:val="auto"/>
              </w:rPr>
            </w:pPr>
            <w:r>
              <w:rPr>
                <w:rFonts w:ascii="Arial" w:cs="Arial" w:eastAsia="Arial" w:hAnsi="Arial"/>
                <w:sz w:val="16"/>
                <w:szCs w:val="16"/>
                <w:b w:val="1"/>
                <w:bCs w:val="1"/>
                <w:color w:val="auto"/>
              </w:rPr>
              <w:t>Water Solutions and</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Solutions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6"/>
                <w:szCs w:val="16"/>
                <w:b w:val="1"/>
                <w:bCs w:val="1"/>
                <w:color w:val="auto"/>
              </w:rPr>
              <w:t>Services</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19"/>
                <w:szCs w:val="19"/>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78</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71</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w:t>
            </w:r>
          </w:p>
        </w:tc>
        <w:tc>
          <w:tcPr>
            <w:tcW w:w="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Operating margin</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2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12.4 %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15.6 %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20" w:type="dxa"/>
            <w:vAlign w:val="bottom"/>
            <w:gridSpan w:val="4"/>
          </w:tcPr>
          <w:p>
            <w:pPr>
              <w:jc w:val="right"/>
              <w:spacing w:after="0"/>
              <w:rPr>
                <w:sz w:val="20"/>
                <w:szCs w:val="20"/>
                <w:color w:val="auto"/>
              </w:rPr>
            </w:pPr>
            <w:r>
              <w:rPr>
                <w:rFonts w:ascii="Arial" w:cs="Arial" w:eastAsia="Arial" w:hAnsi="Arial"/>
                <w:sz w:val="16"/>
                <w:szCs w:val="16"/>
                <w:b w:val="1"/>
                <w:bCs w:val="1"/>
                <w:color w:val="auto"/>
              </w:rPr>
              <w:t>16.4 %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7.8 %</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from sale of business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ind w:right="58"/>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500" w:type="dxa"/>
            <w:vAlign w:val="bottom"/>
          </w:tcPr>
          <w:p>
            <w:pPr>
              <w:ind w:left="20"/>
              <w:spacing w:after="0" w:line="162" w:lineRule="exact"/>
              <w:rPr>
                <w:sz w:val="20"/>
                <w:szCs w:val="20"/>
                <w:color w:val="auto"/>
              </w:rPr>
            </w:pPr>
            <w:r>
              <w:rPr>
                <w:rFonts w:ascii="Arial" w:cs="Arial" w:eastAsia="Arial" w:hAnsi="Arial"/>
                <w:sz w:val="16"/>
                <w:szCs w:val="16"/>
                <w:color w:val="auto"/>
              </w:rPr>
              <w:t>Other non-operating (expense)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excluding interest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115</w:t>
            </w: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77</w:t>
            </w: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w:t>
            </w: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w:t>
            </w:r>
          </w:p>
        </w:tc>
        <w:tc>
          <w:tcPr>
            <w:tcW w:w="1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tcPr>
          <w:p>
            <w:pPr>
              <w:spacing w:after="0"/>
              <w:rPr>
                <w:sz w:val="16"/>
                <w:szCs w:val="16"/>
                <w:color w:val="auto"/>
              </w:rPr>
            </w:pPr>
          </w:p>
        </w:tc>
        <w:tc>
          <w:tcPr>
            <w:tcW w:w="2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jc w:val="right"/>
              <w:ind w:right="58"/>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&amp; realignment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Special Charges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from sale of business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125</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80</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i w:val="1"/>
                <w:iCs w:val="1"/>
                <w:color w:val="auto"/>
              </w:rPr>
              <w:t>19.8 %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i w:val="1"/>
                <w:iCs w:val="1"/>
                <w:color w:val="auto"/>
              </w:rPr>
              <w:t>17.5 %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23.4 %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i w:val="1"/>
                <w:iCs w:val="1"/>
                <w:color w:val="auto"/>
              </w:rPr>
              <w:t>23.8 %</w:t>
            </w:r>
          </w:p>
        </w:tc>
        <w:tc>
          <w:tcPr>
            <w:tcW w:w="0" w:type="dxa"/>
            <w:vAlign w:val="bottom"/>
          </w:tcPr>
          <w:p>
            <w:pPr>
              <w:spacing w:after="0"/>
              <w:rPr>
                <w:sz w:val="1"/>
                <w:szCs w:val="1"/>
                <w:color w:val="auto"/>
              </w:rPr>
            </w:pPr>
          </w:p>
        </w:tc>
      </w:tr>
      <w:tr>
        <w:trPr>
          <w:trHeight w:val="337"/>
        </w:trPr>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jc w:val="right"/>
              <w:ind w:right="59"/>
              <w:spacing w:after="0"/>
              <w:rPr>
                <w:sz w:val="20"/>
                <w:szCs w:val="20"/>
                <w:color w:val="auto"/>
              </w:rPr>
            </w:pPr>
            <w:r>
              <w:rPr>
                <w:rFonts w:ascii="Arial" w:cs="Arial" w:eastAsia="Arial" w:hAnsi="Arial"/>
                <w:sz w:val="16"/>
                <w:szCs w:val="16"/>
                <w:b w:val="1"/>
                <w:bCs w:val="1"/>
                <w:color w:val="auto"/>
              </w:rPr>
              <w:t>2025 versus 2024</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rPr>
              <w:t>Water Infrastructure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Applied Water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4"/>
          </w:tcPr>
          <w:p>
            <w:pPr>
              <w:ind w:left="240"/>
              <w:spacing w:after="0" w:line="163" w:lineRule="exact"/>
              <w:rPr>
                <w:sz w:val="20"/>
                <w:szCs w:val="20"/>
                <w:color w:val="auto"/>
              </w:rPr>
            </w:pPr>
            <w:r>
              <w:rPr>
                <w:rFonts w:ascii="Arial" w:cs="Arial" w:eastAsia="Arial" w:hAnsi="Arial"/>
                <w:sz w:val="16"/>
                <w:szCs w:val="16"/>
                <w:b w:val="1"/>
                <w:bCs w:val="1"/>
                <w:color w:val="auto"/>
              </w:rPr>
              <w:t>Measurement and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3"/>
          </w:tcPr>
          <w:p>
            <w:pPr>
              <w:jc w:val="right"/>
              <w:ind w:right="380"/>
              <w:spacing w:after="0" w:line="163" w:lineRule="exact"/>
              <w:rPr>
                <w:sz w:val="20"/>
                <w:szCs w:val="20"/>
                <w:color w:val="auto"/>
              </w:rPr>
            </w:pPr>
            <w:r>
              <w:rPr>
                <w:rFonts w:ascii="Arial" w:cs="Arial" w:eastAsia="Arial" w:hAnsi="Arial"/>
                <w:sz w:val="16"/>
                <w:szCs w:val="16"/>
                <w:b w:val="1"/>
                <w:bCs w:val="1"/>
                <w:color w:val="auto"/>
              </w:rPr>
              <w:t>Water Solutions and</w:t>
            </w: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gridSpan w:val="4"/>
          </w:tcPr>
          <w:p>
            <w:pPr>
              <w:ind w:left="240"/>
              <w:spacing w:after="0"/>
              <w:rPr>
                <w:sz w:val="20"/>
                <w:szCs w:val="20"/>
                <w:color w:val="auto"/>
              </w:rPr>
            </w:pPr>
            <w:r>
              <w:rPr>
                <w:rFonts w:ascii="Arial" w:cs="Arial" w:eastAsia="Arial" w:hAnsi="Arial"/>
                <w:sz w:val="16"/>
                <w:szCs w:val="16"/>
                <w:b w:val="1"/>
                <w:bCs w:val="1"/>
                <w:color w:val="auto"/>
              </w:rPr>
              <w:t>Control Solutions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6"/>
                <w:szCs w:val="16"/>
                <w:b w:val="1"/>
                <w:bCs w:val="1"/>
                <w:color w:val="auto"/>
              </w:rPr>
              <w:t>Services</w:t>
            </w:r>
          </w:p>
        </w:tc>
        <w:tc>
          <w:tcPr>
            <w:tcW w:w="0" w:type="dxa"/>
            <w:vAlign w:val="bottom"/>
          </w:tcPr>
          <w:p>
            <w:pPr>
              <w:spacing w:after="0"/>
              <w:rPr>
                <w:sz w:val="1"/>
                <w:szCs w:val="1"/>
                <w:color w:val="auto"/>
              </w:rPr>
            </w:pPr>
          </w:p>
        </w:tc>
      </w:tr>
      <w:tr>
        <w:trPr>
          <w:trHeight w:val="235"/>
        </w:trPr>
        <w:tc>
          <w:tcPr>
            <w:tcW w:w="26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Operating margin</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60" w:type="dxa"/>
            <w:vAlign w:val="bottom"/>
            <w:tcBorders>
              <w:top w:val="single" w:sz="8" w:color="CCEEFF"/>
            </w:tcBorders>
            <w:gridSpan w:val="2"/>
            <w:vMerge w:val="continue"/>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340 bps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180 bps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(380) bps</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460 bps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Loss attributable to non-</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controlling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Gain on sale of businesses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6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Other non-operating (expense)</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excluding interest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gridSpan w:val="2"/>
          </w:tcPr>
          <w:p>
            <w:pPr>
              <w:ind w:left="20"/>
              <w:spacing w:after="0"/>
              <w:rPr>
                <w:sz w:val="20"/>
                <w:szCs w:val="20"/>
                <w:color w:val="auto"/>
              </w:rPr>
            </w:pPr>
            <w:r>
              <w:rPr>
                <w:rFonts w:ascii="Arial" w:cs="Arial" w:eastAsia="Arial" w:hAnsi="Arial"/>
                <w:sz w:val="16"/>
                <w:szCs w:val="16"/>
                <w:b w:val="1"/>
                <w:bCs w:val="1"/>
                <w:color w:val="auto"/>
              </w:rPr>
              <w:t>EBITDA</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Restructuring &amp; realignment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Loss attributable to non-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controlling interest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from sale of businesses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EBITDA</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ind w:right="5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 bps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420 bps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 bps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 bps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5"/>
          </w:tcPr>
          <w:p>
            <w:pPr>
              <w:jc w:val="center"/>
              <w:ind w:left="979"/>
              <w:spacing w:after="0"/>
              <w:rPr>
                <w:sz w:val="20"/>
                <w:szCs w:val="20"/>
                <w:color w:val="auto"/>
              </w:rPr>
            </w:pPr>
            <w:r>
              <w:rPr>
                <w:rFonts w:ascii="Arial" w:cs="Arial" w:eastAsia="Arial" w:hAnsi="Arial"/>
                <w:sz w:val="16"/>
                <w:szCs w:val="16"/>
                <w:b w:val="1"/>
                <w:bCs w:val="1"/>
                <w:color w:val="auto"/>
              </w:rPr>
              <w:t>Six Months Ended</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5"/>
          </w:tcPr>
          <w:p>
            <w:pPr>
              <w:jc w:val="center"/>
              <w:ind w:left="979"/>
              <w:spacing w:after="0"/>
              <w:rPr>
                <w:sz w:val="20"/>
                <w:szCs w:val="20"/>
                <w:color w:val="auto"/>
              </w:rPr>
            </w:pPr>
            <w:r>
              <w:rPr>
                <w:rFonts w:ascii="Arial" w:cs="Arial" w:eastAsia="Arial" w:hAnsi="Arial"/>
                <w:sz w:val="16"/>
                <w:szCs w:val="16"/>
                <w:b w:val="1"/>
                <w:bCs w:val="1"/>
                <w:color w:val="auto"/>
                <w:w w:val="99"/>
              </w:rPr>
              <w:t>June 30, 2025</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Water Infrastructure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Applied Water</w:t>
            </w:r>
          </w:p>
        </w:tc>
        <w:tc>
          <w:tcPr>
            <w:tcW w:w="20" w:type="dxa"/>
            <w:vAlign w:val="bottom"/>
          </w:tcPr>
          <w:p>
            <w:pPr>
              <w:spacing w:after="0"/>
              <w:rPr>
                <w:sz w:val="14"/>
                <w:szCs w:val="14"/>
                <w:color w:val="auto"/>
              </w:rPr>
            </w:pPr>
          </w:p>
        </w:tc>
        <w:tc>
          <w:tcPr>
            <w:tcW w:w="2160" w:type="dxa"/>
            <w:vAlign w:val="bottom"/>
            <w:gridSpan w:val="4"/>
          </w:tcPr>
          <w:p>
            <w:pPr>
              <w:spacing w:after="0" w:line="163" w:lineRule="exact"/>
              <w:rPr>
                <w:sz w:val="20"/>
                <w:szCs w:val="20"/>
                <w:color w:val="auto"/>
              </w:rPr>
            </w:pPr>
            <w:r>
              <w:rPr>
                <w:rFonts w:ascii="Arial" w:cs="Arial" w:eastAsia="Arial" w:hAnsi="Arial"/>
                <w:sz w:val="16"/>
                <w:szCs w:val="16"/>
                <w:b w:val="1"/>
                <w:bCs w:val="1"/>
                <w:color w:val="auto"/>
              </w:rPr>
              <w:t>Measurement and Control</w:t>
            </w:r>
          </w:p>
        </w:tc>
        <w:tc>
          <w:tcPr>
            <w:tcW w:w="160" w:type="dxa"/>
            <w:vAlign w:val="bottom"/>
          </w:tcPr>
          <w:p>
            <w:pPr>
              <w:spacing w:after="0"/>
              <w:rPr>
                <w:sz w:val="14"/>
                <w:szCs w:val="14"/>
                <w:color w:val="auto"/>
              </w:rPr>
            </w:pPr>
          </w:p>
        </w:tc>
        <w:tc>
          <w:tcPr>
            <w:tcW w:w="1860" w:type="dxa"/>
            <w:vAlign w:val="bottom"/>
          </w:tcPr>
          <w:p>
            <w:pPr>
              <w:jc w:val="center"/>
              <w:ind w:right="99"/>
              <w:spacing w:after="0" w:line="163" w:lineRule="exact"/>
              <w:rPr>
                <w:sz w:val="20"/>
                <w:szCs w:val="20"/>
                <w:color w:val="auto"/>
              </w:rPr>
            </w:pPr>
            <w:r>
              <w:rPr>
                <w:rFonts w:ascii="Arial" w:cs="Arial" w:eastAsia="Arial" w:hAnsi="Arial"/>
                <w:sz w:val="16"/>
                <w:szCs w:val="16"/>
                <w:b w:val="1"/>
                <w:bCs w:val="1"/>
                <w:color w:val="auto"/>
              </w:rPr>
              <w:t>Water Solutions and</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Arial" w:cs="Arial" w:eastAsia="Arial" w:hAnsi="Arial"/>
                <w:sz w:val="16"/>
                <w:szCs w:val="16"/>
                <w:b w:val="1"/>
                <w:bCs w:val="1"/>
                <w:color w:val="auto"/>
              </w:rPr>
              <w:t>Solutions</w:t>
            </w:r>
          </w:p>
        </w:tc>
        <w:tc>
          <w:tcPr>
            <w:tcW w:w="160" w:type="dxa"/>
            <w:vAlign w:val="bottom"/>
          </w:tcPr>
          <w:p>
            <w:pPr>
              <w:spacing w:after="0"/>
              <w:rPr>
                <w:sz w:val="18"/>
                <w:szCs w:val="18"/>
                <w:color w:val="auto"/>
              </w:rPr>
            </w:pPr>
          </w:p>
        </w:tc>
        <w:tc>
          <w:tcPr>
            <w:tcW w:w="1860" w:type="dxa"/>
            <w:vAlign w:val="bottom"/>
          </w:tcPr>
          <w:p>
            <w:pPr>
              <w:jc w:val="center"/>
              <w:ind w:right="79"/>
              <w:spacing w:after="0"/>
              <w:rPr>
                <w:sz w:val="20"/>
                <w:szCs w:val="20"/>
                <w:color w:val="auto"/>
              </w:rPr>
            </w:pPr>
            <w:r>
              <w:rPr>
                <w:rFonts w:ascii="Arial" w:cs="Arial" w:eastAsia="Arial" w:hAnsi="Arial"/>
                <w:sz w:val="16"/>
                <w:szCs w:val="16"/>
                <w:b w:val="1"/>
                <w:bCs w:val="1"/>
                <w:color w:val="auto"/>
              </w:rPr>
              <w:t>Services</w:t>
            </w:r>
          </w:p>
        </w:tc>
        <w:tc>
          <w:tcPr>
            <w:tcW w:w="0" w:type="dxa"/>
            <w:vAlign w:val="bottom"/>
          </w:tcPr>
          <w:p>
            <w:pPr>
              <w:spacing w:after="0"/>
              <w:rPr>
                <w:sz w:val="1"/>
                <w:szCs w:val="1"/>
                <w:color w:val="auto"/>
              </w:rPr>
            </w:pPr>
          </w:p>
        </w:tc>
      </w:tr>
      <w:tr>
        <w:trPr>
          <w:trHeight w:val="235"/>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156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122</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Operating margin</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14.9 %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17.0 %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12.0 %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10.2 %</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Loss attributable to non-</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2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6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controlling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Loss from sale of business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79"/>
              <w:spacing w:after="0"/>
              <w:rPr>
                <w:sz w:val="20"/>
                <w:szCs w:val="20"/>
                <w:color w:val="auto"/>
              </w:rPr>
            </w:pPr>
            <w:r>
              <w:rPr>
                <w:rFonts w:ascii="Arial" w:cs="Arial" w:eastAsia="Arial" w:hAnsi="Arial"/>
                <w:sz w:val="16"/>
                <w:szCs w:val="16"/>
                <w:b w:val="1"/>
                <w:bCs w:val="1"/>
                <w:color w:val="auto"/>
              </w:rPr>
              <w:t>(10)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84</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b w:val="1"/>
                <w:bCs w:val="1"/>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b w:val="1"/>
                <w:bCs w:val="1"/>
                <w:color w:val="auto"/>
              </w:rPr>
              <w:t>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55</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Other non-operating (expense)</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6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excluding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EBITDA</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260</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Restructuring &amp; realignment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b w:val="1"/>
                <w:bCs w:val="1"/>
                <w:color w:val="auto"/>
              </w:rPr>
              <w:t>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b w:val="1"/>
                <w:bCs w:val="1"/>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162"/>
        </w:trPr>
        <w:tc>
          <w:tcPr>
            <w:tcW w:w="2480" w:type="dxa"/>
            <w:vAlign w:val="bottom"/>
          </w:tcPr>
          <w:p>
            <w:pPr>
              <w:ind w:left="20"/>
              <w:spacing w:after="0" w:line="162" w:lineRule="exact"/>
              <w:rPr>
                <w:sz w:val="20"/>
                <w:szCs w:val="20"/>
                <w:color w:val="auto"/>
              </w:rPr>
            </w:pPr>
            <w:r>
              <w:rPr>
                <w:rFonts w:ascii="Arial" w:cs="Arial" w:eastAsia="Arial" w:hAnsi="Arial"/>
                <w:sz w:val="16"/>
                <w:szCs w:val="16"/>
                <w:color w:val="auto"/>
              </w:rPr>
              <w:t>Loss attributable to non-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3"/>
            <w:vMerge w:val="restart"/>
          </w:tcPr>
          <w:p>
            <w:pPr>
              <w:jc w:val="right"/>
              <w:ind w:right="36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vMerge w:val="restart"/>
          </w:tcPr>
          <w:p>
            <w:pPr>
              <w:jc w:val="right"/>
              <w:ind w:right="36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controlling interest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sale of business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275</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21.3 %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20.7 %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22.1 %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23.1 %</w:t>
            </w:r>
          </w:p>
        </w:tc>
        <w:tc>
          <w:tcPr>
            <w:tcW w:w="0" w:type="dxa"/>
            <w:vAlign w:val="bottom"/>
          </w:tcPr>
          <w:p>
            <w:pPr>
              <w:spacing w:after="0"/>
              <w:rPr>
                <w:sz w:val="1"/>
                <w:szCs w:val="1"/>
                <w:color w:val="auto"/>
              </w:rPr>
            </w:pPr>
          </w:p>
        </w:tc>
      </w:tr>
      <w:tr>
        <w:trPr>
          <w:trHeight w:val="445"/>
        </w:trPr>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5"/>
          </w:tcPr>
          <w:p>
            <w:pPr>
              <w:jc w:val="center"/>
              <w:ind w:left="979"/>
              <w:spacing w:after="0"/>
              <w:rPr>
                <w:sz w:val="20"/>
                <w:szCs w:val="20"/>
                <w:color w:val="auto"/>
              </w:rPr>
            </w:pPr>
            <w:r>
              <w:rPr>
                <w:rFonts w:ascii="Arial" w:cs="Arial" w:eastAsia="Arial" w:hAnsi="Arial"/>
                <w:sz w:val="16"/>
                <w:szCs w:val="16"/>
                <w:b w:val="1"/>
                <w:bCs w:val="1"/>
                <w:color w:val="auto"/>
              </w:rPr>
              <w:t>Six Months Ended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5"/>
          </w:tcPr>
          <w:p>
            <w:pPr>
              <w:jc w:val="center"/>
              <w:ind w:left="999"/>
              <w:spacing w:after="0"/>
              <w:rPr>
                <w:sz w:val="20"/>
                <w:szCs w:val="20"/>
                <w:color w:val="auto"/>
              </w:rPr>
            </w:pPr>
            <w:r>
              <w:rPr>
                <w:rFonts w:ascii="Arial" w:cs="Arial" w:eastAsia="Arial" w:hAnsi="Arial"/>
                <w:sz w:val="16"/>
                <w:szCs w:val="16"/>
                <w:b w:val="1"/>
                <w:bCs w:val="1"/>
                <w:color w:val="auto"/>
              </w:rPr>
              <w:t>June 30, 2024</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Water Infrastructure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Applied Water</w:t>
            </w:r>
          </w:p>
        </w:tc>
        <w:tc>
          <w:tcPr>
            <w:tcW w:w="20" w:type="dxa"/>
            <w:vAlign w:val="bottom"/>
          </w:tcPr>
          <w:p>
            <w:pPr>
              <w:spacing w:after="0"/>
              <w:rPr>
                <w:sz w:val="14"/>
                <w:szCs w:val="14"/>
                <w:color w:val="auto"/>
              </w:rPr>
            </w:pPr>
          </w:p>
        </w:tc>
        <w:tc>
          <w:tcPr>
            <w:tcW w:w="2160" w:type="dxa"/>
            <w:vAlign w:val="bottom"/>
            <w:gridSpan w:val="4"/>
          </w:tcPr>
          <w:p>
            <w:pPr>
              <w:ind w:left="20"/>
              <w:spacing w:after="0" w:line="163" w:lineRule="exact"/>
              <w:rPr>
                <w:sz w:val="20"/>
                <w:szCs w:val="20"/>
                <w:color w:val="auto"/>
              </w:rPr>
            </w:pPr>
            <w:r>
              <w:rPr>
                <w:rFonts w:ascii="Arial" w:cs="Arial" w:eastAsia="Arial" w:hAnsi="Arial"/>
                <w:sz w:val="16"/>
                <w:szCs w:val="16"/>
                <w:b w:val="1"/>
                <w:bCs w:val="1"/>
                <w:color w:val="auto"/>
              </w:rPr>
              <w:t>Measurement and Control</w:t>
            </w:r>
          </w:p>
        </w:tc>
        <w:tc>
          <w:tcPr>
            <w:tcW w:w="160" w:type="dxa"/>
            <w:vAlign w:val="bottom"/>
          </w:tcPr>
          <w:p>
            <w:pPr>
              <w:spacing w:after="0"/>
              <w:rPr>
                <w:sz w:val="14"/>
                <w:szCs w:val="14"/>
                <w:color w:val="auto"/>
              </w:rPr>
            </w:pPr>
          </w:p>
        </w:tc>
        <w:tc>
          <w:tcPr>
            <w:tcW w:w="1860" w:type="dxa"/>
            <w:vAlign w:val="bottom"/>
          </w:tcPr>
          <w:p>
            <w:pPr>
              <w:jc w:val="center"/>
              <w:ind w:right="99"/>
              <w:spacing w:after="0" w:line="163" w:lineRule="exact"/>
              <w:rPr>
                <w:sz w:val="20"/>
                <w:szCs w:val="20"/>
                <w:color w:val="auto"/>
              </w:rPr>
            </w:pPr>
            <w:r>
              <w:rPr>
                <w:rFonts w:ascii="Arial" w:cs="Arial" w:eastAsia="Arial" w:hAnsi="Arial"/>
                <w:sz w:val="16"/>
                <w:szCs w:val="16"/>
                <w:b w:val="1"/>
                <w:bCs w:val="1"/>
                <w:color w:val="auto"/>
              </w:rPr>
              <w:t>Water Solutions and</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Solutions</w:t>
            </w:r>
          </w:p>
        </w:tc>
        <w:tc>
          <w:tcPr>
            <w:tcW w:w="160" w:type="dxa"/>
            <w:vAlign w:val="bottom"/>
          </w:tcPr>
          <w:p>
            <w:pPr>
              <w:spacing w:after="0"/>
              <w:rPr>
                <w:sz w:val="18"/>
                <w:szCs w:val="18"/>
                <w:color w:val="auto"/>
              </w:rPr>
            </w:pPr>
          </w:p>
        </w:tc>
        <w:tc>
          <w:tcPr>
            <w:tcW w:w="1860" w:type="dxa"/>
            <w:vAlign w:val="bottom"/>
          </w:tcPr>
          <w:p>
            <w:pPr>
              <w:jc w:val="center"/>
              <w:ind w:right="79"/>
              <w:spacing w:after="0"/>
              <w:rPr>
                <w:sz w:val="20"/>
                <w:szCs w:val="20"/>
                <w:color w:val="auto"/>
              </w:rPr>
            </w:pPr>
            <w:r>
              <w:rPr>
                <w:rFonts w:ascii="Arial" w:cs="Arial" w:eastAsia="Arial" w:hAnsi="Arial"/>
                <w:sz w:val="16"/>
                <w:szCs w:val="16"/>
                <w:b w:val="1"/>
                <w:bCs w:val="1"/>
                <w:color w:val="auto"/>
              </w:rPr>
              <w:t>Services</w:t>
            </w:r>
          </w:p>
        </w:tc>
        <w:tc>
          <w:tcPr>
            <w:tcW w:w="0" w:type="dxa"/>
            <w:vAlign w:val="bottom"/>
          </w:tcPr>
          <w:p>
            <w:pPr>
              <w:spacing w:after="0"/>
              <w:rPr>
                <w:sz w:val="1"/>
                <w:szCs w:val="1"/>
                <w:color w:val="auto"/>
              </w:rPr>
            </w:pPr>
          </w:p>
        </w:tc>
      </w:tr>
      <w:tr>
        <w:trPr>
          <w:trHeight w:val="235"/>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149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97</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Operating margin</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11.5 %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14.8 %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15.8 %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8.4 %</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sale of business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62"/>
        </w:trPr>
        <w:tc>
          <w:tcPr>
            <w:tcW w:w="2480" w:type="dxa"/>
            <w:vAlign w:val="bottom"/>
          </w:tcPr>
          <w:p>
            <w:pPr>
              <w:ind w:left="20"/>
              <w:spacing w:after="0" w:line="162" w:lineRule="exact"/>
              <w:rPr>
                <w:sz w:val="20"/>
                <w:szCs w:val="20"/>
                <w:color w:val="auto"/>
              </w:rPr>
            </w:pPr>
            <w:r>
              <w:rPr>
                <w:rFonts w:ascii="Arial" w:cs="Arial" w:eastAsia="Arial" w:hAnsi="Arial"/>
                <w:sz w:val="16"/>
                <w:szCs w:val="16"/>
                <w:color w:val="auto"/>
              </w:rPr>
              <w:t>Other non-operating income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vMerge w:val="restart"/>
          </w:tcPr>
          <w:p>
            <w:pPr>
              <w:jc w:val="right"/>
              <w:ind w:right="5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vMerge w:val="restart"/>
          </w:tcPr>
          <w:p>
            <w:pPr>
              <w:jc w:val="right"/>
              <w:ind w:right="5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vMerge w:val="restart"/>
          </w:tcPr>
          <w:p>
            <w:pPr>
              <w:jc w:val="right"/>
              <w:ind w:right="59"/>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vMerge w:val="restart"/>
          </w:tcPr>
          <w:p>
            <w:pPr>
              <w:jc w:val="right"/>
              <w:ind w:right="1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(expense), excluding interest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205</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145</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211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220</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&amp; realignment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Special Charges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sale of business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227</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152</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218</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268</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18.8 %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17.0 %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i w:val="1"/>
                <w:iCs w:val="1"/>
                <w:color w:val="auto"/>
              </w:rPr>
              <w:t>23.1 %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23.1 %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76835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80" w:top="1151" w:right="379" w:bottom="1440" w:gutter="0" w:footer="0" w:header="0"/>
        </w:sectPr>
      </w:pPr>
    </w:p>
    <w:bookmarkStart w:id="55" w:name="page56"/>
    <w:bookmarkEnd w:id="55"/>
    <w:tbl>
      <w:tblPr>
        <w:tblLayout w:type="fixed"/>
        <w:tblInd w:w="16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6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Six Months Ended</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6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2025 versus 2024</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Water Infrastructure</w:t>
            </w:r>
          </w:p>
        </w:tc>
        <w:tc>
          <w:tcPr>
            <w:tcW w:w="280" w:type="dxa"/>
            <w:vAlign w:val="bottom"/>
          </w:tcPr>
          <w:p>
            <w:pPr>
              <w:spacing w:after="0"/>
              <w:rPr>
                <w:sz w:val="14"/>
                <w:szCs w:val="14"/>
                <w:color w:val="auto"/>
              </w:rPr>
            </w:pPr>
          </w:p>
        </w:tc>
        <w:tc>
          <w:tcPr>
            <w:tcW w:w="18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Applied Water</w:t>
            </w:r>
          </w:p>
        </w:tc>
        <w:tc>
          <w:tcPr>
            <w:tcW w:w="220" w:type="dxa"/>
            <w:vAlign w:val="bottom"/>
          </w:tcPr>
          <w:p>
            <w:pPr>
              <w:spacing w:after="0"/>
              <w:rPr>
                <w:sz w:val="14"/>
                <w:szCs w:val="14"/>
                <w:color w:val="auto"/>
              </w:rPr>
            </w:pPr>
          </w:p>
        </w:tc>
        <w:tc>
          <w:tcPr>
            <w:tcW w:w="1880" w:type="dxa"/>
            <w:vAlign w:val="bottom"/>
            <w:gridSpan w:val="2"/>
          </w:tcPr>
          <w:p>
            <w:pPr>
              <w:ind w:left="100"/>
              <w:spacing w:after="0" w:line="163" w:lineRule="exact"/>
              <w:rPr>
                <w:sz w:val="20"/>
                <w:szCs w:val="20"/>
                <w:color w:val="auto"/>
              </w:rPr>
            </w:pPr>
            <w:r>
              <w:rPr>
                <w:rFonts w:ascii="Arial" w:cs="Arial" w:eastAsia="Arial" w:hAnsi="Arial"/>
                <w:sz w:val="16"/>
                <w:szCs w:val="16"/>
                <w:b w:val="1"/>
                <w:bCs w:val="1"/>
                <w:color w:val="auto"/>
              </w:rPr>
              <w:t>Measurement and</w:t>
            </w:r>
          </w:p>
        </w:tc>
        <w:tc>
          <w:tcPr>
            <w:tcW w:w="160" w:type="dxa"/>
            <w:vAlign w:val="bottom"/>
          </w:tcPr>
          <w:p>
            <w:pPr>
              <w:spacing w:after="0"/>
              <w:rPr>
                <w:sz w:val="14"/>
                <w:szCs w:val="14"/>
                <w:color w:val="auto"/>
              </w:rPr>
            </w:pPr>
          </w:p>
        </w:tc>
        <w:tc>
          <w:tcPr>
            <w:tcW w:w="184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auto"/>
              </w:rPr>
              <w:t>Water Solutions and</w:t>
            </w: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Control Solutions</w:t>
            </w:r>
          </w:p>
        </w:tc>
        <w:tc>
          <w:tcPr>
            <w:tcW w:w="160" w:type="dxa"/>
            <w:vAlign w:val="bottom"/>
          </w:tcPr>
          <w:p>
            <w:pPr>
              <w:spacing w:after="0"/>
              <w:rPr>
                <w:sz w:val="18"/>
                <w:szCs w:val="18"/>
                <w:color w:val="auto"/>
              </w:rPr>
            </w:pPr>
          </w:p>
        </w:tc>
        <w:tc>
          <w:tcPr>
            <w:tcW w:w="1840" w:type="dxa"/>
            <w:vAlign w:val="bottom"/>
          </w:tcPr>
          <w:p>
            <w:pPr>
              <w:jc w:val="right"/>
              <w:ind w:right="579"/>
              <w:spacing w:after="0"/>
              <w:rPr>
                <w:sz w:val="20"/>
                <w:szCs w:val="20"/>
                <w:color w:val="auto"/>
              </w:rPr>
            </w:pPr>
            <w:r>
              <w:rPr>
                <w:rFonts w:ascii="Arial" w:cs="Arial" w:eastAsia="Arial" w:hAnsi="Arial"/>
                <w:sz w:val="16"/>
                <w:szCs w:val="16"/>
                <w:b w:val="1"/>
                <w:bCs w:val="1"/>
                <w:color w:val="auto"/>
              </w:rPr>
              <w:t>Services</w:t>
            </w:r>
          </w:p>
        </w:tc>
        <w:tc>
          <w:tcPr>
            <w:tcW w:w="0" w:type="dxa"/>
            <w:vAlign w:val="bottom"/>
          </w:tcPr>
          <w:p>
            <w:pPr>
              <w:spacing w:after="0"/>
              <w:rPr>
                <w:sz w:val="1"/>
                <w:szCs w:val="1"/>
                <w:color w:val="auto"/>
              </w:rPr>
            </w:pPr>
          </w:p>
        </w:tc>
      </w:tr>
      <w:tr>
        <w:trPr>
          <w:trHeight w:val="234"/>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vMerge w:val="restart"/>
          </w:tcPr>
          <w:p>
            <w:pPr>
              <w:ind w:left="20"/>
              <w:spacing w:after="0"/>
              <w:rPr>
                <w:sz w:val="20"/>
                <w:szCs w:val="20"/>
                <w:color w:val="auto"/>
              </w:rPr>
            </w:pPr>
            <w:r>
              <w:rPr>
                <w:rFonts w:ascii="Arial" w:cs="Arial" w:eastAsia="Arial" w:hAnsi="Arial"/>
                <w:sz w:val="16"/>
                <w:szCs w:val="16"/>
                <w:color w:val="auto"/>
              </w:rPr>
              <w:t>Operating margin</w:t>
            </w:r>
          </w:p>
        </w:tc>
        <w:tc>
          <w:tcPr>
            <w:tcW w:w="1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60" w:type="dxa"/>
            <w:vAlign w:val="bottom"/>
            <w:tcBorders>
              <w:top w:val="single" w:sz="8" w:color="CCEEFF"/>
            </w:tcBorders>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340 bps</w:t>
            </w: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220 bps</w:t>
            </w: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(380) bps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180 bps</w:t>
            </w: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Loss attributable to non-</w:t>
            </w:r>
          </w:p>
        </w:tc>
        <w:tc>
          <w:tcPr>
            <w:tcW w:w="160" w:type="dxa"/>
            <w:vAlign w:val="bottom"/>
            <w:shd w:val="clear" w:color="auto" w:fill="CCEEFF"/>
          </w:tcPr>
          <w:p>
            <w:pPr>
              <w:spacing w:after="0"/>
              <w:rPr>
                <w:sz w:val="14"/>
                <w:szCs w:val="14"/>
                <w:color w:val="auto"/>
              </w:rPr>
            </w:pPr>
          </w:p>
        </w:tc>
        <w:tc>
          <w:tcPr>
            <w:tcW w:w="1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controlling interest</w:t>
            </w:r>
          </w:p>
        </w:tc>
        <w:tc>
          <w:tcPr>
            <w:tcW w:w="160" w:type="dxa"/>
            <w:vAlign w:val="bottom"/>
            <w:shd w:val="clear" w:color="auto" w:fill="CCEEFF"/>
          </w:tcPr>
          <w:p>
            <w:pPr>
              <w:spacing w:after="0"/>
              <w:rPr>
                <w:sz w:val="18"/>
                <w:szCs w:val="18"/>
                <w:color w:val="auto"/>
              </w:rPr>
            </w:pPr>
          </w:p>
        </w:tc>
        <w:tc>
          <w:tcPr>
            <w:tcW w:w="19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Loss on sale of businesses</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3"/>
        </w:trPr>
        <w:tc>
          <w:tcPr>
            <w:tcW w:w="26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Other non-operating income</w:t>
            </w:r>
          </w:p>
        </w:tc>
        <w:tc>
          <w:tcPr>
            <w:tcW w:w="16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 excluding interest</w:t>
            </w:r>
          </w:p>
        </w:tc>
        <w:tc>
          <w:tcPr>
            <w:tcW w:w="1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Restructuring &amp; realignment</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line="162" w:lineRule="exact"/>
              <w:rPr>
                <w:sz w:val="20"/>
                <w:szCs w:val="20"/>
                <w:color w:val="auto"/>
              </w:rPr>
            </w:pPr>
            <w:r>
              <w:rPr>
                <w:rFonts w:ascii="Arial" w:cs="Arial" w:eastAsia="Arial" w:hAnsi="Arial"/>
                <w:sz w:val="16"/>
                <w:szCs w:val="16"/>
                <w:color w:val="auto"/>
              </w:rPr>
              <w:t>Loss attributable to non-</w:t>
            </w:r>
          </w:p>
        </w:tc>
        <w:tc>
          <w:tcPr>
            <w:tcW w:w="160" w:type="dxa"/>
            <w:vAlign w:val="bottom"/>
          </w:tcPr>
          <w:p>
            <w:pPr>
              <w:spacing w:after="0"/>
              <w:rPr>
                <w:sz w:val="14"/>
                <w:szCs w:val="14"/>
                <w:color w:val="auto"/>
              </w:rPr>
            </w:pPr>
          </w:p>
        </w:tc>
        <w:tc>
          <w:tcPr>
            <w:tcW w:w="19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8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controlling interest</w:t>
            </w:r>
          </w:p>
        </w:tc>
        <w:tc>
          <w:tcPr>
            <w:tcW w:w="16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sale of businesses</w:t>
            </w: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 bps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370 bps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 bps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 bps</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for our Water Infrastructure segment was $103 million (operating margin of 15.8%) during the second quarter of 2025, an increase of $25 million, or 32.1%, when compared to operating income of $78 million (operating margin of 12.4%) during the prior year, or a total increase in operating margin of 340 basis points. Operating margin expansion was slightly offset by net unfavorable impacts of 10 basis points from increased restructuring and realignment costs and decreased acquired intangible asset amortization and special charges as compared to the prior year. Additionally, operating margin expansion included 790 basis points driven by favorable operating impacts driven by 350 basis points of productivity savings and 220 basis points of price realization. Margin expansion was partially offset by 440 basis points of unfavorable operational impacts, driven by 240 basis points of inflation, 90 basis points of inventory management costs, and 80 basis points of unfavorable foreign currency impacts. Excluding amortization of acquired intangibles, restructuring and realignment costs and special charges, adjusted operating income was $127 million (adjusted operating margin of 19.5%) for the second quarter of 2025 as compared to adjusted operating income of $101 million (adjusted operating margin of 16.0%) for the second quarter of 2024.</w:t>
      </w:r>
    </w:p>
    <w:p>
      <w:pPr>
        <w:spacing w:after="0" w:line="7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Adjusted EBITDA was $142 million (adjusted EBITDA margin of 21.8%) for the second quarter of 2025, an increase of $17 million, or 14%, when compared to adjusted EBITDA of $125 million (adjusted EBITDA margin of 19.8%) during the prior year. The increase in adjusted EBITDA margin was primarily driven by the same factors impacting the increase in adjusted operating margin; however, adjusted EBITDA margin did not benefit from the decreases in depreciation and software amortization expense and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Operating income for our Water Infrastructure segment was $183 million (operating margin of 14.9%) during the six months ended June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2025, an increase of $45 million, or 32.6%, when compared to operating income of $138 million (operating margin of 11.5%) during the prior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 or a total increase in operating margin of 340 basis points. Operating margin expansion included net favorable impacts of 10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points from decreases in acquired intangible amortization and special charges as increases, largely offset by increases in restructuring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realignment costs as compared to the prior year. Additionally, operating margin expansion included 740 basis points of favorable operational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impacts, driven by 420 basis points of productivity savings and 190 basis points of price realization. Margin expansion was partially offset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410 basis points of unfavorable operating impacts driven by 270 basis points of inflation and 50 basis points of unfavorable mix. Excluding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acquired intangibles, restructuring and realignment cost and special charges, adjusted operating income was $234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(adjusted operating margin of 19.0%) for the six months ended June 30, 2025 as compared to adjusted operating income of $189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(adjusted operating margin of 15.7%) for the six months ended June 30, 2024.</w:t>
      </w:r>
    </w:p>
    <w:p>
      <w:pPr>
        <w:spacing w:after="0" w:line="9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Adjusted EBITDA was $262 million (adjusted EBITDA margin of 21.3%) for the six months ended June 30, 2025, an increase of $35 million, or 15.4%, when compared to adjusted EBITDA of $227 million (adjusted EBITDA margin of 18.8%) during the prior year. Adjusted EBITDA margin was impacted by the same offsetting factors impacting the adjusted operating margin; however, adjusted EBITDA margin did not benefit from the relative impact of decreased depreciation and software amortization and share-based compensation.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income for our Applied Water segment was $84 million (operating margin of 17.4%) during the second quarter of 2025, an increase of $13 million, or 18.3%, when compared to operating income of $71 million (operating margin of 15.6%) during the prior year, or a total increase in operating margin of 180 basis points. Operating margin expansion was negatively impacted by 170 basis points from increases in restructuring and realignment costs as compared to the prior year. Operating margin expansion included 830 basis points of favorable operational impacts, driven by 600 basis points of productivity savings and 140 basis points of price realization. Operating margin expansion was offset by 480 basis points of unfavorable operational impacts driven primarily by 280 basis points of inflation, 40 basis points of increased spending on strategic investments, and 30 basis points of inventory management costs. Excluding restructuring and realignment costs, adjusted operating income was $94 million (adjusted operating margin of 19.5%) for the second quarter of 2025 as compared to adjusted operating income of $73 million (adjusted operating margin of 16.0%) for the second quarter of 2024.</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Adjusted EBITDA was $105 million (adjusted EBITDA margin of 21.7%) for the second quarter of 2025, an increase of $25 million, or 31%, when compared to adjusted EBITDA of $80 million (adjusted EBITDA margin of 17.5%) during the prior year. The increase in adjusted EBITDA margin was primarily due to the same factors impacting the increase in adjusted operating margin; however, adjusted EBITDA margin was not negatively impacted by the relative impact of depreciation and software amortization expense and was favorably impacted by increased other non-operating income versus prior year.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for our Applied Water segment was $156 million (operating margin of 17.0%) during the six months ended June 30, 2025,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 increase of $24 million, or 18.2%, when compared to operating income of $132 million (operating margin of 14.8%) during the prior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a total increase in operating margin of 220 basis points. Operating margin expansion was negatively impacted by 120 basis points from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in restructuring and realignment costs as compared to the prior year. Operating margin expansion included 830 basis points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favorable operational impacts driven by 590 basis points of productivity savings and 130 basis points of price realization. Margin expansion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 partially offset by 490 basis points of unfavorable operational impacts driven by 310 basis points of inflation and 50 basis points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increased spending on strategic investments. Excluding restructuring and realignment costs, adjusted operating income was $171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(adjusted operating margin of 18.6%) for the six months ended June 30, 2025 as compared to adjusted operating income of $136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(adjusted operating margin of 15.2%) for the six months ended June 30, 2024.</w:t>
      </w:r>
    </w:p>
    <w:p>
      <w:pPr>
        <w:spacing w:after="0" w:line="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Adjusted EBITDA was $190 million (adjusted EBITDA margin of 20.7%) for the six months ended June 30, 2025, an increase of $38 million, or 25%, when compared to adjusted EBITDA of $ 152 million (adjusted EBITDA margin of 17.0%) during the prior year. The increase in adjusted EBITDA margin was primarily due to the same factors impacting the decrease in adjusted operating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Operating income for our Measurement and Control Solutions segment was $68 million (operating margin of 12.6%) during the second quarter of 2025, a decrease of $11 million, or 13.9%, when compared to operating income of $79 million (operating margin of 16.4%) during the prior year, or a total decrease in operating margin of 380 basis points. The operating margin decline included unfavorable impacts of 200 basis points from an increase in acquired intangible asset amortization, special charges, and restructuring and realignment costs as compared to the prior year. Additionally, operating margin declines included 810 basis points of unfavorable operational impacts, primarily consisting of 260 basis points of inflation, 190 basis points of unfavorable mix, 80 basis points of negative operating impact from acquisitions, 60 basis points of increased spending on strategic investments and 60 basis points of inventory management costs. The decline in margin was partially offset by positive operational impacts of 630 basis points consisting of 390 basis points of productivity savings, 130 basis points of increased volume, and 110 basis points of price realization. Excluding acquired intangible asset amortization, restructuring and realignment costs and special charges, adjusted operating income was $ 98 million (adjusted operating margin of 18.1%) for the second quarter of 2025 as compared to adjusted operating income of $96 million (adjusted operating margin of 19.9%) for the second quarter of 2024.</w:t>
      </w:r>
    </w:p>
    <w:p>
      <w:pPr>
        <w:spacing w:after="0" w:line="8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Adjusted EBITDA was $125 million (adjusted EBITDA margin of 23.1%) for the second quarter of 2025, a decrease of $12 million, or 11%, when compared to adjusted EBITDA of $113 million (adjusted EBITDA margin of 23.4%) during the prior year. The decrease in adjusted EBITDA margin was due to the same factors as those impacting the decrease in adjusted operating margin; however, adjusted EBITDA margin was not negatively impacted by the relative impact of increases in depreciation and software amortization expense and share-based compensation.</w:t>
      </w:r>
    </w:p>
    <w:p>
      <w:pPr>
        <w:spacing w:after="0" w:line="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Operating income for our Measurement and Control Solutions segment was $124 million (operating margin of 12.0%) during the six months ended June 30, 2025, a decrease of $25 million, or 16.8%, when compared to operating income of $149 million (operating margin of 15.8%) during the prior year, or a total decrease in operating margin of 380 basis points. Operating margin declines included unfavorable impacts of 200 basis points from increased acquired intangible amortization, special charges, and restructuring and realignment costs as compared to the prior year. Additionally, operating margin declines included 740 basis points of unfavorable operational impacts including 240 basis points of unfavorable mix, 210 basis points of inflation, 80 basis points of negative operating impact from acquisitions, and 50 basis points of increased spending on strategic investments. Margin declines were partially offset by favorable operational impacts of 560 basis points consisting of 360 basis points of productivity savings, 110 basis points of price realization, and 90 basis points of increased volume. Excluding acquired intangible asset amortization, restructuring and realignment costs and special charges, adjusted operating income was $180 million (adjusted operating margin of 17.5%) for the six months ended June 30, 2025 as compared to adjusted operating income of $182 million (adjusted operating margin of 19.3%) for the six months ended June 30, 2024.</w:t>
      </w:r>
    </w:p>
    <w:p>
      <w:pPr>
        <w:spacing w:after="0" w:line="7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Adjusted EBITDA was $228 million (adjusted EBITDA margin of 22.1%) for the six months ended June 30, 2025, an increase of $10 million, or 5%, when compared to adjusted EBITDA of $218 million (adjusted EBITDA margin of 23.1%) during the prior year. The decrease in adjusted EBITDA margin was due to the same factors as those impacting the decrease in adjusted operating margin; however, adjusted EBITDA margin was not negatively impacted by the relative impact of increases in depreciation and software amortization expense and share-based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Solutions and Services</w:t>
      </w:r>
    </w:p>
    <w:p>
      <w:pPr>
        <w:spacing w:after="0" w:line="1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Operating income for our Water Solutions and Services segment was $78 million (operating margin of 12.4%) during the second quarter of 2025, an increase of $31 million, or 66.0%, when compared to operating income of $47 million (operating margin of 7.8%) during the prior year, or a total increase in operating margin of 460 basis points. The operating margin expansion included favorable impacts of 420 basis points from decreased restructuring and realignment costs, special charges, and acquired intangible asset amortization as compared to the prior year. Additionally, operating margin expansion included 350 basis points of favorable operational impacts, including 220 basis points of price realization and 70 basis points of productivity savings. Margin expansion was partially offset by unfavorable operational impacts of 310 basis points driven by driven by 190 basis points of inflation and 50 basis points of unfavorable mix. Excluding acquired intangible asset amortization, restructuring and realignment costs, and special charges, adjusted operating income was $106 million (adjusted operating margin of 16.9%) for the second quarter of 2025 as compared to adjusted operating income of $99 million (adjusted operating margin of 16.5%) for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3" w:right="359" w:bottom="1440" w:gutter="0" w:footer="0" w:header="0"/>
        </w:sectPr>
      </w:pPr>
    </w:p>
    <w:bookmarkStart w:id="58" w:name="page59"/>
    <w:bookmarkEnd w:id="58"/>
    <w:p>
      <w:pPr>
        <w:ind w:right="320"/>
        <w:spacing w:after="0" w:line="268" w:lineRule="auto"/>
        <w:rPr>
          <w:sz w:val="20"/>
          <w:szCs w:val="20"/>
          <w:color w:val="auto"/>
        </w:rPr>
      </w:pPr>
      <w:r>
        <w:rPr>
          <w:rFonts w:ascii="Arial" w:cs="Arial" w:eastAsia="Arial" w:hAnsi="Arial"/>
          <w:sz w:val="18"/>
          <w:szCs w:val="18"/>
          <w:color w:val="auto"/>
        </w:rPr>
        <w:t>Adjusted EBITDA was $153 million (adjusted EBITDA margin of 24.4%) for the second quarter of 2025, an increase of $10 million, or 7%, when compared to adjusted EBITDA of $143 million (adjusted EBITDA margin of 23.8%) during the prior year. The increase in adjusted EBITDA margin was primarily due to the same factors as those impacting the increase in adjusted operating margin.</w:t>
      </w:r>
    </w:p>
    <w:p>
      <w:pPr>
        <w:spacing w:after="0" w:line="6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Operating income for our Water Solutions and Services segment was $122 million (operating margin of 10.2%) during the six months ended June 30, 2025, an increase of $25 million, or 25.8%, when compared to operating income of $97 million (operating margin of 8.4%) during the prior year, or a total increase in operating margin of 180 basis points. Operating margin expansion included net favorable impacts of 210 basis points due to decreases in restructuring and realignment costs and special charges, partially offset by increases in acquired intangible asset amortization as compared to the prior year. Additionally, operating margin expansion included 380 basis points of favorable operational impacts, driven by 190 basis points of price realization and 140 basis points of productivity savings. Margin expansion was offset by negative operational impacts of 410 basis points driven by 160 basis points of inflation, 70 basis points of unfavorable mix, 40 basis points of inventory management costs, and 30 basis points of increased spending on strategic investments. Excluding acquired intangible asset amortization, special charges, and restructuring and realignment costs, adjusted operating income was $184 million (adjusted operating margin of 15.4%) for the six months ended June 30, 2025 as compared to adjusted operating income of $182 million (adjusted operating margin of 15.7%) for the six months ended June 30, 2024.</w:t>
      </w:r>
    </w:p>
    <w:p>
      <w:pPr>
        <w:spacing w:after="0" w:line="74"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Adjusted EBITDA was $275 million (adjusted EBITDA margin of 23.1%) for the six months ended June 30, 2025, an increase of $7 million, or 3%, when compared to adjusted EBITDA of $268 million (adjusted EBITDA margin of 23.1%) during the prior year. Adjusted EBITDA margin remained flat due to the same factors as those impacting the decrease in adjusted operating margin; however, adjusted EBITDA margin was not negatively impacted by the relative impact of increased depreciation and software amortization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Operating loss for corporate and other increased $6 million, or 27%, during the second quarter of 2025 compared to the prior year period. The increase in operating loss was primarily due to increased spending on strategic investments and inflation. Excluding special charges and restructuring and realignment costs, adjusted operating loss for corporate and other increased $6 million, or 35.3%, for the three months ended June 30, 2025, driven by the same factors as those driving the increase in operating loss.</w:t>
      </w:r>
    </w:p>
    <w:p>
      <w:pPr>
        <w:spacing w:after="0" w:line="6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Operating loss for corporate and other decreased $5 million, or 9%, during six months ended June 30, 2025 compared to the prior year period. The decrease in operating loss was primarily due to decreased special charges. Excluding special charges and restructuring and realignment costs, adjusted operating loss for corporate and other decreased $1 million, or 2.3%, for the six months ended June 30, 2025.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Interest expense was $9 million for the three months ended June 30, 2025, compared to $ 11 million for the comparable prior year period. The decrease in interest expense was primarily driven by increased interest income generated on cross currency swaps offsetting interest expense.</w:t>
      </w:r>
    </w:p>
    <w:p>
      <w:pPr>
        <w:spacing w:after="0" w:line="63"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Interest expense was $17 million for the six months ended June 30, 2025, compared to $25 million for the six months ended June 30, 2024. The decrease in interest expense was primarily driven by lower debt due to the repayment of the term loan entered into in May 2023 for use in funding the acquisition of Evoqua, which was repaid on April 19, 2024, as well as increased interest income generated on cross currency swaps offsetting interest expense.</w:t>
      </w:r>
    </w:p>
    <w:p>
      <w:pPr>
        <w:spacing w:after="0" w:line="68"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See Note 10, “Derivative Financial Instruments” and Note 12, "Credit Facilities and Debt," of our condensed consolidated financial statements for a description of our net investment hedges and credit facilities and long-term debt,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income tax provision for the three months ended June 30, 2025 was $75 million resulting in an effective tax rate of 25.0%, compared to $53 million of expense resulting in an effective tax rate of 21.4% for the same period in 2024. The income tax provision for the six months ended June 30, 2025 was $125 million resulting in an effective tax rate of 24.2%, compared to $96 million of expense resulting in an effective tax rate of 21.6% for the same period in 2024. The effective tax rate for the three and six month period ended June 30, 2025 was higher than the effective tax rate for the same period in 2024, primarily due to the mix of earnings and the impact of discrete tax benefits recognized in the prior period.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6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Change</w:t>
            </w:r>
          </w:p>
        </w:tc>
      </w:tr>
      <w:tr>
        <w:trPr>
          <w:trHeight w:val="224"/>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Foreign exchange (a)</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cash classified within assets held for sale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1"/>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impact is primarily due to strengthening of the Euro, Canadian Dollar and the Chinese Yuan against the U.S. Dollar.</w:t>
      </w:r>
    </w:p>
    <w:p>
      <w:pPr>
        <w:spacing w:after="0" w:line="110" w:lineRule="exact"/>
        <w:rPr>
          <w:rFonts w:ascii="Arial" w:cs="Arial" w:eastAsia="Arial" w:hAnsi="Arial"/>
          <w:sz w:val="16"/>
          <w:szCs w:val="16"/>
          <w:color w:val="auto"/>
        </w:rPr>
      </w:pPr>
    </w:p>
    <w:p>
      <w:pPr>
        <w:ind w:right="8660"/>
        <w:spacing w:after="0" w:line="374" w:lineRule="auto"/>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Sources and Uses of Liquidity </w:t>
      </w:r>
      <w:r>
        <w:rPr>
          <w:rFonts w:ascii="Arial" w:cs="Arial" w:eastAsia="Arial" w:hAnsi="Arial"/>
          <w:sz w:val="18"/>
          <w:szCs w:val="18"/>
          <w:i w:val="1"/>
          <w:iCs w:val="1"/>
          <w:color w:val="auto"/>
        </w:rPr>
        <w:t>Operating Activities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Cash generated by operating activities was $338 million for the six months ended June 30, 2025 as compared to cash generated by operating activities of $377 million in the comparable prior year period. The decrease in cash provided was primarily driven by the recognition of receivables on long term contracts, increased payments for infrastructure costs and higher tax payments. Increased cash earnings and lower working capital, reflecting inventory management initiatives, partially offset these items.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Cash used in investing activities was $140 million for the six months ended June 30, 2025 as compared to $ 128 million used in the comparable prior year period. The increase in cash used primarily reflects cash paid for an asset acquisition and higher capital expenditures as compared to the prior year. Increased proceeds from the sale of businesses, including the sale of the former Evoqua Magneto business, and cash received from cross currency swaps partially offset these items.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Cash used in financing activities was $244 million for the six months ended June 30, 2025 as compared to cash used of $ 419 million in the comparable prior year period. The decrease in cash used reflects the repayment of a term loan in 2024, partially offset by lower proceeds from employee stock option exercises, higher dividend payments and increased repayments of equipment financing 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Liquidity Strategy</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We continually evaluate aspects of our spending, including capital expenditures, strategic investments and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0" w:name="page61"/>
    <w:bookmarkEnd w:id="60"/>
    <w:p>
      <w:pPr>
        <w:spacing w:after="0" w:line="256" w:lineRule="auto"/>
        <w:rPr>
          <w:sz w:val="20"/>
          <w:szCs w:val="20"/>
          <w:color w:val="auto"/>
        </w:rPr>
      </w:pPr>
      <w:r>
        <w:rPr>
          <w:rFonts w:ascii="Arial" w:cs="Arial" w:eastAsia="Arial" w:hAnsi="Arial"/>
          <w:sz w:val="18"/>
          <w:szCs w:val="18"/>
          <w:color w:val="auto"/>
        </w:rPr>
        <w:t>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12, "Credit Facilities and Debt", of our condensed consolidated financial statements for a description of limitations on obtaining additional funding.</w:t>
      </w:r>
    </w:p>
    <w:p>
      <w:pPr>
        <w:spacing w:after="0" w:line="75"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We monitor our global funding requirements and seek to meet our liquidity needs on a cost-effective basis. In addition, our existing committed credit facilities and access to the public debt markets would provide further liquidity if required.</w:t>
      </w:r>
    </w:p>
    <w:p>
      <w:pPr>
        <w:spacing w:after="0" w:line="4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Based on our current global cash positions, cash flows from operations and access to the capital markets, we believe there is sufficient liquidity to meet our funding requirements and service debt and other obligations in both the U.S. and outside of the U.S. during the year. Currently, we have available liquidity of approximately $2.2 billion, consisting of $1.2 billion of cash and $1 billion of available credit facilities as disclosed in Note 12, "Credit Facilities and Debt", of our condensed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&amp; Long-Term Contractual Commitments</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See Note 12, "Credit Facilities and Debt," of our condensed consolidated financial statements for a description of our credit facilities and long-term debt.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we continue to grow our operations outside of the U.S., we expect to continue to generate significant revenue from non-U.S. operations and expect that a substantial portion of our cash will be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expected future cash generation and investment opportunities, and reassess whether there is a need to repatriate funds held internationally to support our U.S.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Management’s Discussion and Analysis of Financial Condition and Results of Operations in the 2024 Annual Report describes the critical accounting estimates used in preparation of the condensed consolidated financial statements. Actual results in these areas could differ from management’s estimates. There have been no significant changes in the information concerning our critical accounting estimates as stated in our 2024 Annual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Outlook</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are raising our total revenue growth outlook to 4% to 5%, and organic revenue growth to approximately 4% in 2025. Our outlook is being provided in the context of the current volatility, including due to geopolitical, trade, macroeconomic and regulatory uncertainty. Our ability to meet our expectations is subject to a number of risks, including, but not limited to, those described in "Item 1A. Risk Factors" in our 2024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1" w:name="page62"/>
    <w:bookmarkEnd w:id="61"/>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concerning market risk as stated in our 2024 Annual Report.</w:t>
      </w:r>
    </w:p>
    <w:p>
      <w:pPr>
        <w:spacing w:after="0" w:line="200" w:lineRule="exact"/>
        <w:rPr>
          <w:sz w:val="20"/>
          <w:szCs w:val="20"/>
          <w:color w:val="auto"/>
        </w:rPr>
      </w:pPr>
    </w:p>
    <w:p>
      <w:pPr>
        <w:spacing w:after="0" w:line="34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management, with the participation of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17"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68"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See Note 18, "Commitments and Contingencies," to the condensed consolidated financial statements for further information and any updates.</w:t>
      </w:r>
    </w:p>
    <w:p>
      <w:pPr>
        <w:spacing w:after="0" w:line="4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Risk Factors" of our 2024 Annual Report.</w:t>
      </w:r>
    </w:p>
    <w:p>
      <w:pPr>
        <w:spacing w:after="0" w:line="11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17" w:lineRule="exact"/>
        <w:rPr>
          <w:sz w:val="20"/>
          <w:szCs w:val="20"/>
          <w:color w:val="auto"/>
        </w:rPr>
      </w:pPr>
    </w:p>
    <w:p>
      <w:pPr>
        <w:ind w:right="640"/>
        <w:spacing w:after="0" w:line="279" w:lineRule="auto"/>
        <w:rPr>
          <w:sz w:val="20"/>
          <w:szCs w:val="20"/>
          <w:color w:val="auto"/>
        </w:rPr>
      </w:pPr>
      <w:r>
        <w:rPr>
          <w:rFonts w:ascii="Arial" w:cs="Arial" w:eastAsia="Arial" w:hAnsi="Arial"/>
          <w:sz w:val="18"/>
          <w:szCs w:val="18"/>
          <w:color w:val="auto"/>
        </w:rPr>
        <w:t>The following table presents information with respect to purchases of the Company's common stock by the Company during the three months ended June 30, 2025:</w:t>
      </w: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TOTAL NUMBER OF</w:t>
            </w:r>
          </w:p>
        </w:tc>
        <w:tc>
          <w:tcPr>
            <w:tcW w:w="208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4"/>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w:t>
            </w:r>
          </w:p>
        </w:tc>
        <w:tc>
          <w:tcPr>
            <w:tcW w:w="2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SHARES PURCHASED AS</w:t>
            </w:r>
          </w:p>
        </w:tc>
        <w:tc>
          <w:tcPr>
            <w:tcW w:w="2080" w:type="dxa"/>
            <w:vAlign w:val="bottom"/>
          </w:tcPr>
          <w:p>
            <w:pPr>
              <w:jc w:val="center"/>
              <w:ind w:left="21"/>
              <w:spacing w:after="0" w:line="14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39"/>
        </w:trPr>
        <w:tc>
          <w:tcPr>
            <w:tcW w:w="2760" w:type="dxa"/>
            <w:vAlign w:val="bottom"/>
            <w:vMerge w:val="continue"/>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 PAID PER</w:t>
            </w:r>
          </w:p>
        </w:tc>
        <w:tc>
          <w:tcPr>
            <w:tcW w:w="2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PART OF PUBLICLY</w:t>
            </w:r>
          </w:p>
        </w:tc>
        <w:tc>
          <w:tcPr>
            <w:tcW w:w="2080" w:type="dxa"/>
            <w:vAlign w:val="bottom"/>
          </w:tcPr>
          <w:p>
            <w:pPr>
              <w:jc w:val="center"/>
              <w:ind w:left="21"/>
              <w:spacing w:after="0" w:line="13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AMOUNTS)</w:t>
            </w:r>
          </w:p>
        </w:tc>
        <w:tc>
          <w:tcPr>
            <w:tcW w:w="206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ANNOUNCED PLANS OR</w:t>
            </w:r>
          </w:p>
        </w:tc>
        <w:tc>
          <w:tcPr>
            <w:tcW w:w="2080" w:type="dxa"/>
            <w:vAlign w:val="bottom"/>
          </w:tcPr>
          <w:p>
            <w:pPr>
              <w:jc w:val="center"/>
              <w:ind w:left="21"/>
              <w:spacing w:after="0" w:line="145"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 (a)</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 (b)</w:t>
            </w:r>
          </w:p>
        </w:tc>
        <w:tc>
          <w:tcPr>
            <w:tcW w:w="20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PROGRAMS (b)</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4/1/25 - 4/30/25</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5/1/25 - 5/31/25</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6/1/25 - 6/30/25</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400"/>
        <w:spacing w:after="0" w:line="286" w:lineRule="auto"/>
        <w:rPr>
          <w:sz w:val="20"/>
          <w:szCs w:val="20"/>
          <w:color w:val="auto"/>
        </w:rPr>
      </w:pPr>
      <w:r>
        <w:rPr>
          <w:rFonts w:ascii="Arial" w:cs="Arial" w:eastAsia="Arial" w:hAnsi="Arial"/>
          <w:sz w:val="16"/>
          <w:szCs w:val="16"/>
          <w:color w:val="auto"/>
        </w:rPr>
        <w:t>This table does not include shares tendered to satisfy the exercise price in connection with cashless exercises of employee stock options or shares tendered to satisfy tax withholding obligations in connection with employee equity awards.</w:t>
      </w:r>
    </w:p>
    <w:p>
      <w:pPr>
        <w:spacing w:after="0" w:line="48"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26" w:lineRule="exact"/>
        <w:rPr>
          <w:rFonts w:ascii="Arial" w:cs="Arial" w:eastAsia="Arial" w:hAnsi="Arial"/>
          <w:sz w:val="16"/>
          <w:szCs w:val="16"/>
          <w:color w:val="auto"/>
        </w:rPr>
      </w:pPr>
    </w:p>
    <w:p>
      <w:pPr>
        <w:ind w:left="340" w:right="40" w:hanging="332"/>
        <w:spacing w:after="0" w:line="271" w:lineRule="auto"/>
        <w:tabs>
          <w:tab w:leader="none" w:pos="3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On August 24, 2015, our Board of Directors authorized the repurchase of up to $500 million in shares with no expiration date. The program's objective is to deploy our capital in a manner that benefits our </w:t>
      </w:r>
      <w:r>
        <w:rPr>
          <w:rFonts w:ascii="Arial" w:cs="Arial" w:eastAsia="Arial" w:hAnsi="Arial"/>
          <w:sz w:val="17"/>
          <w:szCs w:val="17"/>
          <w:color w:val="auto"/>
        </w:rPr>
        <w:t>stockholders</w:t>
      </w:r>
      <w:r>
        <w:rPr>
          <w:rFonts w:ascii="Arial" w:cs="Arial" w:eastAsia="Arial" w:hAnsi="Arial"/>
          <w:sz w:val="16"/>
          <w:szCs w:val="16"/>
          <w:color w:val="auto"/>
        </w:rPr>
        <w:t xml:space="preserve"> and maintains our focus on growth. There were no shares repurchased under this program for the three months ended June 30, 2025. There are up to $182 million in shares that may still be purchased under this plan as of June 30, 2025.</w:t>
      </w:r>
    </w:p>
    <w:p>
      <w:pPr>
        <w:spacing w:after="0" w:line="29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 Trading Plans</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During the quarter ended June 30, 2025, no director or Section 16 officer adopted or terminated any Rule 10b5-1 trading arrangements or non-Rule 10b5-1 trading arrangements (in each case, as defined in Item 408(a) of Regulation S-K).</w:t>
      </w:r>
    </w:p>
    <w:p>
      <w:pPr>
        <w:spacing w:after="0" w:line="28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for a list of exhibits filed as part of this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0" w:type="dxa"/>
            <w:vAlign w:val="bottom"/>
          </w:tcPr>
          <w:p>
            <w:pPr>
              <w:jc w:val="center"/>
              <w:ind w:right="4356"/>
              <w:spacing w:after="0"/>
              <w:rPr>
                <w:sz w:val="20"/>
                <w:szCs w:val="20"/>
                <w:color w:val="auto"/>
              </w:rPr>
            </w:pPr>
            <w:r>
              <w:rPr>
                <w:rFonts w:ascii="Arial" w:cs="Arial" w:eastAsia="Arial" w:hAnsi="Arial"/>
                <w:sz w:val="18"/>
                <w:szCs w:val="18"/>
                <w:b w:val="1"/>
                <w:bCs w:val="1"/>
                <w:color w:val="auto"/>
              </w:rPr>
              <w:t>XYLEM INC.</w:t>
            </w:r>
          </w:p>
        </w:tc>
        <w:tc>
          <w:tcPr>
            <w:tcW w:w="0" w:type="dxa"/>
            <w:vAlign w:val="bottom"/>
          </w:tcPr>
          <w:p>
            <w:pPr>
              <w:spacing w:after="0"/>
              <w:rPr>
                <w:sz w:val="1"/>
                <w:szCs w:val="1"/>
                <w:color w:val="auto"/>
              </w:rPr>
            </w:pPr>
          </w:p>
        </w:tc>
      </w:tr>
      <w:tr>
        <w:trPr>
          <w:trHeight w:val="247"/>
        </w:trPr>
        <w:tc>
          <w:tcPr>
            <w:tcW w:w="19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6800" w:type="dxa"/>
            <w:vAlign w:val="bottom"/>
          </w:tcPr>
          <w:p>
            <w:pPr>
              <w:jc w:val="center"/>
              <w:ind w:right="4356"/>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68"/>
        </w:trPr>
        <w:tc>
          <w:tcPr>
            <w:tcW w:w="1920" w:type="dxa"/>
            <w:vAlign w:val="bottom"/>
          </w:tcPr>
          <w:p>
            <w:pPr>
              <w:jc w:val="center"/>
              <w:ind w:right="1008"/>
              <w:spacing w:after="0"/>
              <w:rPr>
                <w:sz w:val="20"/>
                <w:szCs w:val="20"/>
                <w:color w:val="auto"/>
              </w:rPr>
            </w:pPr>
            <w:r>
              <w:rPr>
                <w:rFonts w:ascii="Arial" w:cs="Arial" w:eastAsia="Arial" w:hAnsi="Arial"/>
                <w:sz w:val="14"/>
                <w:szCs w:val="14"/>
                <w:b w:val="1"/>
                <w:bCs w:val="1"/>
                <w:color w:val="auto"/>
              </w:rPr>
              <w:t>Exhibit</w:t>
            </w:r>
          </w:p>
        </w:tc>
        <w:tc>
          <w:tcPr>
            <w:tcW w:w="25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Description</w:t>
            </w:r>
          </w:p>
        </w:tc>
        <w:tc>
          <w:tcPr>
            <w:tcW w:w="6800" w:type="dxa"/>
            <w:vAlign w:val="bottom"/>
            <w:vMerge w:val="restart"/>
          </w:tcPr>
          <w:p>
            <w:pPr>
              <w:ind w:left="386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5"/>
        </w:trPr>
        <w:tc>
          <w:tcPr>
            <w:tcW w:w="1920" w:type="dxa"/>
            <w:vAlign w:val="bottom"/>
            <w:tcBorders>
              <w:bottom w:val="single" w:sz="8" w:color="auto"/>
            </w:tcBorders>
          </w:tcPr>
          <w:p>
            <w:pPr>
              <w:jc w:val="center"/>
              <w:ind w:right="988"/>
              <w:spacing w:after="0"/>
              <w:rPr>
                <w:sz w:val="20"/>
                <w:szCs w:val="20"/>
                <w:color w:val="auto"/>
              </w:rPr>
            </w:pPr>
            <w:r>
              <w:rPr>
                <w:rFonts w:ascii="Arial" w:cs="Arial" w:eastAsia="Arial" w:hAnsi="Arial"/>
                <w:sz w:val="14"/>
                <w:szCs w:val="14"/>
                <w:b w:val="1"/>
                <w:bCs w:val="1"/>
                <w:color w:val="auto"/>
              </w:rPr>
              <w:t>Number</w:t>
            </w:r>
          </w:p>
        </w:tc>
        <w:tc>
          <w:tcPr>
            <w:tcW w:w="2520" w:type="dxa"/>
            <w:vAlign w:val="bottom"/>
            <w:tcBorders>
              <w:bottom w:val="single" w:sz="8" w:color="auto"/>
            </w:tcBorders>
            <w:vMerge w:val="continue"/>
          </w:tcPr>
          <w:p>
            <w:pPr>
              <w:spacing w:after="0"/>
              <w:rPr>
                <w:sz w:val="16"/>
                <w:szCs w:val="16"/>
                <w:color w:val="auto"/>
              </w:rPr>
            </w:pPr>
          </w:p>
        </w:tc>
        <w:tc>
          <w:tcPr>
            <w:tcW w:w="6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line="51" w:lineRule="exact"/>
        <w:rPr>
          <w:sz w:val="20"/>
          <w:szCs w:val="20"/>
          <w:color w:val="auto"/>
        </w:rPr>
      </w:pPr>
    </w:p>
    <w:p>
      <w:pPr>
        <w:ind w:left="1100" w:hanging="790"/>
        <w:spacing w:after="0"/>
        <w:tabs>
          <w:tab w:leader="none" w:pos="1080" w:val="left"/>
        </w:tabs>
        <w:rPr>
          <w:rFonts w:ascii="Arial" w:cs="Arial" w:eastAsia="Arial" w:hAnsi="Arial"/>
          <w:sz w:val="18"/>
          <w:szCs w:val="18"/>
          <w:color w:val="0000FF"/>
        </w:rPr>
      </w:pPr>
      <w:hyperlink r:id="rId76">
        <w:r>
          <w:rPr>
            <w:rFonts w:ascii="Arial" w:cs="Arial" w:eastAsia="Arial" w:hAnsi="Arial"/>
            <w:sz w:val="18"/>
            <w:szCs w:val="18"/>
            <w:u w:val="single" w:color="auto"/>
            <w:color w:val="0000FF"/>
          </w:rPr>
          <w:t>3.1</w:t>
        </w:r>
      </w:hyperlink>
      <w:r>
        <w:rPr>
          <w:rFonts w:ascii="Arial" w:cs="Arial" w:eastAsia="Arial" w:hAnsi="Arial"/>
          <w:sz w:val="18"/>
          <w:szCs w:val="18"/>
          <w:color w:val="0000FF"/>
        </w:rPr>
        <w:tab/>
        <w:t>Fourth Amended and Restated Articles of Incorporation of Xylem Inc.</w:t>
      </w:r>
    </w:p>
    <w:p>
      <w:pPr>
        <w:spacing w:after="0" w:line="59" w:lineRule="exact"/>
        <w:rPr>
          <w:sz w:val="20"/>
          <w:szCs w:val="20"/>
          <w:color w:val="auto"/>
        </w:rPr>
      </w:pPr>
    </w:p>
    <w:p>
      <w:pPr>
        <w:ind w:left="300"/>
        <w:spacing w:after="0"/>
        <w:tabs>
          <w:tab w:leader="none" w:pos="1080" w:val="left"/>
        </w:tabs>
        <w:rPr>
          <w:rFonts w:ascii="Arial" w:cs="Arial" w:eastAsia="Arial" w:hAnsi="Arial"/>
          <w:sz w:val="18"/>
          <w:szCs w:val="18"/>
          <w:color w:val="0000FF"/>
        </w:rPr>
      </w:pPr>
      <w:hyperlink r:id="rId77">
        <w:r>
          <w:rPr>
            <w:rFonts w:ascii="Arial" w:cs="Arial" w:eastAsia="Arial" w:hAnsi="Arial"/>
            <w:sz w:val="18"/>
            <w:szCs w:val="18"/>
            <w:u w:val="single" w:color="auto"/>
            <w:color w:val="0000FF"/>
          </w:rPr>
          <w:t>3.2</w:t>
        </w:r>
      </w:hyperlink>
      <w:r>
        <w:rPr>
          <w:rFonts w:ascii="Arial" w:cs="Arial" w:eastAsia="Arial" w:hAnsi="Arial"/>
          <w:sz w:val="18"/>
          <w:szCs w:val="18"/>
          <w:color w:val="0000FF"/>
        </w:rPr>
        <w:tab/>
      </w:r>
      <w:r>
        <w:rPr>
          <w:rFonts w:ascii="Arial" w:cs="Arial" w:eastAsia="Arial" w:hAnsi="Arial"/>
          <w:sz w:val="17"/>
          <w:szCs w:val="17"/>
          <w:color w:val="0000FF"/>
        </w:rPr>
        <w:t>Fifth Amended and Restated By-laws of Xylem Inc.</w:t>
      </w:r>
    </w:p>
    <w:p>
      <w:pPr>
        <w:spacing w:after="0" w:line="200" w:lineRule="exact"/>
        <w:rPr>
          <w:sz w:val="20"/>
          <w:szCs w:val="20"/>
          <w:color w:val="auto"/>
        </w:rPr>
      </w:pPr>
    </w:p>
    <w:p>
      <w:pPr>
        <w:spacing w:after="0" w:line="241" w:lineRule="exact"/>
        <w:rPr>
          <w:sz w:val="20"/>
          <w:szCs w:val="20"/>
          <w:color w:val="auto"/>
        </w:rPr>
      </w:pPr>
    </w:p>
    <w:p>
      <w:pPr>
        <w:jc w:val="right"/>
        <w:ind w:left="260" w:right="60"/>
        <w:spacing w:after="0" w:line="221" w:lineRule="auto"/>
        <w:rPr>
          <w:sz w:val="20"/>
          <w:szCs w:val="20"/>
          <w:color w:val="auto"/>
        </w:rPr>
      </w:pPr>
      <w:r>
        <w:rPr>
          <w:rFonts w:ascii="Arial" w:cs="Arial" w:eastAsia="Arial" w:hAnsi="Arial"/>
          <w:sz w:val="18"/>
          <w:szCs w:val="18"/>
          <w:u w:val="single" w:color="auto"/>
          <w:color w:val="0000FF"/>
        </w:rPr>
        <w:t>31.1</w:t>
      </w:r>
      <w:r>
        <w:rPr>
          <w:rFonts w:ascii="Arial" w:cs="Arial" w:eastAsia="Arial" w:hAnsi="Arial"/>
          <w:sz w:val="18"/>
          <w:szCs w:val="18"/>
          <w:color w:val="0000FF"/>
        </w:rPr>
        <w:t xml:space="preserve">     </w:t>
      </w:r>
      <w:r>
        <w:rPr>
          <w:rFonts w:ascii="Arial" w:cs="Arial" w:eastAsia="Arial" w:hAnsi="Arial"/>
          <w:sz w:val="18"/>
          <w:szCs w:val="18"/>
          <w:color w:val="000000"/>
        </w:rPr>
        <w:t>Certification pursuant to Rule 13a -14(a)/15d-14(a) of the</w:t>
      </w:r>
      <w:r>
        <w:rPr>
          <w:rFonts w:ascii="Arial" w:cs="Arial" w:eastAsia="Arial" w:hAnsi="Arial"/>
          <w:sz w:val="18"/>
          <w:szCs w:val="18"/>
          <w:color w:val="0000FF"/>
        </w:rPr>
        <w:t xml:space="preserve"> </w:t>
      </w:r>
      <w:r>
        <w:rPr>
          <w:rFonts w:ascii="Arial" w:cs="Arial" w:eastAsia="Arial" w:hAnsi="Arial"/>
          <w:sz w:val="18"/>
          <w:szCs w:val="18"/>
          <w:color w:val="000000"/>
        </w:rPr>
        <w:t>Securities Exchange Act of 1934, as adopted pursuant to</w:t>
      </w:r>
    </w:p>
    <w:p>
      <w:pPr>
        <w:spacing w:after="0" w:line="1"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Section 302 of the Sarbanes-Oxley Act of 2002</w:t>
      </w:r>
    </w:p>
    <w:p>
      <w:pPr>
        <w:spacing w:after="0" w:line="59" w:lineRule="exact"/>
        <w:rPr>
          <w:sz w:val="20"/>
          <w:szCs w:val="20"/>
          <w:color w:val="auto"/>
        </w:rPr>
      </w:pPr>
    </w:p>
    <w:p>
      <w:pPr>
        <w:jc w:val="right"/>
        <w:ind w:left="260" w:right="60"/>
        <w:spacing w:after="0" w:line="221" w:lineRule="auto"/>
        <w:rPr>
          <w:sz w:val="20"/>
          <w:szCs w:val="20"/>
          <w:color w:val="auto"/>
        </w:rPr>
      </w:pPr>
      <w:r>
        <w:rPr>
          <w:rFonts w:ascii="Arial" w:cs="Arial" w:eastAsia="Arial" w:hAnsi="Arial"/>
          <w:sz w:val="18"/>
          <w:szCs w:val="18"/>
          <w:u w:val="single" w:color="auto"/>
          <w:color w:val="0000FF"/>
        </w:rPr>
        <w:t>31.2</w:t>
      </w:r>
      <w:r>
        <w:rPr>
          <w:rFonts w:ascii="Arial" w:cs="Arial" w:eastAsia="Arial" w:hAnsi="Arial"/>
          <w:sz w:val="18"/>
          <w:szCs w:val="18"/>
          <w:color w:val="0000FF"/>
        </w:rPr>
        <w:t xml:space="preserve">     </w:t>
      </w:r>
      <w:r>
        <w:rPr>
          <w:rFonts w:ascii="Arial" w:cs="Arial" w:eastAsia="Arial" w:hAnsi="Arial"/>
          <w:sz w:val="18"/>
          <w:szCs w:val="18"/>
          <w:color w:val="000000"/>
        </w:rPr>
        <w:t>Certification pursuant to Rule 13a -14(a)/15d-14(a) of the</w:t>
      </w:r>
      <w:r>
        <w:rPr>
          <w:rFonts w:ascii="Arial" w:cs="Arial" w:eastAsia="Arial" w:hAnsi="Arial"/>
          <w:sz w:val="18"/>
          <w:szCs w:val="18"/>
          <w:color w:val="0000FF"/>
        </w:rPr>
        <w:t xml:space="preserve"> </w:t>
      </w:r>
      <w:r>
        <w:rPr>
          <w:rFonts w:ascii="Arial" w:cs="Arial" w:eastAsia="Arial" w:hAnsi="Arial"/>
          <w:sz w:val="18"/>
          <w:szCs w:val="18"/>
          <w:color w:val="000000"/>
        </w:rPr>
        <w:t>Securities Exchange Act of 1934, as adopted pursuant to</w:t>
      </w:r>
    </w:p>
    <w:p>
      <w:pPr>
        <w:spacing w:after="0" w:line="1"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Section 302 of the Sarbanes-Oxley Act of 2002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Incorporated by reference to Exhibit 3.1 of Xylem Inc.’s Form 8-K filed on May 15, 2017 (CIK No. 1524472, File No. 1-35229).</w:t>
      </w:r>
    </w:p>
    <w:p>
      <w:pPr>
        <w:spacing w:after="0" w:line="59"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Incorporated by reference to Exhibit 3.1 of Xylem Inc.’s Form 8-K filed on November 15, 2022 (CIK No. 1524472, File No.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35229).</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441" w:lineRule="exact"/>
        <w:rPr>
          <w:sz w:val="20"/>
          <w:szCs w:val="20"/>
          <w:color w:val="auto"/>
        </w:rPr>
      </w:pPr>
    </w:p>
    <w:p>
      <w:pPr>
        <w:sectPr>
          <w:pgSz w:w="11900" w:h="16838" w:orient="portrait"/>
          <w:cols w:equalWidth="0" w:num="2">
            <w:col w:w="5700" w:space="300"/>
            <w:col w:w="5240"/>
          </w:cols>
          <w:pgMar w:left="320" w:top="890" w:right="339" w:bottom="1440" w:gutter="0" w:footer="0" w:header="0"/>
          <w:type w:val="continuous"/>
        </w:sectPr>
      </w:pPr>
    </w:p>
    <w:p>
      <w:pPr>
        <w:ind w:left="1100" w:right="220" w:hanging="840"/>
        <w:spacing w:after="0" w:line="221" w:lineRule="auto"/>
        <w:tabs>
          <w:tab w:leader="none" w:pos="1080" w:val="left"/>
        </w:tabs>
        <w:rPr>
          <w:sz w:val="20"/>
          <w:szCs w:val="20"/>
          <w:color w:val="auto"/>
        </w:rPr>
      </w:pPr>
      <w:r>
        <w:rPr>
          <w:rFonts w:ascii="Arial" w:cs="Arial" w:eastAsia="Arial" w:hAnsi="Arial"/>
          <w:sz w:val="18"/>
          <w:szCs w:val="18"/>
          <w:u w:val="single" w:color="auto"/>
          <w:color w:val="0000FF"/>
        </w:rPr>
        <w:t>32.1</w:t>
      </w:r>
      <w:r>
        <w:rPr>
          <w:sz w:val="20"/>
          <w:szCs w:val="20"/>
          <w:color w:val="auto"/>
        </w:rPr>
        <w:tab/>
      </w:r>
      <w:r>
        <w:rPr>
          <w:rFonts w:ascii="Arial" w:cs="Arial" w:eastAsia="Arial" w:hAnsi="Arial"/>
          <w:sz w:val="18"/>
          <w:szCs w:val="18"/>
          <w:color w:val="auto"/>
        </w:rPr>
        <w:t>Certification Pursuant to 18 U.S.C. Section 1350, as adopted This Exhibit is intended to be furnished in accordance with pursuant to Section 906 of the Sarbanes-Oxley Act of 2002 Regulation S-K Item 601(b) (32) (ii) and shall not be deemed to</w:t>
      </w:r>
    </w:p>
    <w:p>
      <w:pPr>
        <w:sectPr>
          <w:pgSz w:w="11900" w:h="16838" w:orient="portrait"/>
          <w:cols w:equalWidth="0" w:num="1">
            <w:col w:w="11240"/>
          </w:cols>
          <w:pgMar w:left="320" w:top="8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0" w:right="80" w:hanging="890"/>
        <w:spacing w:after="0" w:line="234" w:lineRule="auto"/>
        <w:tabs>
          <w:tab w:leader="none" w:pos="10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The following materials from Xylem Inc.’s Quarterly Report on Form 10-Q for the quarterly period ended June 30, 2025,</w:t>
      </w:r>
    </w:p>
    <w:p>
      <w:pPr>
        <w:spacing w:after="0" w:line="1" w:lineRule="exact"/>
        <w:rPr>
          <w:sz w:val="20"/>
          <w:szCs w:val="20"/>
          <w:color w:val="auto"/>
        </w:rPr>
      </w:pPr>
    </w:p>
    <w:p>
      <w:pPr>
        <w:ind w:left="1100" w:right="80"/>
        <w:spacing w:after="0" w:line="221" w:lineRule="auto"/>
        <w:rPr>
          <w:sz w:val="20"/>
          <w:szCs w:val="20"/>
          <w:color w:val="auto"/>
        </w:rPr>
      </w:pPr>
      <w:r>
        <w:rPr>
          <w:rFonts w:ascii="Arial" w:cs="Arial" w:eastAsia="Arial" w:hAnsi="Arial"/>
          <w:sz w:val="17"/>
          <w:szCs w:val="17"/>
          <w:color w:val="auto"/>
        </w:rPr>
        <w:t>formatted in Inline Extensible Business Reporting Language (Inline XBRL): (i) Condensed Consolidated Income Statements, (ii) Condensed Consolidated Statements of</w:t>
      </w:r>
    </w:p>
    <w:p>
      <w:pPr>
        <w:ind w:left="1100"/>
        <w:spacing w:after="0" w:line="208" w:lineRule="auto"/>
        <w:rPr>
          <w:sz w:val="20"/>
          <w:szCs w:val="20"/>
          <w:color w:val="auto"/>
        </w:rPr>
      </w:pPr>
      <w:r>
        <w:rPr>
          <w:rFonts w:ascii="Arial" w:cs="Arial" w:eastAsia="Arial" w:hAnsi="Arial"/>
          <w:sz w:val="18"/>
          <w:szCs w:val="18"/>
          <w:color w:val="auto"/>
        </w:rPr>
        <w:t>Comprehensive Income, (iii) Condensed Consolidated Balance Sheets, (iv) Condensed Consolidated Statements of Cash Flows and (v) Notes to Condensed Consolidated</w:t>
      </w:r>
    </w:p>
    <w:p>
      <w:pPr>
        <w:spacing w:after="0" w:line="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Financial Statements</w:t>
      </w:r>
    </w:p>
    <w:p>
      <w:pPr>
        <w:spacing w:after="0" w:line="45" w:lineRule="exact"/>
        <w:rPr>
          <w:sz w:val="20"/>
          <w:szCs w:val="20"/>
          <w:color w:val="auto"/>
        </w:rPr>
      </w:pPr>
    </w:p>
    <w:p>
      <w:pPr>
        <w:jc w:val="right"/>
        <w:ind w:right="80"/>
        <w:spacing w:after="0"/>
        <w:tabs>
          <w:tab w:leader="none" w:pos="48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7"/>
          <w:szCs w:val="17"/>
          <w:color w:val="auto"/>
        </w:rPr>
        <w:t>The cover page from Xylem Inc.'s Quarterly Report on Form</w:t>
      </w:r>
    </w:p>
    <w:p>
      <w:pPr>
        <w:jc w:val="right"/>
        <w:ind w:right="120"/>
        <w:spacing w:after="0" w:line="219" w:lineRule="auto"/>
        <w:rPr>
          <w:sz w:val="20"/>
          <w:szCs w:val="20"/>
          <w:color w:val="auto"/>
        </w:rPr>
      </w:pPr>
      <w:r>
        <w:rPr>
          <w:rFonts w:ascii="Arial" w:cs="Arial" w:eastAsia="Arial" w:hAnsi="Arial"/>
          <w:sz w:val="18"/>
          <w:szCs w:val="18"/>
          <w:color w:val="auto"/>
        </w:rPr>
        <w:t>10-Q for the period ended June 30, 2025 formatted in Inline</w:t>
      </w:r>
    </w:p>
    <w:p>
      <w:pPr>
        <w:ind w:left="1100"/>
        <w:spacing w:after="0"/>
        <w:rPr>
          <w:sz w:val="20"/>
          <w:szCs w:val="20"/>
          <w:color w:val="auto"/>
        </w:rPr>
      </w:pPr>
      <w:r>
        <w:rPr>
          <w:rFonts w:ascii="Arial" w:cs="Arial" w:eastAsia="Arial" w:hAnsi="Arial"/>
          <w:sz w:val="18"/>
          <w:szCs w:val="18"/>
          <w:color w:val="auto"/>
        </w:rPr>
        <w:t>XBRL and contained in Exhibit 101.0.</w:t>
      </w:r>
    </w:p>
    <w:p>
      <w:pPr>
        <w:spacing w:after="0" w:line="59" w:lineRule="exact"/>
        <w:rPr>
          <w:sz w:val="20"/>
          <w:szCs w:val="20"/>
          <w:color w:val="auto"/>
        </w:rPr>
      </w:pPr>
    </w:p>
    <w:p>
      <w:pPr>
        <w:ind w:left="1100" w:right="960" w:hanging="8"/>
        <w:spacing w:after="0"/>
        <w:tabs>
          <w:tab w:leader="none" w:pos="12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br w:type="column"/>
      </w:r>
    </w:p>
    <w:p>
      <w:pPr>
        <w:ind w:right="120"/>
        <w:spacing w:after="0" w:line="221" w:lineRule="auto"/>
        <w:rPr>
          <w:sz w:val="20"/>
          <w:szCs w:val="20"/>
          <w:color w:val="auto"/>
        </w:rPr>
      </w:pPr>
      <w:r>
        <w:rPr>
          <w:rFonts w:ascii="Arial" w:cs="Arial" w:eastAsia="Arial" w:hAnsi="Arial"/>
          <w:sz w:val="17"/>
          <w:szCs w:val="17"/>
          <w:color w:val="auto"/>
        </w:rPr>
        <w:t>be filed for purposes of Section 18 of the Securities Exchange Act of 1934 or incorporated by reference into any filing under the Securities Act of 1933 or the Securities Exchange Act of 1934,</w:t>
      </w:r>
    </w:p>
    <w:p>
      <w:pPr>
        <w:spacing w:after="0"/>
        <w:rPr>
          <w:sz w:val="20"/>
          <w:szCs w:val="20"/>
          <w:color w:val="auto"/>
        </w:rPr>
      </w:pPr>
      <w:r>
        <w:rPr>
          <w:rFonts w:ascii="Arial" w:cs="Arial" w:eastAsia="Arial" w:hAnsi="Arial"/>
          <w:sz w:val="18"/>
          <w:szCs w:val="18"/>
          <w:color w:val="auto"/>
        </w:rPr>
        <w:t>except as shall be expressly set forth by specific reference.</w:t>
      </w:r>
    </w:p>
    <w:p>
      <w:pPr>
        <w:spacing w:after="0" w:line="59"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The instance document does not appear in the interactive data file because its XBRL tags are embedded within the Inline XBRL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2400" w:lineRule="exact"/>
        <w:rPr>
          <w:sz w:val="20"/>
          <w:szCs w:val="20"/>
          <w:color w:val="auto"/>
        </w:rPr>
      </w:pPr>
    </w:p>
    <w:p>
      <w:pPr>
        <w:sectPr>
          <w:pgSz w:w="11900" w:h="16838" w:orient="portrait"/>
          <w:cols w:equalWidth="0" w:num="2">
            <w:col w:w="5940" w:space="60"/>
            <w:col w:w="5240"/>
          </w:cols>
          <w:pgMar w:left="320" w:top="890"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64" w:name="page65"/>
    <w:bookmarkEnd w:id="6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500"/>
        <w:spacing w:after="0"/>
        <w:rPr>
          <w:sz w:val="20"/>
          <w:szCs w:val="20"/>
          <w:color w:val="auto"/>
        </w:rPr>
      </w:pPr>
      <w:r>
        <w:rPr>
          <w:rFonts w:ascii="Arial" w:cs="Arial" w:eastAsia="Arial" w:hAnsi="Arial"/>
          <w:sz w:val="18"/>
          <w:szCs w:val="18"/>
          <w:b w:val="1"/>
          <w:bCs w:val="1"/>
          <w:u w:val="single" w:color="auto"/>
          <w:color w:val="auto"/>
        </w:rPr>
        <w:t>XYLEM INC.</w:t>
      </w:r>
    </w:p>
    <w:p>
      <w:pPr>
        <w:spacing w:after="0" w:line="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(Registrant)</w:t>
      </w:r>
    </w:p>
    <w:p>
      <w:pPr>
        <w:spacing w:after="0" w:line="5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Geri-Michelle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17780</wp:posOffset>
            </wp:positionV>
            <wp:extent cx="37973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Geri-Michelle McShane</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Controller and Chief Accounting Officer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July 31, 2025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120"/>
          </w:cols>
          <w:pgMar w:left="320" w:top="1093" w:right="4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Matthew F. Pine, certify that:</w:t>
      </w:r>
    </w:p>
    <w:p>
      <w:pPr>
        <w:spacing w:after="0" w:line="117"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June 30, 2025;</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00" w:type="dxa"/>
            <w:vAlign w:val="bottom"/>
          </w:tcPr>
          <w:p>
            <w:pPr>
              <w:spacing w:after="0"/>
              <w:rPr>
                <w:sz w:val="20"/>
                <w:szCs w:val="20"/>
                <w:color w:val="auto"/>
              </w:rPr>
            </w:pP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F. Pine</w:t>
            </w:r>
          </w:p>
        </w:tc>
        <w:tc>
          <w:tcPr>
            <w:tcW w:w="0" w:type="dxa"/>
            <w:vAlign w:val="bottom"/>
          </w:tcPr>
          <w:p>
            <w:pPr>
              <w:spacing w:after="0"/>
              <w:rPr>
                <w:sz w:val="1"/>
                <w:szCs w:val="1"/>
                <w:color w:val="auto"/>
              </w:rPr>
            </w:pPr>
          </w:p>
        </w:tc>
      </w:tr>
      <w:tr>
        <w:trPr>
          <w:trHeight w:val="177"/>
        </w:trPr>
        <w:tc>
          <w:tcPr>
            <w:tcW w:w="6300" w:type="dxa"/>
            <w:vAlign w:val="bottom"/>
          </w:tcPr>
          <w:p>
            <w:pPr>
              <w:spacing w:after="0"/>
              <w:rPr>
                <w:sz w:val="15"/>
                <w:szCs w:val="15"/>
                <w:color w:val="auto"/>
              </w:rPr>
            </w:pPr>
          </w:p>
        </w:tc>
        <w:tc>
          <w:tcPr>
            <w:tcW w:w="4080" w:type="dxa"/>
            <w:vAlign w:val="bottom"/>
          </w:tcPr>
          <w:p>
            <w:pPr>
              <w:ind w:left="20"/>
              <w:spacing w:after="0" w:line="177" w:lineRule="exact"/>
              <w:rPr>
                <w:sz w:val="20"/>
                <w:szCs w:val="20"/>
                <w:color w:val="auto"/>
              </w:rPr>
            </w:pPr>
            <w:r>
              <w:rPr>
                <w:rFonts w:ascii="Arial" w:cs="Arial" w:eastAsia="Arial" w:hAnsi="Arial"/>
                <w:sz w:val="18"/>
                <w:szCs w:val="18"/>
                <w:color w:val="auto"/>
              </w:rPr>
              <w:t>Matthew F. Pine</w:t>
            </w:r>
          </w:p>
        </w:tc>
        <w:tc>
          <w:tcPr>
            <w:tcW w:w="0" w:type="dxa"/>
            <w:vAlign w:val="bottom"/>
          </w:tcPr>
          <w:p>
            <w:pPr>
              <w:spacing w:after="0"/>
              <w:rPr>
                <w:sz w:val="1"/>
                <w:szCs w:val="1"/>
                <w:color w:val="auto"/>
              </w:rPr>
            </w:pPr>
          </w:p>
        </w:tc>
      </w:tr>
      <w:tr>
        <w:trPr>
          <w:trHeight w:val="239"/>
        </w:trPr>
        <w:tc>
          <w:tcPr>
            <w:tcW w:w="6300" w:type="dxa"/>
            <w:vAlign w:val="bottom"/>
            <w:vMerge w:val="restart"/>
          </w:tcPr>
          <w:p>
            <w:pPr>
              <w:spacing w:after="0"/>
              <w:rPr>
                <w:sz w:val="20"/>
                <w:szCs w:val="20"/>
                <w:color w:val="auto"/>
              </w:rPr>
            </w:pPr>
            <w:r>
              <w:rPr>
                <w:rFonts w:ascii="Arial" w:cs="Arial" w:eastAsia="Arial" w:hAnsi="Arial"/>
                <w:sz w:val="18"/>
                <w:szCs w:val="18"/>
                <w:color w:val="auto"/>
              </w:rPr>
              <w:t>Date: July 31, 2025</w:t>
            </w:r>
          </w:p>
        </w:tc>
        <w:tc>
          <w:tcPr>
            <w:tcW w:w="40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108"/>
        </w:trPr>
        <w:tc>
          <w:tcPr>
            <w:tcW w:w="6300" w:type="dxa"/>
            <w:vAlign w:val="bottom"/>
            <w:vMerge w:val="continue"/>
          </w:tcPr>
          <w:p>
            <w:pPr>
              <w:spacing w:after="0"/>
              <w:rPr>
                <w:sz w:val="9"/>
                <w:szCs w:val="9"/>
                <w:color w:val="auto"/>
              </w:rPr>
            </w:pPr>
          </w:p>
        </w:tc>
        <w:tc>
          <w:tcPr>
            <w:tcW w:w="4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William K. Grogan, certify that:</w:t>
      </w:r>
    </w:p>
    <w:p>
      <w:pPr>
        <w:spacing w:after="0" w:line="117"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June 30, 2025;</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80" w:type="dxa"/>
            <w:vAlign w:val="bottom"/>
          </w:tcPr>
          <w:p>
            <w:pPr>
              <w:spacing w:after="0"/>
              <w:rPr>
                <w:sz w:val="20"/>
                <w:szCs w:val="20"/>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K. Grogan</w:t>
            </w:r>
          </w:p>
        </w:tc>
        <w:tc>
          <w:tcPr>
            <w:tcW w:w="0" w:type="dxa"/>
            <w:vAlign w:val="bottom"/>
          </w:tcPr>
          <w:p>
            <w:pPr>
              <w:spacing w:after="0"/>
              <w:rPr>
                <w:sz w:val="1"/>
                <w:szCs w:val="1"/>
                <w:color w:val="auto"/>
              </w:rPr>
            </w:pPr>
          </w:p>
        </w:tc>
      </w:tr>
      <w:tr>
        <w:trPr>
          <w:trHeight w:val="177"/>
        </w:trPr>
        <w:tc>
          <w:tcPr>
            <w:tcW w:w="5280" w:type="dxa"/>
            <w:vAlign w:val="bottom"/>
          </w:tcPr>
          <w:p>
            <w:pPr>
              <w:spacing w:after="0"/>
              <w:rPr>
                <w:sz w:val="15"/>
                <w:szCs w:val="15"/>
                <w:color w:val="auto"/>
              </w:rPr>
            </w:pPr>
          </w:p>
        </w:tc>
        <w:tc>
          <w:tcPr>
            <w:tcW w:w="4980" w:type="dxa"/>
            <w:vAlign w:val="bottom"/>
          </w:tcPr>
          <w:p>
            <w:pPr>
              <w:spacing w:after="0" w:line="177" w:lineRule="exact"/>
              <w:rPr>
                <w:sz w:val="20"/>
                <w:szCs w:val="20"/>
                <w:color w:val="auto"/>
              </w:rPr>
            </w:pPr>
            <w:r>
              <w:rPr>
                <w:rFonts w:ascii="Arial" w:cs="Arial" w:eastAsia="Arial" w:hAnsi="Arial"/>
                <w:sz w:val="18"/>
                <w:szCs w:val="18"/>
                <w:color w:val="auto"/>
              </w:rPr>
              <w:t>William K. Grogan</w:t>
            </w:r>
          </w:p>
        </w:tc>
        <w:tc>
          <w:tcPr>
            <w:tcW w:w="0" w:type="dxa"/>
            <w:vAlign w:val="bottom"/>
          </w:tcPr>
          <w:p>
            <w:pPr>
              <w:spacing w:after="0"/>
              <w:rPr>
                <w:sz w:val="1"/>
                <w:szCs w:val="1"/>
                <w:color w:val="auto"/>
              </w:rPr>
            </w:pPr>
          </w:p>
        </w:tc>
      </w:tr>
      <w:tr>
        <w:trPr>
          <w:trHeight w:val="239"/>
        </w:trPr>
        <w:tc>
          <w:tcPr>
            <w:tcW w:w="5280" w:type="dxa"/>
            <w:vAlign w:val="bottom"/>
            <w:vMerge w:val="restart"/>
          </w:tcPr>
          <w:p>
            <w:pPr>
              <w:spacing w:after="0"/>
              <w:rPr>
                <w:sz w:val="20"/>
                <w:szCs w:val="20"/>
                <w:color w:val="auto"/>
              </w:rPr>
            </w:pPr>
            <w:r>
              <w:rPr>
                <w:rFonts w:ascii="Arial" w:cs="Arial" w:eastAsia="Arial" w:hAnsi="Arial"/>
                <w:sz w:val="18"/>
                <w:szCs w:val="18"/>
                <w:color w:val="auto"/>
              </w:rPr>
              <w:t>Date: July 31, 2025</w:t>
            </w:r>
          </w:p>
        </w:tc>
        <w:tc>
          <w:tcPr>
            <w:tcW w:w="4980" w:type="dxa"/>
            <w:vAlign w:val="bottom"/>
          </w:tcPr>
          <w:p>
            <w:pPr>
              <w:spacing w:after="0"/>
              <w:rPr>
                <w:sz w:val="20"/>
                <w:szCs w:val="20"/>
                <w:color w:val="auto"/>
              </w:rPr>
            </w:pPr>
            <w:r>
              <w:rPr>
                <w:rFonts w:ascii="Arial" w:cs="Arial" w:eastAsia="Arial" w:hAnsi="Arial"/>
                <w:sz w:val="18"/>
                <w:szCs w:val="18"/>
                <w:color w:val="auto"/>
              </w:rPr>
              <w:t>Senior Vice President, Chief Financial Officer</w:t>
            </w:r>
          </w:p>
        </w:tc>
        <w:tc>
          <w:tcPr>
            <w:tcW w:w="0" w:type="dxa"/>
            <w:vAlign w:val="bottom"/>
          </w:tcPr>
          <w:p>
            <w:pPr>
              <w:spacing w:after="0"/>
              <w:rPr>
                <w:sz w:val="1"/>
                <w:szCs w:val="1"/>
                <w:color w:val="auto"/>
              </w:rPr>
            </w:pPr>
          </w:p>
        </w:tc>
      </w:tr>
      <w:tr>
        <w:trPr>
          <w:trHeight w:val="108"/>
        </w:trPr>
        <w:tc>
          <w:tcPr>
            <w:tcW w:w="5280" w:type="dxa"/>
            <w:vAlign w:val="bottom"/>
            <w:vMerge w:val="continue"/>
          </w:tcPr>
          <w:p>
            <w:pPr>
              <w:spacing w:after="0"/>
              <w:rPr>
                <w:sz w:val="9"/>
                <w:szCs w:val="9"/>
                <w:color w:val="auto"/>
              </w:rPr>
            </w:pPr>
          </w:p>
        </w:tc>
        <w:tc>
          <w:tcPr>
            <w:tcW w:w="4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connection with the Quarterly Report on Form 10-Q of Xylem Inc. (the “Company”) for the period ended June 30, 2025 as filed with the Securities and Exchange Commission on the date hereof (the “Report”), each of the undersigned officers of the Company, certifies, pursuant to 18 U.S.C. 1350, as adopted pursuant to 906 of the Sarbanes-Oxley Act of 2002, to his knowledge, that:</w:t>
      </w:r>
    </w:p>
    <w:p>
      <w:pPr>
        <w:spacing w:after="0" w:line="63"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Matthew F. 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Matthew F. Pine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31, 2025</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K. Grogan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K. Grogan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31, 2025</w:t>
      </w:r>
    </w:p>
    <w:p>
      <w:pPr>
        <w:spacing w:after="0" w:line="18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1)"/>
      <w:numFmt w:val="lowerLetter"/>
      <w:start w:val="1"/>
    </w:lvl>
  </w:abstractNum>
  <w:abstractNum w:abstractNumId="8">
    <w:nsid w:val="257130A3"/>
    <w:multiLevelType w:val="hybridMultilevel"/>
    <w:lvl w:ilvl="0">
      <w:lvlJc w:val="left"/>
      <w:lvlText w:val="(%1)"/>
      <w:numFmt w:val="lowerLetter"/>
      <w:start w:val="1"/>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1)"/>
      <w:numFmt w:val="lowerLetter"/>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76" Type="http://schemas.openxmlformats.org/officeDocument/2006/relationships/hyperlink" Target="https://www.sec.gov/Archives/edgar/data/1524472/000152447217000027/a8-k31xcharter.htm" TargetMode="External"/><Relationship Id="rId77" Type="http://schemas.openxmlformats.org/officeDocument/2006/relationships/hyperlink" Target="https://www.sec.gov/Archives/edgar/data/1524472/000152447222000055/xyl11102022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2025-07-31T09:09:52Z</dcterms:created>
  <dcterms:modified xsi:type="dcterms:W3CDTF">2025-07-31T09:09:52Z</dcterms:modified>
</cp:coreProperties>
</file>