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3660" w:right="800" w:hanging="3634"/>
        <w:spacing w:after="0" w:line="412" w:lineRule="auto"/>
        <w:tabs>
          <w:tab w:leader="none" w:pos="12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282" w:right="339" w:bottom="1440" w:gutter="0" w:footer="0" w:header="0"/>
        </w:sectPr>
      </w:pPr>
    </w:p>
    <w:p>
      <w:pPr>
        <w:spacing w:after="0" w:line="129"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240"/>
          </w:cols>
          <w:pgMar w:left="320" w:top="1282" w:right="339" w:bottom="1440" w:gutter="0" w:footer="0" w:header="0"/>
          <w:type w:val="continuous"/>
        </w:sectPr>
      </w:pP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1-35229</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282" w:right="339" w:bottom="1440" w:gutter="0" w:footer="0" w:header="0"/>
          <w:type w:val="continuous"/>
        </w:sectPr>
      </w:pPr>
    </w:p>
    <w:p>
      <w:pPr>
        <w:spacing w:after="0" w:line="228"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6" w:lineRule="exact"/>
        <w:rPr>
          <w:sz w:val="24"/>
          <w:szCs w:val="24"/>
          <w:color w:val="auto"/>
        </w:rPr>
      </w:pPr>
    </w:p>
    <w:p>
      <w:pPr>
        <w:sectPr>
          <w:pgSz w:w="11900" w:h="16838" w:orient="portrait"/>
          <w:cols w:equalWidth="0" w:num="2">
            <w:col w:w="7360" w:space="720"/>
            <w:col w:w="3160"/>
          </w:cols>
          <w:pgMar w:left="320" w:top="1282"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298" w:lineRule="exact"/>
        <w:rPr>
          <w:sz w:val="24"/>
          <w:szCs w:val="24"/>
          <w:color w:val="auto"/>
        </w:rPr>
      </w:pPr>
    </w:p>
    <w:p>
      <w:pPr>
        <w:sectPr>
          <w:pgSz w:w="11900" w:h="16838" w:orient="portrait"/>
          <w:cols w:equalWidth="0" w:num="2">
            <w:col w:w="6740" w:space="720"/>
            <w:col w:w="3780"/>
          </w:cols>
          <w:pgMar w:left="320" w:top="128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8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378"/>
        </w:trPr>
        <w:tc>
          <w:tcPr>
            <w:tcW w:w="1360" w:type="dxa"/>
            <w:vAlign w:val="bottom"/>
          </w:tcPr>
          <w:p>
            <w:pPr>
              <w:spacing w:after="0"/>
              <w:rPr>
                <w:sz w:val="24"/>
                <w:szCs w:val="24"/>
                <w:color w:val="auto"/>
              </w:rPr>
            </w:pPr>
          </w:p>
        </w:tc>
        <w:tc>
          <w:tcPr>
            <w:tcW w:w="344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99"/>
              </w:rPr>
              <w:t>Title of each class</w:t>
            </w: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9"/>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Common Stock, par value $0.01 per share</w:t>
            </w: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30"/>
        </w:trPr>
        <w:tc>
          <w:tcPr>
            <w:tcW w:w="480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2.250% Senior Notes due 2023</w:t>
            </w: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XYL23</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75"/>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35"/>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0"/>
          <w:szCs w:val="20"/>
          <w:color w:val="auto"/>
        </w:rPr>
      </w:pPr>
    </w:p>
    <w:p>
      <w:pPr>
        <w:ind w:right="5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30, 2021, there were 180,041,590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69215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40"/>
          </w:cols>
          <w:pgMar w:left="320" w:top="6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60" w:type="dxa"/>
            <w:vAlign w:val="bottom"/>
            <w:gridSpan w:val="8"/>
          </w:tcPr>
          <w:p>
            <w:pPr>
              <w:jc w:val="center"/>
              <w:ind w:right="344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00" w:type="dxa"/>
            <w:vAlign w:val="bottom"/>
            <w:gridSpan w:val="13"/>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20"/>
              <w:spacing w:after="0" w:line="180"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80"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w:t>
              </w:r>
            </w:hyperlink>
          </w:p>
        </w:tc>
        <w:tc>
          <w:tcPr>
            <w:tcW w:w="6060" w:type="dxa"/>
            <w:vAlign w:val="bottom"/>
            <w:gridSpan w:val="12"/>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Income Statements for the Three Months Ended March </w:t>
              </w:r>
            </w:hyperlink>
            <w:r>
              <w:rPr>
                <w:rFonts w:ascii="Arial" w:cs="Arial" w:eastAsia="Arial" w:hAnsi="Arial"/>
                <w:sz w:val="18"/>
                <w:szCs w:val="18"/>
                <w:color w:val="0000FF"/>
              </w:rPr>
              <w:t xml:space="preserve">31, </w:t>
            </w:r>
            <w:hyperlink w:anchor="page4">
              <w:r>
                <w:rPr>
                  <w:rFonts w:ascii="Arial" w:cs="Arial" w:eastAsia="Arial" w:hAnsi="Arial"/>
                  <w:sz w:val="18"/>
                  <w:szCs w:val="18"/>
                  <w:color w:val="0000FF"/>
                </w:rPr>
                <w:t>2021</w:t>
              </w:r>
            </w:hyperlink>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and </w:t>
              </w:r>
            </w:hyperlink>
            <w:r>
              <w:rPr>
                <w:rFonts w:ascii="Arial" w:cs="Arial" w:eastAsia="Arial" w:hAnsi="Arial"/>
                <w:sz w:val="18"/>
                <w:szCs w:val="18"/>
                <w:color w:val="0000FF"/>
              </w:rPr>
              <w:t xml:space="preserve">2020 </w:t>
            </w:r>
            <w:hyperlink w:anchor="page4">
              <w:r>
                <w:rPr>
                  <w:rFonts w:ascii="Arial" w:cs="Arial" w:eastAsia="Arial" w:hAnsi="Arial"/>
                  <w:sz w:val="18"/>
                  <w:szCs w:val="18"/>
                  <w:color w:val="0000FF"/>
                </w:rPr>
                <w:t>(Unaudited)</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for the Three Months Ended</w:t>
              </w:r>
            </w:hyperlink>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March </w:t>
              </w:r>
            </w:hyperlink>
            <w:r>
              <w:rPr>
                <w:rFonts w:ascii="Arial" w:cs="Arial" w:eastAsia="Arial" w:hAnsi="Arial"/>
                <w:sz w:val="18"/>
                <w:szCs w:val="18"/>
                <w:color w:val="0000FF"/>
              </w:rPr>
              <w:t xml:space="preserve">31, </w:t>
            </w:r>
            <w:hyperlink w:anchor="page4">
              <w:r>
                <w:rPr>
                  <w:rFonts w:ascii="Arial" w:cs="Arial" w:eastAsia="Arial" w:hAnsi="Arial"/>
                  <w:sz w:val="18"/>
                  <w:szCs w:val="18"/>
                  <w:color w:val="0000FF"/>
                </w:rPr>
                <w:t xml:space="preserve">2021 and </w:t>
              </w:r>
            </w:hyperlink>
            <w:r>
              <w:rPr>
                <w:rFonts w:ascii="Arial" w:cs="Arial" w:eastAsia="Arial" w:hAnsi="Arial"/>
                <w:sz w:val="18"/>
                <w:szCs w:val="18"/>
                <w:color w:val="0000FF"/>
              </w:rPr>
              <w:t xml:space="preserve">2020 </w:t>
            </w:r>
            <w:hyperlink w:anchor="page4">
              <w:r>
                <w:rPr>
                  <w:rFonts w:ascii="Arial" w:cs="Arial" w:eastAsia="Arial" w:hAnsi="Arial"/>
                  <w:sz w:val="18"/>
                  <w:szCs w:val="18"/>
                  <w:color w:val="0000FF"/>
                </w:rPr>
                <w:t>(Unaudited)</w:t>
              </w:r>
            </w:hyperlink>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w:t>
              </w:r>
            </w:hyperlink>
            <w:r>
              <w:rPr>
                <w:rFonts w:ascii="Arial" w:cs="Arial" w:eastAsia="Arial" w:hAnsi="Arial"/>
                <w:sz w:val="18"/>
                <w:szCs w:val="18"/>
                <w:color w:val="0000FF"/>
              </w:rPr>
              <w:t xml:space="preserve">March 31, </w:t>
            </w:r>
            <w:hyperlink w:anchor="page5">
              <w:r>
                <w:rPr>
                  <w:rFonts w:ascii="Arial" w:cs="Arial" w:eastAsia="Arial" w:hAnsi="Arial"/>
                  <w:sz w:val="18"/>
                  <w:szCs w:val="18"/>
                  <w:color w:val="0000FF"/>
                </w:rPr>
                <w:t xml:space="preserve">2021 and December 31, </w:t>
              </w:r>
            </w:hyperlink>
            <w:r>
              <w:rPr>
                <w:rFonts w:ascii="Arial" w:cs="Arial" w:eastAsia="Arial" w:hAnsi="Arial"/>
                <w:sz w:val="18"/>
                <w:szCs w:val="18"/>
                <w:color w:val="0000FF"/>
              </w:rPr>
              <w:t>2020</w:t>
            </w:r>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240" w:type="dxa"/>
            <w:vAlign w:val="bottom"/>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Months Ended March 31,</w:t>
              </w:r>
            </w:hyperlink>
          </w:p>
        </w:tc>
        <w:tc>
          <w:tcPr>
            <w:tcW w:w="1400" w:type="dxa"/>
            <w:vAlign w:val="bottom"/>
            <w:gridSpan w:val="2"/>
            <w:vMerge w:val="restart"/>
          </w:tcPr>
          <w:p>
            <w:pPr>
              <w:spacing w:after="0"/>
              <w:rPr>
                <w:sz w:val="18"/>
                <w:szCs w:val="18"/>
                <w:color w:val="auto"/>
              </w:rPr>
            </w:pPr>
          </w:p>
        </w:tc>
        <w:tc>
          <w:tcPr>
            <w:tcW w:w="120" w:type="dxa"/>
            <w:vAlign w:val="bottom"/>
            <w:gridSpan w:val="2"/>
            <w:vMerge w:val="restart"/>
          </w:tcPr>
          <w:p>
            <w:pPr>
              <w:jc w:val="right"/>
              <w:ind w:right="2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tcBorders>
              <w:top w:val="single" w:sz="8" w:color="0000FF"/>
            </w:tcBorders>
            <w:gridSpan w:val="9"/>
          </w:tcPr>
          <w:p>
            <w:pPr>
              <w:spacing w:after="0" w:line="15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2021 and 2020 (Unaudited)</w:t>
              </w:r>
            </w:hyperlink>
          </w:p>
        </w:tc>
        <w:tc>
          <w:tcPr>
            <w:tcW w:w="5120" w:type="dxa"/>
            <w:vAlign w:val="bottom"/>
            <w:tcBorders>
              <w:top w:val="single" w:sz="8" w:color="0000FF"/>
            </w:tcBorders>
            <w:gridSpan w:val="8"/>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the Condensed Consolidated Financial Statements (Unaudited)</w:t>
              </w:r>
            </w:hyperlink>
          </w:p>
        </w:tc>
        <w:tc>
          <w:tcPr>
            <w:tcW w:w="2020" w:type="dxa"/>
            <w:vAlign w:val="bottom"/>
            <w:gridSpan w:val="5"/>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8">
              <w:r>
                <w:rPr>
                  <w:rFonts w:ascii="Arial" w:cs="Arial" w:eastAsia="Arial" w:hAnsi="Arial"/>
                  <w:sz w:val="18"/>
                  <w:szCs w:val="18"/>
                  <w:color w:val="0000FF"/>
                </w:rPr>
                <w:t>Management’s Discussion and Analysis of Financial Condition and Results of Operations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4">
              <w:r>
                <w:rPr>
                  <w:rFonts w:ascii="Arial" w:cs="Arial" w:eastAsia="Arial" w:hAnsi="Arial"/>
                  <w:sz w:val="18"/>
                  <w:szCs w:val="18"/>
                  <w:color w:val="0000FF"/>
                </w:rPr>
                <w:t>Quantitative and Qualitative Disclosures About Market Risk</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rFonts w:ascii="Arial" w:cs="Arial" w:eastAsia="Arial" w:hAnsi="Arial"/>
                <w:sz w:val="18"/>
                <w:szCs w:val="18"/>
                <w:color w:val="0000FF"/>
                <w:w w:val="95"/>
              </w:rPr>
            </w:pPr>
            <w:hyperlink w:anchor="page44">
              <w:r>
                <w:rPr>
                  <w:rFonts w:ascii="Arial" w:cs="Arial" w:eastAsia="Arial" w:hAnsi="Arial"/>
                  <w:sz w:val="18"/>
                  <w:szCs w:val="18"/>
                  <w:color w:val="0000FF"/>
                  <w:w w:val="95"/>
                </w:rPr>
                <w:t>Controls and Procedures</w:t>
              </w:r>
            </w:hyperlink>
          </w:p>
        </w:tc>
        <w:tc>
          <w:tcPr>
            <w:tcW w:w="2780" w:type="dxa"/>
            <w:vAlign w:val="bottom"/>
            <w:gridSpan w:val="4"/>
          </w:tcPr>
          <w:p>
            <w:pPr>
              <w:spacing w:after="0"/>
              <w:rPr>
                <w:sz w:val="18"/>
                <w:szCs w:val="18"/>
                <w:color w:val="auto"/>
              </w:rPr>
            </w:pPr>
          </w:p>
        </w:tc>
        <w:tc>
          <w:tcPr>
            <w:tcW w:w="3080" w:type="dxa"/>
            <w:vAlign w:val="bottom"/>
            <w:gridSpan w:val="7"/>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3"/>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89"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Legal Proceedings</w:t>
              </w:r>
            </w:hyperlink>
          </w:p>
        </w:tc>
        <w:tc>
          <w:tcPr>
            <w:tcW w:w="6300" w:type="dxa"/>
            <w:vAlign w:val="bottom"/>
            <w:gridSpan w:val="13"/>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6300" w:type="dxa"/>
            <w:vAlign w:val="bottom"/>
            <w:gridSpan w:val="13"/>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5">
              <w:r>
                <w:rPr>
                  <w:rFonts w:ascii="Arial" w:cs="Arial" w:eastAsia="Arial" w:hAnsi="Arial"/>
                  <w:sz w:val="18"/>
                  <w:szCs w:val="18"/>
                  <w:color w:val="0000FF"/>
                </w:rPr>
                <w:t>Unregistered Sales of Equity Securities and Use of Proceeds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5">
              <w:r>
                <w:rPr>
                  <w:rFonts w:ascii="Arial" w:cs="Arial" w:eastAsia="Arial" w:hAnsi="Arial"/>
                  <w:sz w:val="18"/>
                  <w:szCs w:val="18"/>
                  <w:color w:val="0000FF"/>
                </w:rPr>
                <w:t>Defaults Upon Senior Securities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Mine Safety Disclosures</w:t>
              </w:r>
            </w:hyperlink>
          </w:p>
        </w:tc>
        <w:tc>
          <w:tcPr>
            <w:tcW w:w="620" w:type="dxa"/>
            <w:vAlign w:val="bottom"/>
            <w:gridSpan w:val="2"/>
          </w:tcPr>
          <w:p>
            <w:pPr>
              <w:spacing w:after="0"/>
              <w:rPr>
                <w:sz w:val="18"/>
                <w:szCs w:val="18"/>
                <w:color w:val="auto"/>
              </w:rPr>
            </w:pPr>
          </w:p>
        </w:tc>
        <w:tc>
          <w:tcPr>
            <w:tcW w:w="5240" w:type="dxa"/>
            <w:vAlign w:val="bottom"/>
            <w:gridSpan w:val="9"/>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5860" w:type="dxa"/>
            <w:vAlign w:val="bottom"/>
            <w:gridSpan w:val="11"/>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Exhibits</w:t>
              </w:r>
            </w:hyperlink>
          </w:p>
        </w:tc>
        <w:tc>
          <w:tcPr>
            <w:tcW w:w="760" w:type="dxa"/>
            <w:vAlign w:val="bottom"/>
            <w:gridSpan w:val="4"/>
          </w:tcPr>
          <w:p>
            <w:pPr>
              <w:spacing w:after="0"/>
              <w:rPr>
                <w:sz w:val="18"/>
                <w:szCs w:val="18"/>
                <w:color w:val="auto"/>
              </w:rPr>
            </w:pPr>
          </w:p>
        </w:tc>
        <w:tc>
          <w:tcPr>
            <w:tcW w:w="6400" w:type="dxa"/>
            <w:vAlign w:val="bottom"/>
            <w:gridSpan w:val="14"/>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p>
        </w:tc>
        <w:tc>
          <w:tcPr>
            <w:tcW w:w="7000" w:type="dxa"/>
            <w:vAlign w:val="bottom"/>
          </w:tcPr>
          <w:p>
            <w:pPr>
              <w:ind w:left="4160"/>
              <w:spacing w:after="0"/>
              <w:rPr>
                <w:sz w:val="20"/>
                <w:szCs w:val="20"/>
                <w:color w:val="auto"/>
              </w:rPr>
            </w:pPr>
            <w:r>
              <w:rPr>
                <w:rFonts w:ascii="Arial" w:cs="Arial" w:eastAsia="Arial" w:hAnsi="Arial"/>
                <w:sz w:val="18"/>
                <w:szCs w:val="18"/>
                <w:b w:val="1"/>
                <w:bCs w:val="1"/>
                <w:color w:val="auto"/>
              </w:rPr>
              <w:t>PART I</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100"/>
              <w:spacing w:after="0"/>
              <w:rPr>
                <w:sz w:val="20"/>
                <w:szCs w:val="20"/>
                <w:color w:val="auto"/>
              </w:rPr>
            </w:pPr>
            <w:r>
              <w:rPr>
                <w:rFonts w:ascii="Arial" w:cs="Arial" w:eastAsia="Arial" w:hAnsi="Arial"/>
                <w:sz w:val="18"/>
                <w:szCs w:val="18"/>
                <w:b w:val="1"/>
                <w:bCs w:val="1"/>
                <w:color w:val="auto"/>
              </w:rPr>
              <w:t>CONDENSED CONSOLIDATED FINANCIAL STATEMENTS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8"/>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XYLEM INC. AND SUBSIDIARIES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CONDENSED CONSOLIDATED INCOME STATEMENTS (Unaudited)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1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99"/>
        </w:trPr>
        <w:tc>
          <w:tcPr>
            <w:tcW w:w="8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23"/>
        </w:trPr>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7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180" w:type="dxa"/>
            <w:vAlign w:val="bottom"/>
          </w:tcPr>
          <w:p>
            <w:pPr>
              <w:ind w:left="140"/>
              <w:spacing w:after="0" w:line="196" w:lineRule="exact"/>
              <w:rPr>
                <w:sz w:val="20"/>
                <w:szCs w:val="20"/>
                <w:color w:val="auto"/>
              </w:rPr>
            </w:pPr>
            <w:r>
              <w:rPr>
                <w:rFonts w:ascii="Arial" w:cs="Arial" w:eastAsia="Arial" w:hAnsi="Arial"/>
                <w:sz w:val="18"/>
                <w:szCs w:val="18"/>
                <w:color w:val="auto"/>
              </w:rPr>
              <w:t>Net income</w:t>
            </w:r>
          </w:p>
        </w:tc>
        <w:tc>
          <w:tcPr>
            <w:tcW w:w="70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1180" w:type="dxa"/>
            <w:vAlign w:val="bottom"/>
          </w:tcPr>
          <w:p>
            <w:pPr>
              <w:ind w:left="360"/>
              <w:spacing w:after="0"/>
              <w:rPr>
                <w:sz w:val="20"/>
                <w:szCs w:val="20"/>
                <w:color w:val="auto"/>
              </w:rPr>
            </w:pPr>
            <w:r>
              <w:rPr>
                <w:rFonts w:ascii="Arial" w:cs="Arial" w:eastAsia="Arial" w:hAnsi="Arial"/>
                <w:sz w:val="18"/>
                <w:szCs w:val="18"/>
                <w:color w:val="auto"/>
              </w:rPr>
              <w:t>Basic</w:t>
            </w:r>
          </w:p>
        </w:tc>
        <w:tc>
          <w:tcPr>
            <w:tcW w:w="70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7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39"/>
        </w:trPr>
        <w:tc>
          <w:tcPr>
            <w:tcW w:w="1180" w:type="dxa"/>
            <w:vAlign w:val="bottom"/>
          </w:tcPr>
          <w:p>
            <w:pPr>
              <w:ind w:left="360"/>
              <w:spacing w:after="0"/>
              <w:rPr>
                <w:sz w:val="20"/>
                <w:szCs w:val="20"/>
                <w:color w:val="auto"/>
              </w:rPr>
            </w:pPr>
            <w:r>
              <w:rPr>
                <w:rFonts w:ascii="Arial" w:cs="Arial" w:eastAsia="Arial" w:hAnsi="Arial"/>
                <w:sz w:val="18"/>
                <w:szCs w:val="18"/>
                <w:color w:val="auto"/>
              </w:rPr>
              <w:t>Diluted</w:t>
            </w:r>
          </w:p>
        </w:tc>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181.3</w:t>
            </w: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76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Amount of (gain) loss reclassified into net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net actuarial loss into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related to items of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tcBorders>
              <w:top w:val="single" w:sz="8" w:color="CCEEFF"/>
              <w:bottom w:val="single" w:sz="8" w:color="CCEEFF"/>
            </w:tcBorders>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Xylem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2"/>
        </w:trPr>
        <w:tc>
          <w:tcPr>
            <w:tcW w:w="75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$38 and $46 in</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40" w:type="dxa"/>
            <w:vAlign w:val="bottom"/>
          </w:tcPr>
          <w:p>
            <w:pPr>
              <w:ind w:left="360"/>
              <w:spacing w:after="0"/>
              <w:rPr>
                <w:sz w:val="20"/>
                <w:szCs w:val="20"/>
                <w:color w:val="auto"/>
              </w:rPr>
            </w:pPr>
            <w:r>
              <w:rPr>
                <w:rFonts w:ascii="Arial" w:cs="Arial" w:eastAsia="Arial" w:hAnsi="Arial"/>
                <w:sz w:val="18"/>
                <w:szCs w:val="18"/>
                <w:color w:val="auto"/>
              </w:rPr>
              <w:t>2021 and 2020, respectively</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0"/>
        </w:trPr>
        <w:tc>
          <w:tcPr>
            <w:tcW w:w="7540" w:type="dxa"/>
            <w:vAlign w:val="bottom"/>
          </w:tcPr>
          <w:p>
            <w:pPr>
              <w:ind w:left="140"/>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Authorized 750.0 shares, issued 195.2 shares and 194.9 shares in 2021 and 2020,</w:t>
            </w:r>
          </w:p>
        </w:tc>
        <w:tc>
          <w:tcPr>
            <w:tcW w:w="30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Treasury stock – at cost 15.2 shares and 14.5 shares in 2021 and 2020, respectively</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used by 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Restructuring and asset impairment charges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Payments for restructuring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(net of acquisitions):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Changes in receivables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inventories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Changes in accounts payable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96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Net Cash – Operating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property, plant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Net Cash –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 issued, net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7960" w:type="dxa"/>
            <w:vAlign w:val="bottom"/>
          </w:tcPr>
          <w:p>
            <w:pPr>
              <w:ind w:left="160"/>
              <w:spacing w:after="0"/>
              <w:rPr>
                <w:sz w:val="20"/>
                <w:szCs w:val="20"/>
                <w:color w:val="auto"/>
              </w:rPr>
            </w:pPr>
            <w:r>
              <w:rPr>
                <w:rFonts w:ascii="Arial" w:cs="Arial" w:eastAsia="Arial" w:hAnsi="Arial"/>
                <w:sz w:val="18"/>
                <w:szCs w:val="18"/>
                <w:color w:val="auto"/>
              </w:rPr>
              <w:t>Short-term debt repaid</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Proceeds from exercise of employee stock options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96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Net Cash – 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9"/>
        </w:trPr>
        <w:tc>
          <w:tcPr>
            <w:tcW w:w="7960" w:type="dxa"/>
            <w:vAlign w:val="bottom"/>
          </w:tcPr>
          <w:p>
            <w:pPr>
              <w:ind w:left="560"/>
              <w:spacing w:after="0"/>
              <w:rPr>
                <w:sz w:val="20"/>
                <w:szCs w:val="20"/>
                <w:color w:val="auto"/>
              </w:rPr>
            </w:pPr>
            <w:r>
              <w:rPr>
                <w:rFonts w:ascii="Arial" w:cs="Arial" w:eastAsia="Arial" w:hAnsi="Arial"/>
                <w:sz w:val="18"/>
                <w:szCs w:val="18"/>
                <w:color w:val="auto"/>
              </w:rPr>
              <w:t>Income taxes (net of refunds received)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17, "Segment Information", to the condensed consolidated financial statements for further segment background information.</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2020 ("2020 Annual Report") in preparing these unaudited condensed consolidated financial statements. These condensed consolidated financial statements should be read in conjunction with the audited consolidated financial statements and the notes included in our 2020 Annual Report.</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the novel coronavirus ("COVID-19") disease in March 2020, declared a pandemic by the World Health Organization, has created significant global volatility, uncertainty and economic disruption. The COVID-19 pandemic also has caused increased uncertainty in estimates and assumptions affecting the condensed consolidated financial statements. Actual results could differ from these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8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reflects revenue from contracts with customers by application. The table below also reflects updates to the aggregation of applications to simplify and focus presentation.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8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Commercial Building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Building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Industrial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8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84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t>The following table reflects revenue from contracts with customers by geographical region. The presentation of geographic regions below has been updated to better align to how management currently focuses on revenue and growth platforms by geographic region. There has been no change to the Company's reportable segments.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8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4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660" w:right="140" w:hanging="328"/>
        <w:spacing w:after="0" w:line="258" w:lineRule="auto"/>
        <w:tabs>
          <w:tab w:leader="none" w:pos="647" w:val="left"/>
        </w:tabs>
        <w:numPr>
          <w:ilvl w:val="0"/>
          <w:numId w:val="3"/>
        </w:numPr>
        <w:rPr>
          <w:rFonts w:ascii="Arial" w:cs="Arial" w:eastAsia="Arial" w:hAnsi="Arial"/>
          <w:sz w:val="14"/>
          <w:szCs w:val="14"/>
          <w:color w:val="auto"/>
        </w:rPr>
      </w:pPr>
      <w:r>
        <w:rPr>
          <w:rFonts w:ascii="Arial" w:cs="Arial" w:eastAsia="Arial" w:hAnsi="Arial"/>
          <w:sz w:val="14"/>
          <w:szCs w:val="14"/>
          <w:color w:val="auto"/>
        </w:rPr>
        <w:t>Emerging Markets revenue includes results from the following regions: Eastern Europe, the Middle East and Africa, Latin America and Asia Pacific (excluding Japan, Australia and New Zealand, which are presented in "Other")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2021</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March 31, 2021, the aggregate amount of the transaction price allocated to performance obligations that are unsatisfied or partially unsatisfied for contracts with performance obligations, amount to $428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Asset Impairment Charges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ourselves. During the three months ended March 31, 2021, we recognized restructuring charges of $5 million, of which $4 million relates to actions previously announced in 2020. These charges included reduction of headcount across all segments and asset impairments within our Measurement &amp; Control Solutions segment. During the three months ended March 31, 2020, we recognized restructuring charges of $2 million.</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in June 2020 management committed to a restructuring plan that includes actions across our businesses and functions globally. The plan is designed to support our long-term financial resilience and simplify our operations, strengthen our competitive positioning and better serve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2020</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0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charges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50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50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March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9"/>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01" w:lineRule="exact"/>
        <w:rPr>
          <w:sz w:val="20"/>
          <w:szCs w:val="20"/>
          <w:color w:val="auto"/>
        </w:rPr>
      </w:pPr>
    </w:p>
    <w:p>
      <w:pPr>
        <w:ind w:left="340" w:right="2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expected restructuring spend in 2021 and thereafter: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2021.</w:t>
      </w:r>
    </w:p>
    <w:p>
      <w:pPr>
        <w:spacing w:after="0" w:line="9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Water Infrastructure actions commenced in 2021 consist primarily of severance charges. These actions are expected to continue through the third quarter of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income tax provision for the three months ended March 31, 2021 was $ 27 million resulting in an effective tax rate of 23.3%, compared to a $4 million expense resulting in an effective tax rate of 10.0% for the same period in 2020. The effective tax rate for the three month period ended March 31, 2021 was higher than the U.S. federal statutory rate primarily due to tax settlements and the Global Intangible Low Taxed Income ("GILTI") inclusion, partially offset by favorable earnings mix. Additionally, the effective tax rate for the three month period ended March 31, 2021 differs from the same period in 2020 due to the impact of the tax settlements in the current period, partially offset by the benefit from favorable equity compensation deductions in the prior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recognize tax benefits from uncertain tax positions only if it is more likely than not that a tax position will be sustained on examination by taxing authorities or upon completion of the litigation process, based on the technical merits of the position. The tax benefits recognized in the condensed consolidated financial statements from such positions are measured based on the largest benefit that has a greater than 50% likelihood of being realized upon ultimate resolution. The amount of unrecognized tax benefits at March 31, 2021 was $113 million, as compared to $114 million at December 31, 2020, which if ultimately recognized will reduce our effective tax rate. We do not believe it is reasonably possible that the unrecognized tax benefits will significantly change within the next twelve months. We classify interest expense relating to unrecognized tax benefits as a component of "Other non-operating (expense) income, net" and tax penalties as a component of "Income tax expense" in our Condensed Consolidated Income Statements. As of March 31, 2021, we had $8 million of interest accrued for unrecognized tax benefits.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As of March 31, 2021, we have not recorded any unrecognized tax benefits related to this uncertain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83"/>
        </w:trPr>
        <w:tc>
          <w:tcPr>
            <w:tcW w:w="86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r>
      <w:tr>
        <w:trPr>
          <w:trHeight w:val="223"/>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866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180,154</w:t>
            </w:r>
          </w:p>
        </w:tc>
      </w:tr>
      <w:tr>
        <w:trPr>
          <w:trHeight w:val="230"/>
        </w:trPr>
        <w:tc>
          <w:tcPr>
            <w:tcW w:w="8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180,179</w:t>
            </w: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8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181,294</w:t>
            </w:r>
          </w:p>
        </w:tc>
      </w:tr>
      <w:tr>
        <w:trPr>
          <w:trHeight w:val="223"/>
        </w:trPr>
        <w:tc>
          <w:tcPr>
            <w:tcW w:w="866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bl>
    <w:p>
      <w:pPr>
        <w:spacing w:after="0" w:line="164" w:lineRule="exact"/>
        <w:rPr>
          <w:sz w:val="20"/>
          <w:szCs w:val="20"/>
          <w:color w:val="auto"/>
        </w:rPr>
      </w:pPr>
    </w:p>
    <w:p>
      <w:pPr>
        <w:ind w:left="340" w:right="50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shareholders are considered participating securities for purposes of computing earnings per share.</w:t>
      </w:r>
    </w:p>
    <w:p>
      <w:pPr>
        <w:spacing w:after="0" w:line="87" w:lineRule="exact"/>
        <w:rPr>
          <w:rFonts w:ascii="Arial" w:cs="Arial" w:eastAsia="Arial" w:hAnsi="Arial"/>
          <w:sz w:val="16"/>
          <w:szCs w:val="16"/>
          <w:color w:val="auto"/>
        </w:rPr>
      </w:pPr>
    </w:p>
    <w:p>
      <w:pPr>
        <w:ind w:left="340" w:right="40" w:hanging="332"/>
        <w:spacing w:after="0" w:line="248"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13, "Share-Based Compensation Plans", to the condensed consolidated financial statements for further detail on the performance share units.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95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options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Arial" w:cs="Arial" w:eastAsia="Arial" w:hAnsi="Arial"/>
                <w:sz w:val="16"/>
                <w:szCs w:val="16"/>
                <w:color w:val="auto"/>
              </w:rPr>
              <w:t>Restricted stock units</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 share units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675"/>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6. Inventories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180" w:type="dxa"/>
            <w:vAlign w:val="bottom"/>
            <w:tcBorders>
              <w:bottom w:val="single" w:sz="8" w:color="CCEEFF"/>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three months ended March 31, 2021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80" w:type="dxa"/>
            <w:vAlign w:val="bottom"/>
          </w:tcPr>
          <w:p>
            <w:pPr>
              <w:spacing w:after="0"/>
              <w:rPr>
                <w:sz w:val="14"/>
                <w:szCs w:val="1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as of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i w:val="1"/>
                <w:iCs w:val="1"/>
                <w:color w:val="auto"/>
              </w:rPr>
              <w:t>Activity in 2021</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Balance as of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goodwill included accumulated impairment loss of $206 million within the Measurement &amp; Control Solutions segment.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5"/>
        </w:trPr>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5"/>
                <w:szCs w:val="15"/>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8"/>
        </w:trPr>
        <w:tc>
          <w:tcPr>
            <w:tcW w:w="30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939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Amortization expense related to finite-lived intangible assets was $32 million and $35 million for the three month periods ended March 31, 2021 and 2020,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$400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8"/>
          <w:szCs w:val="18"/>
          <w:color w:val="auto"/>
        </w:rPr>
        <w:t>$0 million as of March 31, 2021 and December 31, 2020, respectively. As of March 31, 2021, our most significant foreign currency derivatives included contracts to sell U.S. Dollar and purchase Euro, purchase Swedish Krona and sell Euro, sell British Pound and purchase Euro, purchase Polish Zloty and sell Euro, purchase U.S. Dollar and sell Canadian Dollar, and to sell Canadian Dollar and purchase Euro. The purchased notional amounts associated with these currency derivatives are $144 million, $131 million, $54 million, $21 million, $19 million and $17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1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Beginning in 2015, we entered into cross 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$1,196 million and $1,249 million as of March 31, 2021 and December 31, 2020,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$585 million and $610 million as of March 31, 2021 and December 31, 2020, respectively, net of unamortized discount, as a hedge of a net investment in certain foreign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2020</w:t>
            </w: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reclassified from OCI into cost of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520" w:type="dxa"/>
            <w:vAlign w:val="bottom"/>
          </w:tcPr>
          <w:p>
            <w:pPr>
              <w:ind w:left="140"/>
              <w:spacing w:after="0"/>
              <w:rPr>
                <w:sz w:val="20"/>
                <w:szCs w:val="20"/>
                <w:color w:val="auto"/>
              </w:rPr>
            </w:pPr>
            <w:r>
              <w:rPr>
                <w:rFonts w:ascii="Arial" w:cs="Arial" w:eastAsia="Arial" w:hAnsi="Arial"/>
                <w:sz w:val="18"/>
                <w:szCs w:val="18"/>
                <w:b w:val="1"/>
                <w:bCs w:val="1"/>
                <w:color w:val="auto"/>
              </w:rPr>
              <w:t>Cross Currency Swaps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9"/>
        </w:trPr>
        <w:tc>
          <w:tcPr>
            <w:tcW w:w="8520" w:type="dxa"/>
            <w:vAlign w:val="bottom"/>
          </w:tcPr>
          <w:p>
            <w:pPr>
              <w:ind w:left="220"/>
              <w:spacing w:after="0"/>
              <w:rPr>
                <w:sz w:val="20"/>
                <w:szCs w:val="20"/>
                <w:color w:val="auto"/>
              </w:rPr>
            </w:pPr>
            <w:r>
              <w:rPr>
                <w:rFonts w:ascii="Arial" w:cs="Arial" w:eastAsia="Arial" w:hAnsi="Arial"/>
                <w:sz w:val="18"/>
                <w:szCs w:val="18"/>
                <w:color w:val="auto"/>
              </w:rPr>
              <w:t>Amount of gain recognized in OCI</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$11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no gains or losses on the net investment hedges are expected to be reclassified into earnings over their duration.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80" w:type="dxa"/>
            <w:vAlign w:val="bottom"/>
          </w:tcPr>
          <w:p>
            <w:pPr>
              <w:jc w:val="center"/>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77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$610 million and $640 million as of March 31, 2021 and December 31, 2020,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18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3"/>
              </w:rPr>
              <w:t>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Credit Facilities and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4.875% Senior Notes due 2021 (a)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2.250% Senior Notes due 2023 (a)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(b)</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(b)</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(c)</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40" w:hanging="332"/>
        <w:spacing w:after="0" w:line="250"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$613 million and $620 million as of March 31, 2021 and December 31, 2020, respectively. The fair value of our Senior Notes due 2023 was $610 million and $640 million as of March 31, 2021 and December 31, 2020, respectively. The fair value of our Senior Notes due 2026 was $542 million and $563 million as of March 31, 2021 and December 31, 2020 respectively. The fair value of our Senior Notes due 2046 was $455 million and $496 million as of March 31, 2021 and December 31, 2020, respectively.</w:t>
      </w:r>
    </w:p>
    <w:p>
      <w:pPr>
        <w:spacing w:after="0" w:line="94" w:lineRule="exact"/>
        <w:rPr>
          <w:rFonts w:ascii="Arial" w:cs="Arial" w:eastAsia="Arial" w:hAnsi="Arial"/>
          <w:sz w:val="16"/>
          <w:szCs w:val="16"/>
          <w:color w:val="auto"/>
        </w:rPr>
      </w:pPr>
    </w:p>
    <w:p>
      <w:pPr>
        <w:ind w:left="340" w:right="280" w:hanging="332"/>
        <w:spacing w:after="0" w:line="253"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2028 was $500 million and $529 million as of March 31, 2021 and December 31, 2020, respectively. The fair value of our Senior Notes due 2031 was $491 million and $527 million as of March 31, 2021 and December 31, 2020, respectively.</w:t>
      </w:r>
    </w:p>
    <w:p>
      <w:pPr>
        <w:spacing w:after="0" w:line="93" w:lineRule="exact"/>
        <w:rPr>
          <w:rFonts w:ascii="Arial" w:cs="Arial" w:eastAsia="Arial" w:hAnsi="Arial"/>
          <w:sz w:val="16"/>
          <w:szCs w:val="16"/>
          <w:color w:val="auto"/>
        </w:rPr>
      </w:pPr>
    </w:p>
    <w:p>
      <w:pPr>
        <w:ind w:left="340" w:right="480" w:hanging="332"/>
        <w:spacing w:after="0" w:line="25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9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90"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Interest on the Green Bond is payable on January 30 and July 30 of each year. As of March 31, 2021, we are in compliance with all covenants for the Green Bond.</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9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100"/>
        <w:spacing w:after="0" w:line="254" w:lineRule="auto"/>
        <w:rPr>
          <w:sz w:val="20"/>
          <w:szCs w:val="20"/>
          <w:color w:val="auto"/>
        </w:rPr>
      </w:pPr>
      <w:r>
        <w:rPr>
          <w:rFonts w:ascii="Arial" w:cs="Arial" w:eastAsia="Arial" w:hAnsi="Arial"/>
          <w:sz w:val="18"/>
          <w:szCs w:val="18"/>
          <w:color w:val="auto"/>
        </w:rPr>
        <w:t>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March 31, 2021, we are in compliance with all covenants for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1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22, 2020, Xylem entered into Amendment No. 1 to the 2019 Credit Facility (the "Amendment") which modified the financial covenant from a test based on the maximum leverage ratio (defined as consolidated total debt to consolidated EBITDA) to a test based on the net leverage ratio (defined as consolidated total debt less unrestricted cash and cash equivalents to consolidated EBITDA). This modification is effective through the quarter ending September 30, 2021, after which the covenant will revert back to the prior maximum leverage ratio test. The Amendment also restricts stock repurchases until March 31, 2021, except for shares of common stock in an amount not to exceed the number of shares issued after the date of the Amendment, subject to customary exceptions. As of March 31, 2021, the 2019 Credit Facility was undrawn and we are in compliance with all revolver covenants.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March 31, 2021 and December 31, 2020, none of the Company's $600 million U.S. Dollar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9" w:name="page20"/>
    <w:bookmarkEnd w:id="19"/>
    <w:p>
      <w:pPr>
        <w:ind w:right="1740"/>
        <w:spacing w:after="0" w:line="375" w:lineRule="auto"/>
        <w:rPr>
          <w:sz w:val="20"/>
          <w:szCs w:val="20"/>
          <w:color w:val="auto"/>
        </w:rPr>
      </w:pPr>
      <w:r>
        <w:rPr>
          <w:rFonts w:ascii="Arial" w:cs="Arial" w:eastAsia="Arial" w:hAnsi="Arial"/>
          <w:sz w:val="18"/>
          <w:szCs w:val="18"/>
          <w:color w:val="auto"/>
        </w:rPr>
        <w:t xml:space="preserve">program was outstanding. We have the ability to continue borrowing under this program going forward in future periods. </w:t>
      </w:r>
      <w:r>
        <w:rPr>
          <w:rFonts w:ascii="Arial" w:cs="Arial" w:eastAsia="Arial" w:hAnsi="Arial"/>
          <w:sz w:val="18"/>
          <w:szCs w:val="18"/>
          <w:i w:val="1"/>
          <w:iCs w:val="1"/>
          <w:color w:val="auto"/>
        </w:rPr>
        <w:t>Euro Commercial Paper Program</w:t>
      </w:r>
    </w:p>
    <w:p>
      <w:pPr>
        <w:spacing w:after="0" w:line="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$587 million) which may be denominated in a variety of currencies. The maximum issuing balance may be increased in accordance with the Dealer Agreement. As of March 31, 2021 and December 31, 2020,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Post-retirement Benefit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2020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center"/>
              <w:ind w:left="83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9"/>
              </w:rPr>
              <w:t>1</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9"/>
                <w:szCs w:val="19"/>
                <w:color w:val="auto"/>
              </w:rPr>
            </w:pPr>
          </w:p>
        </w:tc>
        <w:tc>
          <w:tcPr>
            <w:tcW w:w="1180" w:type="dxa"/>
            <w:vAlign w:val="bottom"/>
          </w:tcPr>
          <w:p>
            <w:pPr>
              <w:jc w:val="center"/>
              <w:ind w:left="83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center"/>
              <w:ind w:left="752"/>
              <w:spacing w:after="0"/>
              <w:rPr>
                <w:sz w:val="20"/>
                <w:szCs w:val="20"/>
                <w:color w:val="auto"/>
              </w:rPr>
            </w:pPr>
            <w:r>
              <w:rPr>
                <w:rFonts w:ascii="Arial" w:cs="Arial" w:eastAsia="Arial" w:hAnsi="Arial"/>
                <w:sz w:val="18"/>
                <w:szCs w:val="18"/>
                <w:color w:val="auto"/>
                <w:w w:val="99"/>
              </w:rPr>
              <w:t>1</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94"/>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9"/>
              </w:rPr>
              <w:t>(2)</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9"/>
              </w:rPr>
              <w:t>1</w:t>
            </w:r>
          </w:p>
        </w:tc>
      </w:tr>
      <w:tr>
        <w:trPr>
          <w:trHeight w:val="223"/>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9"/>
              </w:rPr>
              <w:t>1</w:t>
            </w: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center"/>
              <w:ind w:left="834"/>
              <w:spacing w:after="0"/>
              <w:rPr>
                <w:sz w:val="20"/>
                <w:szCs w:val="20"/>
                <w:color w:val="auto"/>
              </w:rPr>
            </w:pPr>
            <w:r>
              <w:rPr>
                <w:rFonts w:ascii="Arial" w:cs="Arial" w:eastAsia="Arial" w:hAnsi="Arial"/>
                <w:sz w:val="18"/>
                <w:szCs w:val="18"/>
                <w:b w:val="1"/>
                <w:bCs w:val="1"/>
                <w:color w:val="auto"/>
                <w:w w:val="99"/>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9"/>
              </w:rPr>
              <w:t>3</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9"/>
                <w:szCs w:val="19"/>
                <w:color w:val="auto"/>
              </w:rPr>
            </w:pPr>
          </w:p>
        </w:tc>
        <w:tc>
          <w:tcPr>
            <w:tcW w:w="1180" w:type="dxa"/>
            <w:vAlign w:val="bottom"/>
          </w:tcPr>
          <w:p>
            <w:pPr>
              <w:jc w:val="center"/>
              <w:ind w:left="834"/>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center"/>
              <w:ind w:left="752"/>
              <w:spacing w:after="0"/>
              <w:rPr>
                <w:sz w:val="20"/>
                <w:szCs w:val="20"/>
                <w:color w:val="auto"/>
              </w:rPr>
            </w:pPr>
            <w:r>
              <w:rPr>
                <w:rFonts w:ascii="Arial" w:cs="Arial" w:eastAsia="Arial" w:hAnsi="Arial"/>
                <w:sz w:val="18"/>
                <w:szCs w:val="18"/>
                <w:color w:val="auto"/>
                <w:w w:val="99"/>
              </w:rPr>
              <w:t>4</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94"/>
              <w:spacing w:after="0"/>
              <w:rPr>
                <w:sz w:val="20"/>
                <w:szCs w:val="20"/>
                <w:color w:val="auto"/>
              </w:rPr>
            </w:pPr>
            <w:r>
              <w:rPr>
                <w:rFonts w:ascii="Arial" w:cs="Arial" w:eastAsia="Arial" w:hAnsi="Arial"/>
                <w:sz w:val="18"/>
                <w:szCs w:val="18"/>
                <w:b w:val="1"/>
                <w:bCs w:val="1"/>
                <w:color w:val="auto"/>
                <w:w w:val="99"/>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9"/>
              </w:rPr>
              <w:t>(4)</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9"/>
              </w:rPr>
              <w:t>3</w:t>
            </w:r>
          </w:p>
        </w:tc>
      </w:tr>
      <w:tr>
        <w:trPr>
          <w:trHeight w:val="223"/>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b w:val="1"/>
                <w:bCs w:val="1"/>
                <w:color w:val="auto"/>
                <w:w w:val="99"/>
              </w:rPr>
              <w:t>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9"/>
              </w:rPr>
              <w:t>6</w:t>
            </w: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9"/>
              </w:rPr>
              <w:t>7</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net" in the Condensed Consolidated Income Statements.</w:t>
      </w:r>
    </w:p>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of less than $1 million, for the three months ended March 31, 2021 and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$6 million and $12 million to our defined benefit plans during the three months ended March 31, 2021 and 2020,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$13 million and $21 million are expected during the remainder of 2021.</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late 2021 or early 2022. Included in the Company's first quarter 2020 contributions is $5 million paid to meet the shortfall between the cost of the bulk annuity policy and the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Cumulative effect of change in</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$9 million and $8 million during the three months ended March 31, 2021 and 2020,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compensation expense related to our stock options, restricted stock units and performance share units was $10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million and $17 million, respectively, at March 31, 2021 and is expected to be recognized over a weighted average period of 2.3, 2.4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 years, respectively. The amount of cash received from the exercise of stock options was $3 million and $5 million for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three months ended March 31, 2021</w:t>
      </w:r>
      <w:r>
        <w:rPr>
          <w:rFonts w:ascii="Arial" w:cs="Arial" w:eastAsia="Arial" w:hAnsi="Arial"/>
          <w:sz w:val="16"/>
          <w:szCs w:val="16"/>
          <w:color w:val="auto"/>
        </w:rPr>
        <w:t>:</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Contractual</w:t>
            </w: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 Share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at March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Options exercisable at March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Vested and expected to vest as of March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three months ended March 31, 2021 was $2.3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2021 grants: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300" w:type="dxa"/>
            <w:vAlign w:val="bottom"/>
            <w:shd w:val="clear" w:color="auto" w:fill="CCEEFF"/>
          </w:tcPr>
          <w:p>
            <w:pPr>
              <w:spacing w:after="0"/>
              <w:rPr>
                <w:sz w:val="19"/>
                <w:szCs w:val="19"/>
                <w:color w:val="auto"/>
              </w:rPr>
            </w:pPr>
          </w:p>
        </w:tc>
      </w:tr>
    </w:tbl>
    <w:p>
      <w:pPr>
        <w:spacing w:after="0" w:line="107"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2021</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06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three months ended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The fair value of the ROIC performance share units is equal to the closing share price on the date of the grant: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34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Outstanding at March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84.55</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three months ended March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3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right="200" w:firstLine="8"/>
        <w:spacing w:after="0" w:line="260"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2021 grants: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Performance Share Unit Grants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first quarter of 2021, we issued a special grant of less than 0.1 million ESG performance share units. The shares will vest after 5 years based on our performance against certain of the Company's 2025 sustainability goals.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 Stock</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the three months ended March 31, 2021 and March 31, 2020, the Company repurchased approximately 0.7 million shares of common stock for $67 million and approximately 0.8 million shares of common stock for $60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right="60"/>
        <w:spacing w:after="0" w:line="250"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approximately</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0.6 million shares repurchased for $60 million under the program for the three months ended March 31, 2021. For the three months ended March 31, 2020, we repurchased approximately 0.7 million shares for $50 million. There are up to $228 million in shares that may still be purchased under this plan as of March 31, 2021.</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Aside from the aforementioned repurchase program, we repurchased approximately 0.1 million shares and approximately 0.1 million shares for $7 million and $10 million for the three months ended March 31, 2021 and 2020, respectively, in relation to settlement of employee tax withholding obligations due as a result of the vesting of restricted stock units.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three months ended March 31,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three months ended March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Exelis (acquired by Harris Corporation, now L3Harris Technologies, Inc.) and Xylem, ITT Corporation (now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Corporation (now ITT LLC) remains a substantial entity with sufficient financial resources to honor its obligations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See Note 4, "Income Taxes", of our condensed consolidated financial statements for a description of a pending tax litigation matter.</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$5 million and $6 million as of March 31, 2021 and December 31, 2020, respectively, for these general legal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2011 spin-off from our former parent, ITT Corporation (now ITT LLC), Exelis Inc. (acquired by Harris Corporation, now L3Harris Technologies, Inc.) and Xylem will indemnify, defend and hold harmless each of the other parties with respect to such parties’ assumed or retained liabilities under the Distribution Agreement and breaches of the Distribution Agreement or related spin agreements. ITT LLC's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5" w:name="page26"/>
    <w:bookmarkEnd w:id="25"/>
    <w:p>
      <w:pPr>
        <w:jc w:val="both"/>
        <w:ind w:right="260"/>
        <w:spacing w:after="0" w:line="256" w:lineRule="auto"/>
        <w:rPr>
          <w:sz w:val="20"/>
          <w:szCs w:val="20"/>
          <w:color w:val="auto"/>
        </w:rPr>
      </w:pPr>
      <w:r>
        <w:rPr>
          <w:rFonts w:ascii="Arial" w:cs="Arial" w:eastAsia="Arial" w:hAnsi="Arial"/>
          <w:sz w:val="18"/>
          <w:szCs w:val="18"/>
          <w:color w:val="auto"/>
        </w:rPr>
        <w:t>indemnification 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March 31, 2021 and December 31, 2020, the amount of surety bonds, bank guarantees, insurance letters of credit and stand-by letters of credit was $392 million and $378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as of March 31, 2021 and December 31, 2020 for environmental matters.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 and specific non-performance. The table below provides changes in the combined current and non-current product warranty accruals over each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17. Segment Information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has three reportable segments: Water Infrastructure, Applied Water and Measurement &amp; Control Solutions.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7" w:name="page28"/>
    <w:bookmarkEnd w:id="27"/>
    <w:p>
      <w:pPr>
        <w:ind w:right="24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in the 2020 Annual Report). The following table contains financial information for each reportable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non-operating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(b)</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40" w:right="80" w:hanging="332"/>
        <w:spacing w:after="0" w:line="253"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8" w:name="page29"/>
    <w:bookmarkEnd w:id="28"/>
    <w:p>
      <w:pPr>
        <w:ind w:left="1560" w:right="1620" w:hanging="1538"/>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“project,”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or address possible or future results of operations or financial performance, including statements relating to orders, revenues, operating margins and earnings per share growth.</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Additionally, many of these risks and uncertainties are, and may continue to be, amplified by the coronavirus (“COVID-19”) pandemic. Important factors that could cause our actual results, performance and achievements, or industry results to differ materially from estimates or projections contained in or implied by our forward-looking statements include, among others, the following: overall industry and economic conditions, including industrial, governmental and private sector spending and the strength of the residential and commercial real estate markets; geopolitical, regulatory, economic and other risks associated with international operations; continued uncertainty around the COVID-19 pandemic’s magnitude, duration and impacts on our business, operations, growth, and financial condition, as well as uncertainty around approved vaccines and the pace of recovery when the pandemic subsides; actual or potential other epidemics, pandemics or global health crises; manufacturing and operating cost increases due to inflation, prevailing price changes, tariffs and other factors; fluctuations in foreign currency exchange rates; disruption, competition and pricing pressures in the markets we serve; cybersecurity incidents or other disruptions of information technology systems on which we rely, or involving our products; disruptions in operations at our facilities or that of third parties upon which we rely; availability of products, parts, electronic components and raw materials from our supply chain; availability, regulation and interference with radio spectrum used by some of our products; our ability to retain and attract senior management and other key talent; uncertainty related to restructuring and realignment actions and related charges and savings; our ability to continue strategic investments for growth; our ability to successfully identify, execute and integrate acquisitions; risks relating to products, including defects, security, warranty and liability claims, and recalls; difficulty predicting our financial results, including uncertainties due to the nature of our short- and long-cycle businesses; volatility in our results due to weather conditions; our ability to borrow or refinance our existing indebtedness and the availability of liquidity sufficient to meet our needs; risk of future impairments to goodwill and other intangible assets; failure to comply with, or change in, laws or regulations, including those pertaining to anti-corruption, data privacy and security, export and import, competition, and the environment and climate change; changes in our effective tax rates or tax expenses; legal, governmental or regulatory claims, investigations or proceedings and associated contingent liabilities; and other factors set forth under “Item 1A. Risk Factors” in our Annual Report on Form 10-K for the year ended December 31, 2020 ("2020 Annual Report") and in subsequent filings we make with the Securities and Exchange Commission (“SEC”).</w:t>
      </w:r>
    </w:p>
    <w:p>
      <w:pPr>
        <w:spacing w:after="0" w:line="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the pandemic from those more broadly influenced by ongoing macroeconomic, market and industry dynamics that may be, to varying degrees, related to the pandemic and its consequences.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COVID-19 pandemic as well as broader market dynamics have adversely affected, and are expected to continue to adversely affect, our supply chains. We have experienced shortages in the supply of components, parts and raw materials, as well as unpredictable interruptions with our external suppliers in 2021 that have led to increased logistics costs. We continue to enhance our supplier pulsing and redundancy to help mitigate these challenges. Additionally, we have in the past and may continue to take measures with respect to buffer stock or use of alternative suppliers to mitigate the impacts of freight and logistics delays and bolster our access to raw materials and components. If these shortages and interruptions are sustained, or if additional interruptions occur, they could have a negative impact on our results of operations. Our current overall operating capacity approximates normal levels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both"/>
        <w:ind w:right="100"/>
        <w:spacing w:after="0" w:line="256" w:lineRule="auto"/>
        <w:rPr>
          <w:sz w:val="20"/>
          <w:szCs w:val="20"/>
          <w:color w:val="auto"/>
        </w:rPr>
      </w:pPr>
      <w:r>
        <w:rPr>
          <w:rFonts w:ascii="Arial" w:cs="Arial" w:eastAsia="Arial" w:hAnsi="Arial"/>
          <w:sz w:val="18"/>
          <w:szCs w:val="18"/>
          <w:color w:val="auto"/>
        </w:rPr>
        <w:t>Xylem Watermark, our corporate social responsibility program, continues to support our communities in addressing the challenges posed by this global pandemic through its partnership with Americares and UNICEF, as well as the Partner Community Grants program and matching donations program for employees and partners, and other philanthropic commitments.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Xylem continues to focus on the health and safety of our employees, working with our customers to help them minimize potential disruptions and positively impact our communities. Our support pay program for employees impacted by COVID-19 remains in place and is evaluated for continuation, as necessary.</w:t>
      </w:r>
    </w:p>
    <w:p>
      <w:pPr>
        <w:spacing w:after="0" w:line="9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Many of our offices globally remain in a substantially remote work from home status and our COVID-19 Response Team applies a set of Xylem "Return to Workplace" health and safety guidelines for remote workers to return to our facilities.</w:t>
      </w:r>
    </w:p>
    <w:p>
      <w:pPr>
        <w:spacing w:after="0" w:line="90"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We continue to assess the evolving nature of the pandemic and its possible implications to our business, employees, supply chain, customers and communities, and to take actions in an effort to mitigate adverse consequences.</w:t>
      </w:r>
    </w:p>
    <w:p>
      <w:pPr>
        <w:spacing w:after="0" w:line="9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Risk related to the impact of COVID-19 as well as our supply chain are described in further detail under "Item 1A. Risk Factors" in the Company's 2020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Xylem reported revenue for the first quarter of 2021 of $ 1,256 million, an increase of 11.8% compared to $1,123 million reported in the first quarter of 2020. On a constant currency basis, revenue increased by $89 million, or 7.9%, driven by organic revenue growth in all end markets.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income of $133 million (margin of 10.6%) during the first quarter of 2021, as compared to $61 million (margin of</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5.4%) in 2020. Operating income in the first quarter of 2021 included an unfavorable impact from special charges incurred during the quarter of $2 million, partially offset by a decrease in restructuring and realignment costs of $1 million as compared to the first quarter of 2020. Excluding the impact of these items, adjusted operating income was $143 million (adjusted margin of 11.4%) during the first quarter of 2021 as compared to $70 million (adjusted margin of 6.2%) in 2020. The increase in adjusted operating margin was primarily due to cost reductions from our productivity, restructuring and other cost saving initiatives, favorable volume, impacted by COVID-19 recovery, and decreased quality management costs. These impacts were partially offset by cost inflation, increased spending on strategic investments, unfavorable mix and other lesser impacts.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March 31, 2021 include the following:</w:t>
      </w:r>
    </w:p>
    <w:p>
      <w:pPr>
        <w:spacing w:after="0" w:line="11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Orders of $1,538 million, up 22.0% from $1,261 million in the prior year, and up 18.6% on an organic basis across all segments.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 of $0.48, up 128.6% when compared to the prior year ($0.56, up 143.5% on an adjusted basis).</w:t>
      </w:r>
    </w:p>
    <w:p>
      <w:pPr>
        <w:spacing w:after="0" w:line="117"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margin of 17.1%, up 480 basis points compared to 12.3% in the prior year (Net Income as a percent of revenue of 6.9%, up 350 basis points compared to 3.4% in the prior year)</w:t>
      </w:r>
    </w:p>
    <w:p>
      <w:pPr>
        <w:spacing w:after="0" w:line="89"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flow used by operating activities of $26 million for the three months ended March 31, 2021, an increase of $24 million from cash used in the prior year. Negative free cash flow of $65 million, down $12 million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the non-GAAP measures we consider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102" w:lineRule="exact"/>
        <w:rPr>
          <w:sz w:val="20"/>
          <w:szCs w:val="20"/>
          <w:color w:val="auto"/>
        </w:rPr>
      </w:pPr>
    </w:p>
    <w:p>
      <w:pPr>
        <w:ind w:left="660" w:right="20" w:hanging="328"/>
        <w:spacing w:after="0" w:line="25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7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5"/>
                <w:szCs w:val="15"/>
                <w:color w:val="auto"/>
              </w:rPr>
            </w:pPr>
          </w:p>
        </w:tc>
      </w:tr>
      <w:tr>
        <w:trPr>
          <w:trHeight w:val="223"/>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Restructuring and realignment, net of tax of $2 and $2</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 net of tax of $0 and $0</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Tax-related special items</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48"/>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restructuring and realignment costs and special charges.</w:t>
      </w:r>
    </w:p>
    <w:p>
      <w:pPr>
        <w:spacing w:after="0" w:line="89"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89" w:lineRule="exact"/>
        <w:rPr>
          <w:rFonts w:ascii="Arial" w:cs="Arial" w:eastAsia="Arial" w:hAnsi="Arial"/>
          <w:sz w:val="18"/>
          <w:szCs w:val="18"/>
          <w:color w:val="auto"/>
        </w:rPr>
      </w:pPr>
    </w:p>
    <w:p>
      <w:pPr>
        <w:ind w:left="660" w:right="260" w:hanging="328"/>
        <w:spacing w:after="0" w:line="25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8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r>
      <w:tr>
        <w:trPr>
          <w:trHeight w:val="223"/>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r>
      <w:tr>
        <w:trPr>
          <w:trHeight w:val="229"/>
        </w:trPr>
        <w:tc>
          <w:tcPr>
            <w:tcW w:w="81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w:t>
            </w: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r>
      <w:tr>
        <w:trPr>
          <w:trHeight w:val="223"/>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195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120</w:t>
            </w:r>
          </w:p>
        </w:tc>
      </w:tr>
      <w:tr>
        <w:trPr>
          <w:trHeight w:val="223"/>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EBITDA Margin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15.5 %</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23"/>
        </w:trPr>
        <w:tc>
          <w:tcPr>
            <w:tcW w:w="812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r>
      <w:tr>
        <w:trPr>
          <w:trHeight w:val="229"/>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realignment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r>
      <w:tr>
        <w:trPr>
          <w:trHeight w:val="230"/>
        </w:trPr>
        <w:tc>
          <w:tcPr>
            <w:tcW w:w="8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Special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w:t>
            </w:r>
          </w:p>
        </w:tc>
      </w:tr>
      <w:tr>
        <w:trPr>
          <w:trHeight w:val="223"/>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215</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138</w:t>
            </w:r>
          </w:p>
        </w:tc>
      </w:tr>
      <w:tr>
        <w:trPr>
          <w:trHeight w:val="223"/>
        </w:trPr>
        <w:tc>
          <w:tcPr>
            <w:tcW w:w="8120" w:type="dxa"/>
            <w:vAlign w:val="bottom"/>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17.1 %</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12.3 %</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660" w:right="3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pension costs.</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103" w:lineRule="exact"/>
        <w:rPr>
          <w:rFonts w:ascii="Arial" w:cs="Arial" w:eastAsia="Arial" w:hAnsi="Arial"/>
          <w:sz w:val="18"/>
          <w:szCs w:val="18"/>
          <w:color w:val="auto"/>
        </w:rPr>
      </w:pPr>
    </w:p>
    <w:p>
      <w:pPr>
        <w:ind w:left="660" w:right="120" w:hanging="328"/>
        <w:spacing w:after="0" w:line="242"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by investing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vMerge w:val="continue"/>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2021 Outlook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total revenue growth in the range of 8% to 10% in 2021, with organic revenue growth anticipated to be in the range of 5%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The following is a summary of our organic revenue outlook by end markets:</w:t>
      </w:r>
    </w:p>
    <w:p>
      <w:pPr>
        <w:spacing w:after="0" w:line="117" w:lineRule="exact"/>
        <w:rPr>
          <w:sz w:val="20"/>
          <w:szCs w:val="20"/>
          <w:color w:val="auto"/>
        </w:rPr>
      </w:pPr>
    </w:p>
    <w:p>
      <w:pPr>
        <w:ind w:left="660" w:right="2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Utilities revenue increased by approximately 3% organically in the first quarter driven by strength in Asia Pacific, western Europe and the Middle East, partially offset by weakness in North America. For 2021, we expect organic revenue growth in the mid to high-single-digit range with continued resilience on the wastewater side, as utilities remain focused on mission-critical applications and anticipate modest growth on a global basis through the year. Additionally, we expect that large clean water utility project deployments will be ramping up beginning in the second quarter and increasing throughout the end of the year. We expect to gain momentum behind key multi-year wins setting up healthy longer term growth and will be monitoring the global shortage of electronic components as the year progresses.</w:t>
      </w:r>
    </w:p>
    <w:p>
      <w:pPr>
        <w:spacing w:after="0" w:line="98" w:lineRule="exact"/>
        <w:rPr>
          <w:rFonts w:ascii="Arial" w:cs="Arial" w:eastAsia="Arial" w:hAnsi="Arial"/>
          <w:sz w:val="18"/>
          <w:szCs w:val="18"/>
          <w:color w:val="auto"/>
        </w:rPr>
      </w:pPr>
    </w:p>
    <w:p>
      <w:pPr>
        <w:ind w:left="660" w:right="8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Industrial revenue increased by approximately 14% organically in the first quarter driven by strength across all major geographic regions. For 2021, we expect organic revenue growth in the mid-single-digit range as activity across all segments rebound globally and our dewatering business in North America begins to recover as demand increases and site access restrictions continue to ease. We anticipate strong growth in the emerging markets and Europe during the first half of the year with North America lagging and tougher compares in the second half of the year.</w:t>
      </w:r>
    </w:p>
    <w:p>
      <w:pPr>
        <w:spacing w:after="0" w:line="97"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commercial markets, organic revenue growth was approximately 5% in the first quarter driven by strength in western Europe, Asia Pacific and the Middle East, partially offset by weakness in the U.S. and Latin America. For 2021, we expect organic revenue growth in the low-single-digit range. We expect replacement business in the U.S. to be relatively stable during the year and anticipate continued healthy activity in Europe. We expect new construction activity in North America to be soft, however we are optimistic that conditions will begin to recover late in the year.</w:t>
      </w:r>
    </w:p>
    <w:p>
      <w:pPr>
        <w:spacing w:after="0" w:line="97"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residential markets, organic revenue growth was approximately 31% in the first quarter driven by strength in Asia Pacific, North America and western Europe. This market is primarily driven by replacement revenue serviced through our distribution network. For 2021, we expect organic revenue growth in the high-single-digit to low-double-digit range, driven by healthy demand activity from increased residential users in the U.S. and Europe. Additionally, we anticipate strong demand in China for secondary water supply product applications.</w:t>
      </w:r>
    </w:p>
    <w:p>
      <w:pPr>
        <w:spacing w:after="0" w:line="9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2021, we expect to incur between $50 million and $60 million in restructuring and realignment costs. We expect to realize approximately $ 40 million of net savings in 2021, consisting of approximately $35 million of incremental net savings from restructuring and realignment actions initiated in 2020, and approximately $5 million of net savings from the restructuring, realignment and other structural cost actions initiated during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9"/>
        </w:trPr>
        <w:tc>
          <w:tcPr>
            <w:tcW w:w="6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r>
      <w:tr>
        <w:trPr>
          <w:trHeight w:val="18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80" w:type="dxa"/>
            <w:vAlign w:val="bottom"/>
            <w:tcBorders>
              <w:bottom w:val="single" w:sz="8" w:color="auto"/>
            </w:tcBorders>
          </w:tcPr>
          <w:p>
            <w:pPr>
              <w:spacing w:after="0"/>
              <w:rPr>
                <w:sz w:val="15"/>
                <w:szCs w:val="15"/>
                <w:color w:val="auto"/>
              </w:rPr>
            </w:pPr>
          </w:p>
        </w:tc>
      </w:tr>
      <w:tr>
        <w:trPr>
          <w:trHeight w:val="223"/>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490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r>
        <w:trPr>
          <w:trHeight w:val="22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bp</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r>
        <w:trPr>
          <w:trHeight w:val="22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(260) bp</w:t>
            </w: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(11.1) %</w:t>
            </w: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9"/>
                <w:szCs w:val="19"/>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Adjusted operating expenses</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r>
        <w:trPr>
          <w:trHeight w:val="22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(260) bp</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r>
        <w:trPr>
          <w:trHeight w:val="22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bp</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Interest and other non-operating expense, net</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r>
      <w:tr>
        <w:trPr>
          <w:trHeight w:val="229"/>
        </w:trPr>
        <w:tc>
          <w:tcPr>
            <w:tcW w:w="6960" w:type="dxa"/>
            <w:vAlign w:val="bottom"/>
          </w:tcPr>
          <w:p>
            <w:pPr>
              <w:ind w:left="360"/>
              <w:spacing w:after="0"/>
              <w:rPr>
                <w:sz w:val="20"/>
                <w:szCs w:val="20"/>
                <w:color w:val="auto"/>
              </w:rPr>
            </w:pPr>
            <w:r>
              <w:rPr>
                <w:rFonts w:ascii="Arial" w:cs="Arial" w:eastAsia="Arial" w:hAnsi="Arial"/>
                <w:sz w:val="18"/>
                <w:szCs w:val="18"/>
                <w:i w:val="1"/>
                <w:iCs w:val="1"/>
                <w:color w:val="auto"/>
              </w:rPr>
              <w:t>Tax rate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bp</w:t>
            </w: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generated during the three months ended March 31, 2021 was $1,256 million, reflecting an increase of $133 million, or 11.8%, compared to the same prior year period. On a constant currency basis, revenue grew 7.9% for the three months ended March 31, 2021. The increase on a constant currency basis was driven by an increase in organic revenue of $91 million during the quarter, reflecting strong organic growth across the emerging markets, particularly in China where we saw significant recovery from the impact of the COVID-19 pandemic in the prior year, and in western Europe. Strong organic growth in these regions was marginally offset by organic declines in the U.S. during the quarter.</w:t>
      </w:r>
    </w:p>
    <w:p>
      <w:pPr>
        <w:spacing w:after="0" w:line="10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revenue during the three months ended March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4"/>
                <w:szCs w:val="14"/>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4"/>
                <w:szCs w:val="14"/>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4"/>
                <w:szCs w:val="14"/>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color w:val="auto"/>
              </w:rPr>
              <w:t>2020 Revenue</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2021 Revenue</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right="16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and the Australian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Water Infrastructure revenue increased $71 million, or 16.2%, for the first quarter of 2021 (10.7% increase on a constant currency basis) as compared to the prior year. Revenue benefited from $24 million of foreign currency translation, with the change at constant currency coming entirely from organic growth of $47 million. Organic growth for the quarter was driven by strength in the utility end market, particularly in Asia Pacific, where China benefited from healthy order intake coming into the year as they recovered from prior year negative COVID-19 impacts, and in western Europe. Organic growth for the quarter was also driven by strength in the industrial end market, particularly across the emerging markets, which included strong growth from China COVID-19 recovery, and in western Europe. Organic growth in the industrial end market was partially offset by declines in the U.S. due to continued soft market conditions in oil and gas and mining.</w:t>
      </w:r>
    </w:p>
    <w:p>
      <w:pPr>
        <w:spacing w:after="0" w:line="9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From an application perspective, organic revenue growth for the first quarter was primarily driven by our transport application. The transport application had strong revenue growth across the emerging markets, where we benefited from a favorable prior year comparison in China and strong mining activities in Africa during the quarter, as well strong growth from healthy order intake in western Europe. Organic revenue from our treatment application also contributed to the segment's growth driven by recovery from COVID-19 volume impacts and project delays in the prior year in China, as well as strength in Europe and the United States during the quarter.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Applied Water revenue increased $55 million, or 16.3%, for the first quarter of 2021 (13.0% increase on a constant currency basis) as compared to the prior year. Revenue benefited from $11 million of foreign currency translation, with the change at constant currency coming entirely from organic growth of $44 million. Organic growth for the quarter was driven by strength in every end market and across all major geographic regions, with particular strength in emerging markets and western Europe.</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an application perspective, organic revenue growth in the first quarter was led by strength in the industrial water application which was primarily driven by market growth in the emerging markets, particularly in Asia Pacific where the industry was more significantly impacted by the COVID-19 pandemic in the prior year, and strong order intake in North America and strong backlog execution in western Europe. The residential building services application revenue also had strong organic growth, primarily driven by strong second water supply business and a favorable prior year comparison in China, as markets conditions recover from the COVID-19 pandemic. Strength in North America, where we benefited from healthy backlog execution coming into the year, and market growth in western Europe, also contributed organic revenue growth during the quarter. The commercial building services application contributed more modest organic growth during the quarter, primarily driven by strength in western Europe and China, which was partially offset by a decline in the U.S. where the construction industry is taking longer to recover from the COVID-19 pandemic.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Measurement &amp; Control Solutions revenue increased $7 million, or 2.0%, for the first quarter of 2021 (0.6% decrease on a constant currency basis) as compared to the prior year. Revenue benefited from $9 million of foreign currency translation, with the change at constant currency driven by $2 million of reduced revenue related to divestiture impacts. Organic revenue remained essentially flat during the quarter as weakness in the utility end market, primarily driven by the U.S., was offset by strength in the industrial end market.</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order to simplify and focus the application discussion, beginning with the first quarter of 2021, we are aggregating the test application into the water application and the software as a service and other application into the water and energy applications, as applicable, as both of these sub-applications provide products and services to the broader, ultimate applications of water and energy. From an application perspective, organic revenue in the energy application declined during the quarter driven by slower project deployments in the gas business, where large project deployments in the U.S. during the prior year did not repeat and we experienced project delays driven by the COVID-19 pandemic during the quarter. This decline was offset by organic revenue growth during the quarter in the water application, primarily driven by the test business which experienced strong backlog execution in western Europe and China, coupled with COVID-19 recovery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first quarter of 2021 were $1,538 million, an increase of $277 million, or 22.0%, over the prior year (18.1% increase on a constant currency basis). Order intake benefited from $49 million of foreign currency translation during the quarter. The order increase on a constant currency basis primarily consisted of organic order growth of $235 million, or 18.6%.</w:t>
      </w:r>
    </w:p>
    <w:p>
      <w:pPr>
        <w:spacing w:after="0" w:line="10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orders during the three months ended March 31,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restart"/>
          </w:tcPr>
          <w:p>
            <w:pPr>
              <w:jc w:val="right"/>
              <w:ind w:right="17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260" w:type="dxa"/>
            <w:vAlign w:val="bottom"/>
            <w:gridSpan w:val="4"/>
          </w:tcPr>
          <w:p>
            <w:pPr>
              <w:ind w:left="12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2020 Orders</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188"/>
        </w:trPr>
        <w:tc>
          <w:tcPr>
            <w:tcW w:w="242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2021 Orders</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160" w:hanging="332"/>
        <w:spacing w:after="0" w:line="260"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and the Australian Dollar.</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FFFFFF"/>
        </w:rPr>
        <w:t>(a)</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Water Infrastructure segment orders increased $97 million, or 18.9%, to $611 million (13.6% increase on a constant currency basis) for the first quarter of 2021 as compared to the prior year. Order growth for the quarter benefited from $27 million of foreign currency translation. The order increase on a constant currency basis consisted primarily of organic order growth in the transport application. Organic growth in the transport application was driven by strength in the emerging markets, particularly strong order expansion in India during the quarter, as well as healthy market conditions in Europe and North America, which were impacted by recovery from the COVID-19 pandemic impact in the prior year. Organic orders for the treatment application also increased during the quarter, primarily driven by strength in Asia Pacific, North America and Europe, which partially offset the order decline in Latin America from lapping of a large prior year order.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Applied Water segment orders increased $105 million, or 28.2%, to $477 million (24.7% increase on a constant currency basis) for the first quarter of 2021 as compared to the prior year. Order growth for the quarter benefited from $13 million of foreign currency translation. The order increase on a constant currency basis was driven by organic order growth across all end markets, primarily in the U.S., where we benefited from strong demand, amplified by early ordering being done to mitigate longer lead times, and to a lesser extent, in western Europe and the emerging markets, particularly in China whose order intake was weakened by COVID-19 impacts in the prior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Measurement &amp; Control Solutions segment orders increased $75 million, or 20.0%, to $450 million (17.6% increase on a constant currency basis) for the first quarter of 2021 as compared to the prior year. Order growth for the quarter benefited from $9 million of foreign currency translation. The order increase on a constant currency basis included organic order growth of $73 million, or 19.5%, which was partially offset by a $ 7 million reduction in orders related to divestiture impacts during the quarter. Organic order growth was led by the water application, which experienced strong order intake in the U.S. and western Europe and benefited from a favorable comparison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540"/>
        <w:spacing w:after="0" w:line="261" w:lineRule="auto"/>
        <w:rPr>
          <w:sz w:val="20"/>
          <w:szCs w:val="20"/>
          <w:color w:val="auto"/>
        </w:rPr>
      </w:pPr>
      <w:r>
        <w:rPr>
          <w:rFonts w:ascii="Arial" w:cs="Arial" w:eastAsia="Arial" w:hAnsi="Arial"/>
          <w:sz w:val="18"/>
          <w:szCs w:val="18"/>
          <w:color w:val="auto"/>
        </w:rPr>
        <w:t>in the emerging markets, driven by COVID-19 recovery. Order intake in the energy application also grew organically during the quarter, primarily driven by large project deployments in North America.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to customer based on their requirements. Annual or multi-year contracts are subject to rescheduling and cancellation by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long-term nature of the contracts. As such, beginning total backlog, plus orders, minus revenues, will not equal ending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due to contract adjustments, foreign currency fluctuations, and other factors. Typically, large projects require longer lead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cycles and deployment schedules and delays occur from time to time. Total backlog was $2,403 million at March 31, 2021,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$516 million or 27.3%, as compared to March 31, 2020 backlog of $1,887 million, and an increase of $279 million or 13.1%, as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backlog of $2,124 million driven by the significant increase in orders in the quarter. We anticipate that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 of the backlog at March 31, 2021 will be recognized as revenue in the remainder of 2021. There were no significant order cancellations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Gross margin as a percentage of revenue increased 260 basis points to 39.0% for the three months ended March 31, 2021, as compared to 36.4% for the comparative 2020 period. The gross margin increase for the quarter was primarily driven by cost reductions from our global procurement and productivity improvement initiatives, decreased quality management costs and favorable volume, impacted by COVID-19 recovery, which were partially offset by cost inflation and other lesser impacts.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months ended March 31,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8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5"/>
                <w:szCs w:val="15"/>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 ("SG&amp;A")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(240) bp</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 ("R&amp;D")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(40) bp</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asset 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357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(260) bp</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SG&amp;A expenses increased by $4 million to $301 million, or 24.0% of revenue, in the first quarter of 2021, as compared to $297 million, or 26.4% of revenue, in the comparable 2020 period. The improvement in SG&amp;A as a percent of revenue for the quarter was primarily driven by cost reductions from our productivity, restructuring and other cost saving initiatives, which were partially offset by cost inflation and additional investments in strategic growth initiatives.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R&amp;D expense was $50 million, or 4.0% of revenue, in the first quarter of 2021, as compared to $49 million, or 4.4% of revenue, in the comparable period of 2020. The decrease in R&amp;D as a percent of revenue for the quarter was primarily driven by the increase in revenue in the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39"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During the three months ended March 31, 2021, we recognized restructuring charges of $ 5 million, of which $4 million relates to actions previously announced in 2020. These charges included reduction of headcount across all segments and asset impairments within our Measurement &amp; Control Solutions segment. During the three months ended March 31, 2020, we recognized restructuring charges of $2 million.</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in June 2020 management committed to a restructuring plan that includes actions across our businesses and functions globally. The plan is designed to support our long-term financial resilience and simplify our operations, strengthen our competitive positioning and better serve our customers.</w:t>
      </w:r>
    </w:p>
    <w:p>
      <w:pPr>
        <w:spacing w:after="0" w:line="9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is a roll-forward for the three months ended March 31, 2021 and 2020 of employee position eliminations associated with restructuring activities: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2020</w:t>
            </w:r>
          </w:p>
        </w:tc>
      </w:tr>
      <w:tr>
        <w:trPr>
          <w:trHeight w:val="223"/>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Planned reductions - March 31</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in 2021 and thereafter: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2021.</w:t>
      </w:r>
    </w:p>
    <w:p>
      <w:pPr>
        <w:spacing w:after="0" w:line="20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Water Infrastructure actions commenced in 2021 consist primarily of severance charges. These actions are expected to continue through the third quarter of 2021.</w:t>
      </w:r>
    </w:p>
    <w:p>
      <w:pPr>
        <w:spacing w:after="0" w:line="90"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currently expect to incur between $35 million and $45 million in restructuring costs for the full year. These restructuring charges are primarily related to actions taken in response to the changes in business and economic conditions arising as a result of the COVID-19 pandemic as well as other efforts to optimize our cost structure, improve our operational efficiency and effectiveness, strengthen our competitive positioning and better serve our customers. We expect to realize approximately $35 million of incremental net savings in 2021 from restructuring actions initiated in 2020. As a result of all of the actions taken and expected to be taken in 2021, we anticipate approximately $4 million of total net savings to be realized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Operating income during the first quarter of 2021 was $133 million, reflecting an increase of 118.0% compared to $61 million in the first quarter of 2020. Operating margin was 10.6% for the first quarter of 2021 versus 5.4% for the comparable period in 2020, an increase of 520 basis points. Operating margin included an unfavorable impact from special charges incurred during the quarter of $2 million, partially offset by a decrease in restructuring and realignment costs of $1 million as compared to the first quarter of 2020. Excluding the impact of these items, adjusted operating income was $143 million with an adjusted operating margin of 11.4% in the first quarter of 2021 as compared to adjusted operating income of $ 70 million with an adjusted operating margin of 6.2% in the first quarter of 2020. The increase in adjusted operating margin was primarily due to cost reductions from our productivity, restructuring and other cost saving initiatives, favorable volume, impacted by COVID-19 recovery, and decreased quality management costs. These impacts were partially offset by cost inflation, increased spending on strategic investments, unfavorable mix and other lesser impacts.</w:t>
      </w:r>
    </w:p>
    <w:p>
      <w:pPr>
        <w:spacing w:after="0" w:line="1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9"/>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8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Change</w:t>
            </w:r>
          </w:p>
        </w:tc>
      </w:tr>
      <w:tr>
        <w:trPr>
          <w:trHeight w:val="20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b w:val="1"/>
                <w:bCs w:val="1"/>
                <w:color w:val="auto"/>
              </w:rPr>
              <w:t>71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7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3"/>
        </w:trPr>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490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Applied Water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b w:val="1"/>
                <w:bCs w:val="1"/>
                <w:color w:val="auto"/>
              </w:rPr>
              <w:t>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(50.0) %</w:t>
            </w:r>
          </w:p>
        </w:tc>
      </w:tr>
      <w:tr>
        <w:trPr>
          <w:trHeight w:val="230"/>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r>
      <w:tr>
        <w:trPr>
          <w:trHeight w:val="223"/>
        </w:trPr>
        <w:tc>
          <w:tcPr>
            <w:tcW w:w="748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b w:val="1"/>
                <w:bCs w:val="1"/>
                <w:color w:val="auto"/>
              </w:rPr>
              <w:t>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600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3"/>
        </w:trPr>
        <w:tc>
          <w:tcPr>
            <w:tcW w:w="7480" w:type="dxa"/>
            <w:vAlign w:val="bottom"/>
          </w:tcPr>
          <w:p>
            <w:pPr>
              <w:ind w:left="640"/>
              <w:spacing w:after="0"/>
              <w:rPr>
                <w:sz w:val="20"/>
                <w:szCs w:val="20"/>
                <w:color w:val="auto"/>
              </w:rPr>
            </w:pPr>
            <w:r>
              <w:rPr>
                <w:rFonts w:ascii="Arial" w:cs="Arial" w:eastAsia="Arial" w:hAnsi="Arial"/>
                <w:sz w:val="18"/>
                <w:szCs w:val="18"/>
                <w:color w:val="auto"/>
              </w:rPr>
              <w:t>Adjusted operating income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i w:val="1"/>
                <w:iCs w:val="1"/>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b w:val="1"/>
                <w:bCs w:val="1"/>
                <w:i w:val="1"/>
                <w:iCs w:val="1"/>
                <w:color w:val="auto"/>
              </w:rPr>
              <w:t>11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CEEFF"/>
            </w:tcBorders>
          </w:tcPr>
          <w:p>
            <w:pPr>
              <w:spacing w:after="0"/>
              <w:rPr>
                <w:sz w:val="19"/>
                <w:szCs w:val="19"/>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Adjusted operating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(7.7) %</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Total Xylem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5.4 %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520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(11.1) %</w:t>
            </w:r>
          </w:p>
        </w:tc>
      </w:tr>
      <w:tr>
        <w:trPr>
          <w:trHeight w:val="230"/>
        </w:trPr>
        <w:tc>
          <w:tcPr>
            <w:tcW w:w="7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CEEFF"/>
            </w:tcBorders>
          </w:tcPr>
          <w:p>
            <w:pPr>
              <w:spacing w:after="0"/>
              <w:rPr>
                <w:sz w:val="19"/>
                <w:szCs w:val="19"/>
                <w:color w:val="auto"/>
              </w:rPr>
            </w:pPr>
          </w:p>
        </w:tc>
      </w:tr>
      <w:tr>
        <w:trPr>
          <w:trHeight w:val="223"/>
        </w:trPr>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143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9"/>
        </w:trPr>
        <w:tc>
          <w:tcPr>
            <w:tcW w:w="748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520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Operating income for our Water Infrastructure segment increased $32 million, or 82.1%, for the first quarter of 2021 compared to the prior year, with operating margin also increasing from 8.9% to 13.9%. Operating margin was impacted by $5 million in restructuring and realignment costs in both years. Excluding these restructuring and realignment costs, adjusted operating income increased $32 million, or 72.7%, with adjusted operating margin increasing from 10.0% to 14.9%. The increase in adjusted operating margin for the quarter was primarily due to cost reductions from our productivity, restructuring and other cost saving initiatives and favorable volume, impacted by COVID-19 recovery. These impacts were partially offset by cost inflation, increased spending on strategic investments, unfavorable mix, increased customer-related reserves, increased inventory management costs and other lesser impacts.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income for our Applied Water segment increased $19 million, or 40.4%, for the first quarter of 2021 compared to the prior year, with operating margin also increasing from 13.9% to 16.8%. Operating margin benefited from a decrease in restructuring and realignment costs of $ 1 million during the quarter which was offset by $1 million of special charges incurred in 2021. Excluding these items, adjusted operating income increased $19 million, or 38.8%, with adjusted operating margin increasing from 14.5% to 17.3%. The increase in adjusted operating margin for the quarter was primarily due to cost reductions from our productivity, restructuring and other cost saving initiatives and favorable volume, impacted by COVID-19 recovery. These impacts were partially offset by cost inflation, increased logistics costs, increased spending on strategic investments, unfavorable mix and other lesser impacts.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for our Measurement &amp; Control Solutions segment increased $21 million, or 175.0%, for the first quarter of 2021 compared to the prior year, with operating margin increasing from (3.5)% to 2.5%. Operating margin was impacted by $2 million in restructuring and realignment costs in both years. Excluding these restructuring and realignment costs, adjusted operating income increased $21 million, or 210.0%, with adjusted operating margin increasing from (2.9)% to 3.1%. The increase in adjusted operating margin for the quarter was primarily due to cost reductions from our restructuring, productivity and other cost saving initiatives, and decreased quality management costs, primarily due to a specific warranty charge recorded during the prior year that did not recur related to a firmware issue that was identified and addressed timely. These impacts were partially offset by cost inflation and other lesser impacts.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Operating loss for corporate and other of $13 million during the first quarter of 2021 remained constant as compared to the prior year, negatively impacted by $1 million of special charges incurred in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expense was $21 million for the three months ended March 31, 2021 and $16 million for the three months ended March 31, 2020. The increase in interest expense for the period is primarily driven by the issuance of our Green Bond during the second quarter of 2020. See Note 10, "Credit Facilities and Debt", of our condensed consolidated financial statements for a description of our credit facilities and long-term debt and related interest.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tax provision for the three months ended March 31, 2021 was $ 27 million resulting in an effective tax rate of 23.3%, compared to a $4 million expense resulting in an effective tax rate of 10.0% for the same period in 2020. The effective tax rate for the three month period ended March 31, 2021 was higher than the U.S. federal statutory rate primarily due to tax settlements and the Global Intangible Low Taxed Income ("GILTI") inclusion, partially offset by favorable earnings mix. Additionally, the effective tax rate for the three month period ended March 31, 2021 differs from the same period in 2020 due to the impact of the tax settlements in the current period, partially offset by the benefit from favorable equity compensation deductions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impact is primarily due to the strengthening of the Canadian Dollar, the Russian Ruble and various other currencies against the U.S. Dollar.</w:t>
      </w:r>
    </w:p>
    <w:p>
      <w:pPr>
        <w:spacing w:after="0" w:line="88" w:lineRule="exact"/>
        <w:rPr>
          <w:rFonts w:ascii="Arial" w:cs="Arial" w:eastAsia="Arial" w:hAnsi="Arial"/>
          <w:sz w:val="16"/>
          <w:szCs w:val="16"/>
          <w:color w:val="auto"/>
        </w:rPr>
      </w:pPr>
    </w:p>
    <w:p>
      <w:pPr>
        <w:ind w:right="8660"/>
        <w:spacing w:after="0" w:line="388"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cash used by operating activities was $26 million for the three months ended March 31, 2021 as compared to $2 million in the comparable prior year period. This increase in cash used was primarily driven by increased working capital levels to support year-over-year growth, as well as higher interest and tax payments and timing of compensation related payments, partially offset by increased cash earnings.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Cash used in investing activities was $31 million for the three months ended March 31, 2021 as compared to $48 million in the comparable prior year period. This decrease in cash used of $17 million was mainly driven by lower spending on capital expenditures compared to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used by financing activities was $115 million for the three months ended March 31, 2021 as compared to cash generated of $87 million in the comparable prior year period. This net increase in cash used for financing activities during the period was primarily due to higher levels of short-term debt during the first quarter of 2020 and an increase in share repurchase activity and dividend payments in the first quarter of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3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by the COVID-19 pandemic, we continue to evaluate aspects of our spending, including capital expenditures, strategic investments and dividends. We will continue to evaluate aspects of our spending as the year progresses and anticipate our capital expenditures will gradually begin to increase to normal levels during the year as the markets we operate in recover.</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Historically, we have generated operating cash flow sufficient to fund our primary cash needs. We will continue to monitor the economic effects of the COVID-19 pandemic and its impact on the Company's future operating cash flows going forward.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10, "Credit Facilities and Debt", of our condensed consolidated financial statements for a description of limitations on obtaining additional funding.</w:t>
      </w:r>
    </w:p>
    <w:p>
      <w:pPr>
        <w:spacing w:after="0" w:line="10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As of March 31, 2021, the COVID-19 pandemic has not materially impacted our borrowing costs or other costs of capital, however the future impact of the COVID-19 pandemic is uncertain and may increase our borrowing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and other costs of capital and otherwise adversely affect our business, results of operations, financial condition and liquidity.</w:t>
      </w:r>
    </w:p>
    <w:p>
      <w:pPr>
        <w:spacing w:after="0" w:line="117"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Based on our current global cash positions, cash flows from operations and access to the capital markets, we believe there is sufficient liquidity to meet our funding requirements and service debt and other obligations in both the U.S. and outside of the U.S. during the year. In addition, we believe our existing committed credit facilities and access to the public debt markets would provide further liquidity if required. Currently, we have available liquidity of approximately $2.5 billion, consisting of $1.7 billion of cash and $800 million of available credit facilities as disclosed in Note 10, "Credit Facilities and Debt", of our condensed consolidated financial statements. Our debt repayment obligations in 2021 consist of $600 million in Senior Notes, which we expect to pay out of cash. Our next long-term debt maturity is March 2023.</w:t>
      </w:r>
    </w:p>
    <w:p>
      <w:pPr>
        <w:spacing w:after="0" w:line="97" w:lineRule="exact"/>
        <w:rPr>
          <w:sz w:val="20"/>
          <w:szCs w:val="20"/>
          <w:color w:val="auto"/>
        </w:rPr>
      </w:pPr>
    </w:p>
    <w:p>
      <w:pPr>
        <w:ind w:right="180"/>
        <w:spacing w:after="0" w:line="375" w:lineRule="auto"/>
        <w:rPr>
          <w:sz w:val="20"/>
          <w:szCs w:val="20"/>
          <w:color w:val="auto"/>
        </w:rPr>
      </w:pPr>
      <w:r>
        <w:rPr>
          <w:rFonts w:ascii="Arial" w:cs="Arial" w:eastAsia="Arial" w:hAnsi="Arial"/>
          <w:sz w:val="18"/>
          <w:szCs w:val="18"/>
          <w:color w:val="auto"/>
        </w:rPr>
        <w:t xml:space="preserve">Risk related to these items are described in our risk factor disclosures referenced under “Item 1A. Risk Factors" in our 2020 Annual Report. </w:t>
      </w:r>
      <w:r>
        <w:rPr>
          <w:rFonts w:ascii="Arial" w:cs="Arial" w:eastAsia="Arial" w:hAnsi="Arial"/>
          <w:sz w:val="18"/>
          <w:szCs w:val="18"/>
          <w:i w:val="1"/>
          <w:iCs w:val="1"/>
          <w:color w:val="auto"/>
        </w:rPr>
        <w:t>Credit Facilities &amp; Long-Term Contractual Commitments</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See Note 10, "Credit Facilities and Debt", of our condensed consolidated financial statements for a description of our credit facilities and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generated approximately 56% and 50% of our revenue from non-U.S. operations for the three months ended March 31, 2021 and 2020.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March 31, 2021, we have provided a deferred tax liability of $6 million for net foreign withholding taxes and state income taxes on $356 million of earnings expected to be repatriated to the U.S. parent as deemed necessary in the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2020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2020 Annual Report.</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third quarter of 2020, management updated forecasts of future cash flows for the Advanced Infrastructure Analytics ("AIA") businesses, which reflected significant negative volume impacts from the COVID-19 pandemic, primarily on our assessment services business. Our ongoing investment in the AIA businesses also continues to impact near-term profitability. Based on these factors we determined that there were indicators that the AIA reporting unit’s goodwill may be impaired, and accordingly, we performed an interim goodwill impairment test as of July 1, 2020. The results of the impairment test showed that the fair value of the AIA reporting unit was lower than the carrying value, resulting in a $58 million goodwill impairment charge. As of March 31, 2021 the remaining goodwill balance in our AIA reporting unit after recording the goodwill impairment charge was $112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3" w:name="page44"/>
    <w:bookmarkEnd w:id="43"/>
    <w:p>
      <w:pPr>
        <w:ind w:right="60"/>
        <w:spacing w:after="0" w:line="254" w:lineRule="auto"/>
        <w:rPr>
          <w:sz w:val="20"/>
          <w:szCs w:val="20"/>
          <w:color w:val="auto"/>
        </w:rPr>
      </w:pPr>
      <w:r>
        <w:rPr>
          <w:rFonts w:ascii="Arial" w:cs="Arial" w:eastAsia="Arial" w:hAnsi="Arial"/>
          <w:sz w:val="18"/>
          <w:szCs w:val="18"/>
          <w:color w:val="auto"/>
        </w:rPr>
        <w:t>The uncertainty of the future impact of the COVID-19 pandemic may also contribute to further deterioration of our future cash flows. If we do not achieve our forecasts, it is possible that the goodwill of the AIA reporting unit could be deemed to be impaired again in a future period. The risks and potential impacts of COVID-19 on the fair value of our assets are included in our risk factor disclosures referenced under “Item 1A. Risk Factors" in the Company's 2020 Annual Report.</w:t>
      </w:r>
    </w:p>
    <w:p>
      <w:pPr>
        <w:spacing w:after="0" w:line="200" w:lineRule="exact"/>
        <w:rPr>
          <w:sz w:val="20"/>
          <w:szCs w:val="20"/>
          <w:color w:val="auto"/>
        </w:rPr>
      </w:pP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2020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16, "Commitments and Contingencies", to the condensed consolidated financial statements for further information and any updates.</w:t>
      </w:r>
    </w:p>
    <w:p>
      <w:pPr>
        <w:spacing w:after="0" w:line="200" w:lineRule="exact"/>
        <w:rPr>
          <w:sz w:val="20"/>
          <w:szCs w:val="20"/>
          <w:color w:val="auto"/>
        </w:rPr>
      </w:pPr>
    </w:p>
    <w:p>
      <w:pPr>
        <w:spacing w:after="0" w:line="2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2020 Annual Report.</w:t>
      </w:r>
    </w:p>
    <w:p>
      <w:pPr>
        <w:spacing w:after="0" w:line="200" w:lineRule="exact"/>
        <w:rPr>
          <w:sz w:val="20"/>
          <w:szCs w:val="20"/>
          <w:color w:val="auto"/>
        </w:rPr>
      </w:pPr>
    </w:p>
    <w:p>
      <w:pPr>
        <w:spacing w:after="0" w:line="24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3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March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60" w:type="dxa"/>
            <w:vAlign w:val="bottom"/>
          </w:tcPr>
          <w:p>
            <w:pPr>
              <w:jc w:val="center"/>
              <w:ind w:left="21"/>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206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w:t>
            </w:r>
          </w:p>
        </w:tc>
        <w:tc>
          <w:tcPr>
            <w:tcW w:w="206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6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1/1/21 - 1/31/21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2/1/21 - 2/28/21</w:t>
            </w:r>
          </w:p>
        </w:tc>
        <w:tc>
          <w:tcPr>
            <w:tcW w:w="2060" w:type="dxa"/>
            <w:vAlign w:val="bottom"/>
          </w:tcPr>
          <w:p>
            <w:pPr>
              <w:jc w:val="center"/>
              <w:ind w:left="17"/>
              <w:spacing w:after="0"/>
              <w:rPr>
                <w:sz w:val="20"/>
                <w:szCs w:val="20"/>
                <w:color w:val="auto"/>
              </w:rPr>
            </w:pPr>
            <w:r>
              <w:rPr>
                <w:rFonts w:ascii="Arial" w:cs="Arial" w:eastAsia="Arial" w:hAnsi="Arial"/>
                <w:sz w:val="18"/>
                <w:szCs w:val="18"/>
                <w:color w:val="auto"/>
                <w:w w:val="95"/>
              </w:rPr>
              <w:t>0.3</w:t>
            </w:r>
          </w:p>
        </w:tc>
        <w:tc>
          <w:tcPr>
            <w:tcW w:w="2240" w:type="dxa"/>
            <w:vAlign w:val="bottom"/>
          </w:tcPr>
          <w:p>
            <w:pPr>
              <w:jc w:val="center"/>
              <w:spacing w:after="0"/>
              <w:rPr>
                <w:sz w:val="20"/>
                <w:szCs w:val="20"/>
                <w:color w:val="auto"/>
              </w:rPr>
            </w:pPr>
            <w:r>
              <w:rPr>
                <w:rFonts w:ascii="Arial" w:cs="Arial" w:eastAsia="Arial" w:hAnsi="Arial"/>
                <w:sz w:val="18"/>
                <w:szCs w:val="18"/>
                <w:color w:val="auto"/>
                <w:w w:val="98"/>
              </w:rPr>
              <w:t>100.07</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2060" w:type="dxa"/>
            <w:vAlign w:val="bottom"/>
          </w:tcPr>
          <w:p>
            <w:pPr>
              <w:jc w:val="center"/>
              <w:ind w:left="21"/>
              <w:spacing w:after="0"/>
              <w:rPr>
                <w:sz w:val="20"/>
                <w:szCs w:val="20"/>
                <w:color w:val="auto"/>
              </w:rPr>
            </w:pPr>
            <w:r>
              <w:rPr>
                <w:rFonts w:ascii="Arial" w:cs="Arial" w:eastAsia="Arial" w:hAnsi="Arial"/>
                <w:sz w:val="18"/>
                <w:szCs w:val="18"/>
                <w:b w:val="1"/>
                <w:bCs w:val="1"/>
                <w:color w:val="auto"/>
                <w:w w:val="99"/>
              </w:rPr>
              <w:t>$258</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3/1/21 - 3/31/21</w:t>
            </w:r>
          </w:p>
        </w:tc>
        <w:tc>
          <w:tcPr>
            <w:tcW w:w="2060" w:type="dxa"/>
            <w:vAlign w:val="bottom"/>
            <w:tcBorders>
              <w:bottom w:val="single" w:sz="8" w:color="auto"/>
            </w:tcBorders>
            <w:shd w:val="clear" w:color="auto" w:fill="CCEEFF"/>
          </w:tcPr>
          <w:p>
            <w:pPr>
              <w:jc w:val="center"/>
              <w:ind w:left="17"/>
              <w:spacing w:after="0"/>
              <w:rPr>
                <w:sz w:val="20"/>
                <w:szCs w:val="20"/>
                <w:color w:val="auto"/>
              </w:rPr>
            </w:pPr>
            <w:r>
              <w:rPr>
                <w:rFonts w:ascii="Arial" w:cs="Arial" w:eastAsia="Arial" w:hAnsi="Arial"/>
                <w:sz w:val="18"/>
                <w:szCs w:val="18"/>
                <w:color w:val="auto"/>
                <w:w w:val="95"/>
              </w:rPr>
              <w:t>0.3</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101.07</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206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8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53"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August 24, 2015, our Board of Directors authorized the repurchase of up to $500 million in shares with no expiration date. The program's objective is to deploy our capital in a manner that benefits our shareholders and maintains our focus on growth. For the three months ended March 31, 2021, we repurchased 0.6 million shares for $60 million. There are up to $228 million in shares that may still be purchased under this plan as of March 31, 2021.</w:t>
      </w:r>
    </w:p>
    <w:p>
      <w:pPr>
        <w:spacing w:after="0" w:line="3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49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40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rPr>
              <w:t>Number</w:t>
            </w:r>
          </w:p>
        </w:tc>
        <w:tc>
          <w:tcPr>
            <w:tcW w:w="4940" w:type="dxa"/>
            <w:vAlign w:val="bottom"/>
            <w:tcBorders>
              <w:bottom w:val="single" w:sz="8" w:color="auto"/>
            </w:tcBorders>
            <w:vMerge w:val="continue"/>
          </w:tcPr>
          <w:p>
            <w:pPr>
              <w:spacing w:after="0"/>
              <w:rPr>
                <w:sz w:val="15"/>
                <w:szCs w:val="15"/>
                <w:color w:val="auto"/>
              </w:rPr>
            </w:pPr>
          </w:p>
        </w:tc>
        <w:tc>
          <w:tcPr>
            <w:tcW w:w="5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00" w:type="dxa"/>
            <w:vAlign w:val="bottom"/>
            <w:gridSpan w:val="3"/>
          </w:tcPr>
          <w:p>
            <w:pPr>
              <w:jc w:val="center"/>
              <w:ind w:right="40"/>
              <w:spacing w:after="0"/>
              <w:rPr>
                <w:rFonts w:ascii="Arial" w:cs="Arial" w:eastAsia="Arial" w:hAnsi="Arial"/>
                <w:sz w:val="18"/>
                <w:szCs w:val="18"/>
                <w:color w:val="0000FF"/>
              </w:rPr>
            </w:pPr>
            <w:hyperlink r:id="rId5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940" w:type="dxa"/>
            <w:vAlign w:val="bottom"/>
          </w:tcPr>
          <w:p>
            <w:pPr>
              <w:ind w:left="200"/>
              <w:spacing w:after="0"/>
              <w:rPr>
                <w:sz w:val="20"/>
                <w:szCs w:val="20"/>
                <w:color w:val="auto"/>
              </w:rPr>
            </w:pPr>
            <w:r>
              <w:rPr>
                <w:rFonts w:ascii="Arial" w:cs="Arial" w:eastAsia="Arial" w:hAnsi="Arial"/>
                <w:sz w:val="18"/>
                <w:szCs w:val="18"/>
                <w:color w:val="auto"/>
              </w:rPr>
              <w:t>Fourth Amended and Restated Articles of Incorporation of</w:t>
            </w:r>
          </w:p>
        </w:tc>
        <w:tc>
          <w:tcPr>
            <w:tcW w:w="5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940" w:type="dxa"/>
            <w:vAlign w:val="bottom"/>
          </w:tcPr>
          <w:p>
            <w:pPr>
              <w:ind w:left="200"/>
              <w:spacing w:after="0" w:line="197" w:lineRule="exact"/>
              <w:rPr>
                <w:sz w:val="20"/>
                <w:szCs w:val="20"/>
                <w:color w:val="auto"/>
              </w:rPr>
            </w:pPr>
            <w:r>
              <w:rPr>
                <w:rFonts w:ascii="Arial" w:cs="Arial" w:eastAsia="Arial" w:hAnsi="Arial"/>
                <w:sz w:val="18"/>
                <w:szCs w:val="18"/>
                <w:color w:val="auto"/>
              </w:rPr>
              <w:t>Xylem Inc.</w:t>
            </w:r>
          </w:p>
        </w:tc>
        <w:tc>
          <w:tcPr>
            <w:tcW w:w="5400" w:type="dxa"/>
            <w:vAlign w:val="bottom"/>
          </w:tcPr>
          <w:p>
            <w:pPr>
              <w:ind w:left="140"/>
              <w:spacing w:after="0" w:line="197" w:lineRule="exact"/>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2"/>
        </w:trPr>
        <w:tc>
          <w:tcPr>
            <w:tcW w:w="900" w:type="dxa"/>
            <w:vAlign w:val="bottom"/>
            <w:gridSpan w:val="3"/>
          </w:tcPr>
          <w:p>
            <w:pPr>
              <w:jc w:val="center"/>
              <w:ind w:right="40"/>
              <w:spacing w:after="0"/>
              <w:rPr>
                <w:rFonts w:ascii="Arial" w:cs="Arial" w:eastAsia="Arial" w:hAnsi="Arial"/>
                <w:sz w:val="18"/>
                <w:szCs w:val="18"/>
                <w:color w:val="0000FF"/>
              </w:rPr>
            </w:pPr>
            <w:hyperlink r:id="rId5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940" w:type="dxa"/>
            <w:vAlign w:val="bottom"/>
          </w:tcPr>
          <w:p>
            <w:pPr>
              <w:ind w:left="200"/>
              <w:spacing w:after="0"/>
              <w:rPr>
                <w:sz w:val="20"/>
                <w:szCs w:val="20"/>
                <w:color w:val="auto"/>
              </w:rPr>
            </w:pPr>
            <w:r>
              <w:rPr>
                <w:rFonts w:ascii="Arial" w:cs="Arial" w:eastAsia="Arial" w:hAnsi="Arial"/>
                <w:sz w:val="18"/>
                <w:szCs w:val="18"/>
                <w:color w:val="auto"/>
              </w:rPr>
              <w:t>Fourth Amended and Restated By-laws of Xylem Inc.</w:t>
            </w:r>
          </w:p>
        </w:tc>
        <w:tc>
          <w:tcPr>
            <w:tcW w:w="5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3.2 of Xylem Inc.’s Form 8-K</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0" w:type="dxa"/>
            <w:vAlign w:val="bottom"/>
          </w:tcPr>
          <w:p>
            <w:pPr>
              <w:ind w:left="140"/>
              <w:spacing w:after="0" w:line="197" w:lineRule="exact"/>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60"/>
        <w:spacing w:after="0"/>
        <w:tabs>
          <w:tab w:leader="none" w:pos="840" w:val="left"/>
        </w:tabs>
        <w:rPr>
          <w:rFonts w:ascii="Arial" w:cs="Arial" w:eastAsia="Arial" w:hAnsi="Arial"/>
          <w:sz w:val="18"/>
          <w:szCs w:val="18"/>
          <w:color w:val="0000FF"/>
        </w:rPr>
      </w:pPr>
      <w:hyperlink w:anchor="page49">
        <w:r>
          <w:rPr>
            <w:rFonts w:ascii="Arial" w:cs="Arial" w:eastAsia="Arial" w:hAnsi="Arial"/>
            <w:sz w:val="18"/>
            <w:szCs w:val="18"/>
            <w:u w:val="single" w:color="auto"/>
            <w:color w:val="0000FF"/>
          </w:rPr>
          <w:t>10.1</w:t>
        </w:r>
      </w:hyperlink>
      <w:r>
        <w:rPr>
          <w:rFonts w:ascii="Arial" w:cs="Arial" w:eastAsia="Arial" w:hAnsi="Arial"/>
          <w:sz w:val="18"/>
          <w:szCs w:val="18"/>
          <w:color w:val="0000FF"/>
        </w:rPr>
        <w:tab/>
        <w:t>#  Letter Agreement between Xylem Inc. and Matthew Pine.</w:t>
      </w:r>
    </w:p>
    <w:p>
      <w:pPr>
        <w:spacing w:after="0" w:line="104" w:lineRule="exact"/>
        <w:rPr>
          <w:sz w:val="20"/>
          <w:szCs w:val="20"/>
          <w:color w:val="auto"/>
        </w:rPr>
      </w:pPr>
    </w:p>
    <w:p>
      <w:pPr>
        <w:ind w:left="860" w:right="300" w:hanging="840"/>
        <w:spacing w:after="0" w:line="246" w:lineRule="auto"/>
        <w:tabs>
          <w:tab w:leader="none" w:pos="840" w:val="left"/>
        </w:tabs>
        <w:rPr>
          <w:rFonts w:ascii="Arial" w:cs="Arial" w:eastAsia="Arial" w:hAnsi="Arial"/>
          <w:sz w:val="18"/>
          <w:szCs w:val="18"/>
          <w:color w:val="0000FF"/>
        </w:rPr>
      </w:pPr>
      <w:hyperlink w:anchor="page52">
        <w:r>
          <w:rPr>
            <w:rFonts w:ascii="Arial" w:cs="Arial" w:eastAsia="Arial" w:hAnsi="Arial"/>
            <w:sz w:val="18"/>
            <w:szCs w:val="18"/>
            <w:u w:val="single" w:color="auto"/>
            <w:color w:val="0000FF"/>
          </w:rPr>
          <w:t>10.2</w:t>
        </w:r>
      </w:hyperlink>
      <w:r>
        <w:rPr>
          <w:rFonts w:ascii="Arial" w:cs="Arial" w:eastAsia="Arial" w:hAnsi="Arial"/>
          <w:sz w:val="18"/>
          <w:szCs w:val="18"/>
          <w:color w:val="0000FF"/>
        </w:rPr>
        <w:tab/>
        <w:t># Individual Employment Contract between Xylem Europe GmbH and Hayati Yarkadas.</w:t>
      </w:r>
    </w:p>
    <w:p>
      <w:pPr>
        <w:spacing w:after="0" w:line="89" w:lineRule="exact"/>
        <w:rPr>
          <w:sz w:val="20"/>
          <w:szCs w:val="20"/>
          <w:color w:val="auto"/>
        </w:rPr>
      </w:pPr>
    </w:p>
    <w:p>
      <w:pPr>
        <w:ind w:left="860" w:right="20" w:hanging="840"/>
        <w:spacing w:after="0" w:line="246" w:lineRule="auto"/>
        <w:tabs>
          <w:tab w:leader="none" w:pos="840" w:val="left"/>
        </w:tabs>
        <w:rPr>
          <w:rFonts w:ascii="Arial" w:cs="Arial" w:eastAsia="Arial" w:hAnsi="Arial"/>
          <w:sz w:val="18"/>
          <w:szCs w:val="18"/>
          <w:color w:val="0000FF"/>
        </w:rPr>
      </w:pPr>
      <w:hyperlink w:anchor="page57">
        <w:r>
          <w:rPr>
            <w:rFonts w:ascii="Arial" w:cs="Arial" w:eastAsia="Arial" w:hAnsi="Arial"/>
            <w:sz w:val="18"/>
            <w:szCs w:val="18"/>
            <w:u w:val="single" w:color="auto"/>
            <w:color w:val="0000FF"/>
          </w:rPr>
          <w:t>10.3</w:t>
        </w:r>
      </w:hyperlink>
      <w:r>
        <w:rPr>
          <w:rFonts w:ascii="Arial" w:cs="Arial" w:eastAsia="Arial" w:hAnsi="Arial"/>
          <w:sz w:val="18"/>
          <w:szCs w:val="18"/>
          <w:color w:val="0000FF"/>
        </w:rPr>
        <w:tab/>
        <w:t># Form of Xylem 2011 Omnibus Incentive Plan Non-Qualified Stock Option Award Agreement (2021).</w:t>
      </w:r>
    </w:p>
    <w:p>
      <w:pPr>
        <w:spacing w:after="0" w:line="89" w:lineRule="exact"/>
        <w:rPr>
          <w:sz w:val="20"/>
          <w:szCs w:val="20"/>
          <w:color w:val="auto"/>
        </w:rPr>
      </w:pPr>
    </w:p>
    <w:p>
      <w:pPr>
        <w:ind w:left="860" w:right="120" w:hanging="840"/>
        <w:spacing w:after="0" w:line="246" w:lineRule="auto"/>
        <w:tabs>
          <w:tab w:leader="none" w:pos="840" w:val="left"/>
        </w:tabs>
        <w:rPr>
          <w:rFonts w:ascii="Arial" w:cs="Arial" w:eastAsia="Arial" w:hAnsi="Arial"/>
          <w:sz w:val="18"/>
          <w:szCs w:val="18"/>
          <w:color w:val="0000FF"/>
        </w:rPr>
      </w:pPr>
      <w:hyperlink w:anchor="page63">
        <w:r>
          <w:rPr>
            <w:rFonts w:ascii="Arial" w:cs="Arial" w:eastAsia="Arial" w:hAnsi="Arial"/>
            <w:sz w:val="18"/>
            <w:szCs w:val="18"/>
            <w:u w:val="single" w:color="auto"/>
            <w:color w:val="0000FF"/>
          </w:rPr>
          <w:t>10.4</w:t>
        </w:r>
      </w:hyperlink>
      <w:r>
        <w:rPr>
          <w:rFonts w:ascii="Arial" w:cs="Arial" w:eastAsia="Arial" w:hAnsi="Arial"/>
          <w:sz w:val="18"/>
          <w:szCs w:val="18"/>
          <w:color w:val="0000FF"/>
        </w:rPr>
        <w:tab/>
        <w:t># Form of 2011 Omnibus Incentive Plan Performance Share Unit Agreement (2021).</w:t>
      </w:r>
    </w:p>
    <w:p>
      <w:pPr>
        <w:spacing w:after="0" w:line="89" w:lineRule="exact"/>
        <w:rPr>
          <w:sz w:val="20"/>
          <w:szCs w:val="20"/>
          <w:color w:val="auto"/>
        </w:rPr>
      </w:pPr>
    </w:p>
    <w:p>
      <w:pPr>
        <w:ind w:left="860" w:hanging="840"/>
        <w:spacing w:after="0" w:line="246" w:lineRule="auto"/>
        <w:tabs>
          <w:tab w:leader="none" w:pos="840" w:val="left"/>
        </w:tabs>
        <w:rPr>
          <w:rFonts w:ascii="Arial" w:cs="Arial" w:eastAsia="Arial" w:hAnsi="Arial"/>
          <w:sz w:val="18"/>
          <w:szCs w:val="18"/>
          <w:color w:val="0000FF"/>
        </w:rPr>
      </w:pPr>
      <w:hyperlink w:anchor="page70">
        <w:r>
          <w:rPr>
            <w:rFonts w:ascii="Arial" w:cs="Arial" w:eastAsia="Arial" w:hAnsi="Arial"/>
            <w:sz w:val="18"/>
            <w:szCs w:val="18"/>
            <w:u w:val="single" w:color="auto"/>
            <w:color w:val="0000FF"/>
          </w:rPr>
          <w:t>10.5</w:t>
        </w:r>
      </w:hyperlink>
      <w:r>
        <w:rPr>
          <w:rFonts w:ascii="Arial" w:cs="Arial" w:eastAsia="Arial" w:hAnsi="Arial"/>
          <w:sz w:val="18"/>
          <w:szCs w:val="18"/>
          <w:color w:val="0000FF"/>
        </w:rPr>
        <w:tab/>
        <w:t># Form of 2011 Omnibus Incentive Plan Restricted Stock Unit Agreement (2021).</w:t>
      </w:r>
    </w:p>
    <w:p>
      <w:pPr>
        <w:spacing w:after="0" w:line="89" w:lineRule="exact"/>
        <w:rPr>
          <w:sz w:val="20"/>
          <w:szCs w:val="20"/>
          <w:color w:val="auto"/>
        </w:rPr>
      </w:pPr>
    </w:p>
    <w:p>
      <w:pPr>
        <w:jc w:val="both"/>
        <w:ind w:left="860" w:right="220" w:hanging="840"/>
        <w:spacing w:after="0" w:line="246" w:lineRule="auto"/>
        <w:tabs>
          <w:tab w:leader="none" w:pos="840" w:val="left"/>
        </w:tabs>
        <w:rPr>
          <w:rFonts w:ascii="Arial" w:cs="Arial" w:eastAsia="Arial" w:hAnsi="Arial"/>
          <w:sz w:val="18"/>
          <w:szCs w:val="18"/>
          <w:color w:val="0000FF"/>
        </w:rPr>
      </w:pPr>
      <w:hyperlink w:anchor="page76">
        <w:r>
          <w:rPr>
            <w:rFonts w:ascii="Arial" w:cs="Arial" w:eastAsia="Arial" w:hAnsi="Arial"/>
            <w:sz w:val="18"/>
            <w:szCs w:val="18"/>
            <w:u w:val="single" w:color="auto"/>
            <w:color w:val="0000FF"/>
          </w:rPr>
          <w:t>10.6</w:t>
        </w:r>
      </w:hyperlink>
      <w:r>
        <w:rPr>
          <w:rFonts w:ascii="Arial" w:cs="Arial" w:eastAsia="Arial" w:hAnsi="Arial"/>
          <w:sz w:val="18"/>
          <w:szCs w:val="18"/>
          <w:color w:val="0000FF"/>
        </w:rPr>
        <w:tab/>
        <w:t># Form of 2011 Omnibus Incentive Plan ESG Performance Share Unit Agreement (2021).</w:t>
      </w:r>
    </w:p>
    <w:p>
      <w:pPr>
        <w:spacing w:after="0" w:line="89" w:lineRule="exact"/>
        <w:rPr>
          <w:sz w:val="20"/>
          <w:szCs w:val="20"/>
          <w:color w:val="auto"/>
        </w:rPr>
      </w:pPr>
    </w:p>
    <w:p>
      <w:pPr>
        <w:jc w:val="both"/>
        <w:ind w:left="1100" w:right="200" w:hanging="840"/>
        <w:spacing w:after="0" w:line="219" w:lineRule="auto"/>
        <w:tabs>
          <w:tab w:leader="none" w:pos="1080" w:val="left"/>
        </w:tabs>
        <w:rPr>
          <w:rFonts w:ascii="Arial" w:cs="Arial" w:eastAsia="Arial" w:hAnsi="Arial"/>
          <w:sz w:val="18"/>
          <w:szCs w:val="18"/>
          <w:color w:val="0000FF"/>
        </w:rPr>
      </w:pPr>
      <w:hyperlink w:anchor="page83">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Rule 13a -14(a)/15d-14(a) of the Securities Exchange Act of 1934, as adopted pursuant to Section 302 of the Sarbanes-Oxley Act of 2002</w:t>
      </w:r>
    </w:p>
    <w:p>
      <w:pPr>
        <w:spacing w:after="0" w:line="68" w:lineRule="exact"/>
        <w:rPr>
          <w:sz w:val="20"/>
          <w:szCs w:val="20"/>
          <w:color w:val="auto"/>
        </w:rPr>
      </w:pPr>
    </w:p>
    <w:p>
      <w:pPr>
        <w:jc w:val="both"/>
        <w:ind w:left="1100" w:right="200" w:hanging="840"/>
        <w:spacing w:after="0" w:line="219" w:lineRule="auto"/>
        <w:tabs>
          <w:tab w:leader="none" w:pos="1080" w:val="left"/>
        </w:tabs>
        <w:rPr>
          <w:rFonts w:ascii="Arial" w:cs="Arial" w:eastAsia="Arial" w:hAnsi="Arial"/>
          <w:sz w:val="18"/>
          <w:szCs w:val="18"/>
          <w:color w:val="0000FF"/>
        </w:rPr>
      </w:pPr>
      <w:hyperlink w:anchor="page84">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Rule 13a -14(a)/15d-14(a)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Filed herewith.</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439" w:lineRule="exact"/>
        <w:rPr>
          <w:sz w:val="20"/>
          <w:szCs w:val="20"/>
          <w:color w:val="auto"/>
        </w:rPr>
      </w:pPr>
    </w:p>
    <w:p>
      <w:pPr>
        <w:sectPr>
          <w:pgSz w:w="11900" w:h="16838" w:orient="portrait"/>
          <w:cols w:equalWidth="0" w:num="2">
            <w:col w:w="5840" w:space="140"/>
            <w:col w:w="5260"/>
          </w:cols>
          <w:pgMar w:left="320" w:top="886" w:right="339" w:bottom="1440" w:gutter="0" w:footer="0" w:header="0"/>
          <w:type w:val="continuous"/>
        </w:sectPr>
      </w:pPr>
    </w:p>
    <w:p>
      <w:pPr>
        <w:ind w:left="1100" w:right="240" w:hanging="840"/>
        <w:spacing w:after="0" w:line="203" w:lineRule="auto"/>
        <w:tabs>
          <w:tab w:leader="none" w:pos="1080" w:val="left"/>
        </w:tabs>
        <w:rPr>
          <w:rFonts w:ascii="Arial" w:cs="Arial" w:eastAsia="Arial" w:hAnsi="Arial"/>
          <w:sz w:val="18"/>
          <w:szCs w:val="18"/>
          <w:color w:val="0000FF"/>
        </w:rPr>
      </w:pPr>
      <w:hyperlink w:anchor="page85">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U.S.C. Section 1350, as adopted This Exhibit is intended to be furnished in accordance with pursuant to Section 906 of the Sarbanes-Oxley Act of 2002 Regulation S-K Item 601(b) (32) (ii) and shall not be deemed to</w:t>
      </w:r>
    </w:p>
    <w:p>
      <w:pPr>
        <w:ind w:left="5980"/>
        <w:spacing w:after="0" w:line="204" w:lineRule="auto"/>
        <w:rPr>
          <w:sz w:val="20"/>
          <w:szCs w:val="20"/>
          <w:color w:val="auto"/>
        </w:rPr>
      </w:pPr>
      <w:r>
        <w:rPr>
          <w:rFonts w:ascii="Arial" w:cs="Arial" w:eastAsia="Arial" w:hAnsi="Arial"/>
          <w:sz w:val="18"/>
          <w:szCs w:val="18"/>
          <w:color w:val="auto"/>
        </w:rPr>
        <w:t>be filed for purposes of Section 18 of the Securities Exchange Act</w:t>
      </w:r>
    </w:p>
    <w:p>
      <w:pPr>
        <w:ind w:left="5980"/>
        <w:spacing w:after="0" w:line="203" w:lineRule="auto"/>
        <w:rPr>
          <w:sz w:val="20"/>
          <w:szCs w:val="20"/>
          <w:color w:val="auto"/>
        </w:rPr>
      </w:pPr>
      <w:r>
        <w:rPr>
          <w:rFonts w:ascii="Arial" w:cs="Arial" w:eastAsia="Arial" w:hAnsi="Arial"/>
          <w:sz w:val="18"/>
          <w:szCs w:val="18"/>
          <w:color w:val="auto"/>
        </w:rPr>
        <w:t>of 1934 or incorporated by reference into any filing under the</w:t>
      </w:r>
    </w:p>
    <w:p>
      <w:pPr>
        <w:ind w:left="5980"/>
        <w:spacing w:after="0" w:line="204" w:lineRule="auto"/>
        <w:rPr>
          <w:sz w:val="20"/>
          <w:szCs w:val="20"/>
          <w:color w:val="auto"/>
        </w:rPr>
      </w:pPr>
      <w:r>
        <w:rPr>
          <w:rFonts w:ascii="Arial" w:cs="Arial" w:eastAsia="Arial" w:hAnsi="Arial"/>
          <w:sz w:val="18"/>
          <w:szCs w:val="18"/>
          <w:color w:val="auto"/>
        </w:rPr>
        <w:t>Securities Act of 1933 or the Securities Exchange Act of 1934,</w:t>
      </w:r>
    </w:p>
    <w:p>
      <w:pPr>
        <w:ind w:left="5980"/>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77" w:lineRule="exact"/>
        <w:rPr>
          <w:sz w:val="20"/>
          <w:szCs w:val="20"/>
          <w:color w:val="auto"/>
        </w:rPr>
      </w:pPr>
    </w:p>
    <w:p>
      <w:pPr>
        <w:ind w:left="1100" w:right="240" w:hanging="840"/>
        <w:spacing w:after="0" w:line="203" w:lineRule="auto"/>
        <w:tabs>
          <w:tab w:leader="none" w:pos="1080" w:val="left"/>
        </w:tabs>
        <w:rPr>
          <w:rFonts w:ascii="Arial" w:cs="Arial" w:eastAsia="Arial" w:hAnsi="Arial"/>
          <w:sz w:val="18"/>
          <w:szCs w:val="18"/>
          <w:color w:val="0000FF"/>
        </w:rPr>
      </w:pPr>
      <w:hyperlink w:anchor="page86">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U.S.C. Section 1350, as adopted This Exhibit is intended to be furnished in accordance with pursuant to Section 906 of the Sarbanes-Oxley Act of 2002 Regulation S-K Item 601(b) (32) (ii) and shall not be deemed to</w:t>
      </w:r>
    </w:p>
    <w:p>
      <w:pPr>
        <w:ind w:left="5980"/>
        <w:spacing w:after="0" w:line="204" w:lineRule="auto"/>
        <w:rPr>
          <w:sz w:val="20"/>
          <w:szCs w:val="20"/>
          <w:color w:val="auto"/>
        </w:rPr>
      </w:pPr>
      <w:r>
        <w:rPr>
          <w:rFonts w:ascii="Arial" w:cs="Arial" w:eastAsia="Arial" w:hAnsi="Arial"/>
          <w:sz w:val="18"/>
          <w:szCs w:val="18"/>
          <w:color w:val="auto"/>
        </w:rPr>
        <w:t>be filed for purposes of Section 18 of the Securities Exchange Act</w:t>
      </w:r>
    </w:p>
    <w:p>
      <w:pPr>
        <w:ind w:left="5980"/>
        <w:spacing w:after="0" w:line="203" w:lineRule="auto"/>
        <w:rPr>
          <w:sz w:val="20"/>
          <w:szCs w:val="20"/>
          <w:color w:val="auto"/>
        </w:rPr>
      </w:pPr>
      <w:r>
        <w:rPr>
          <w:rFonts w:ascii="Arial" w:cs="Arial" w:eastAsia="Arial" w:hAnsi="Arial"/>
          <w:sz w:val="18"/>
          <w:szCs w:val="18"/>
          <w:color w:val="auto"/>
        </w:rPr>
        <w:t>of 1934 or incorporated by reference into any filing under the</w:t>
      </w:r>
    </w:p>
    <w:p>
      <w:pPr>
        <w:ind w:left="5980"/>
        <w:spacing w:after="0" w:line="204" w:lineRule="auto"/>
        <w:rPr>
          <w:sz w:val="20"/>
          <w:szCs w:val="20"/>
          <w:color w:val="auto"/>
        </w:rPr>
      </w:pPr>
      <w:r>
        <w:rPr>
          <w:rFonts w:ascii="Arial" w:cs="Arial" w:eastAsia="Arial" w:hAnsi="Arial"/>
          <w:sz w:val="18"/>
          <w:szCs w:val="18"/>
          <w:color w:val="auto"/>
        </w:rPr>
        <w:t>Securities Act of 1933 or the Securities Exchange Act of 1934,</w:t>
      </w:r>
    </w:p>
    <w:p>
      <w:pPr>
        <w:ind w:left="5980"/>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6" w:name="page47"/>
    <w:bookmarkEnd w:id="46"/>
    <w:tbl>
      <w:tblPr>
        <w:tblLayout w:type="fixed"/>
        <w:tblInd w:w="160" w:type="dxa"/>
        <w:tblCellMar>
          <w:top w:w="0" w:type="dxa"/>
          <w:left w:w="0" w:type="dxa"/>
          <w:bottom w:w="0" w:type="dxa"/>
          <w:right w:w="0" w:type="dxa"/>
        </w:tblCellMar>
      </w:tblPr>
      <w:tr>
        <w:trPr>
          <w:trHeight w:val="161"/>
        </w:trPr>
        <w:tc>
          <w:tcPr>
            <w:tcW w:w="1760" w:type="dxa"/>
            <w:vAlign w:val="bottom"/>
          </w:tcPr>
          <w:p>
            <w:pPr>
              <w:jc w:val="center"/>
              <w:ind w:right="1168"/>
              <w:spacing w:after="0"/>
              <w:rPr>
                <w:sz w:val="20"/>
                <w:szCs w:val="20"/>
                <w:color w:val="auto"/>
              </w:rPr>
            </w:pPr>
            <w:r>
              <w:rPr>
                <w:rFonts w:ascii="Arial" w:cs="Arial" w:eastAsia="Arial" w:hAnsi="Arial"/>
                <w:sz w:val="14"/>
                <w:szCs w:val="14"/>
                <w:b w:val="1"/>
                <w:bCs w:val="1"/>
                <w:color w:val="auto"/>
              </w:rPr>
              <w:t>Exhibit</w:t>
            </w:r>
          </w:p>
        </w:tc>
        <w:tc>
          <w:tcPr>
            <w:tcW w:w="420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2780" w:type="dxa"/>
            <w:vAlign w:val="bottom"/>
            <w:vMerge w:val="restart"/>
          </w:tcPr>
          <w:p>
            <w:pPr>
              <w:ind w:left="218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0"/>
        </w:trPr>
        <w:tc>
          <w:tcPr>
            <w:tcW w:w="1760" w:type="dxa"/>
            <w:vAlign w:val="bottom"/>
          </w:tcPr>
          <w:p>
            <w:pPr>
              <w:jc w:val="center"/>
              <w:ind w:right="1148"/>
              <w:spacing w:after="0"/>
              <w:rPr>
                <w:sz w:val="20"/>
                <w:szCs w:val="20"/>
                <w:color w:val="auto"/>
              </w:rPr>
            </w:pPr>
            <w:r>
              <w:rPr>
                <w:rFonts w:ascii="Arial" w:cs="Arial" w:eastAsia="Arial" w:hAnsi="Arial"/>
                <w:sz w:val="14"/>
                <w:szCs w:val="14"/>
                <w:b w:val="1"/>
                <w:bCs w:val="1"/>
                <w:color w:val="auto"/>
              </w:rPr>
              <w:t>Number</w:t>
            </w:r>
          </w:p>
        </w:tc>
        <w:tc>
          <w:tcPr>
            <w:tcW w:w="420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24" w:right="459" w:bottom="1440" w:gutter="0" w:footer="0" w:header="0"/>
        </w:sectPr>
      </w:pPr>
    </w:p>
    <w:p>
      <w:pPr>
        <w:spacing w:after="0" w:line="11" w:lineRule="exact"/>
        <w:rPr>
          <w:sz w:val="20"/>
          <w:szCs w:val="20"/>
          <w:color w:val="auto"/>
        </w:rPr>
      </w:pPr>
    </w:p>
    <w:p>
      <w:pPr>
        <w:ind w:left="1100" w:right="60" w:hanging="890"/>
        <w:spacing w:after="0" w:line="208"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Xylem Inc.’s Quarterly Report on Form 10-Q for the quarterly period ended March 31, 2021,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p>
      <w:pPr>
        <w:spacing w:after="0" w:line="19" w:lineRule="exact"/>
        <w:rPr>
          <w:sz w:val="20"/>
          <w:szCs w:val="20"/>
          <w:color w:val="auto"/>
        </w:rPr>
      </w:pPr>
    </w:p>
    <w:p>
      <w:pPr>
        <w:jc w:val="both"/>
        <w:ind w:left="1100" w:hanging="890"/>
        <w:spacing w:after="0" w:line="219" w:lineRule="auto"/>
        <w:tabs>
          <w:tab w:leader="none" w:pos="10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Quarterly Report on Form 10-Q for the period ended March 31, 2021 formatted in Inline XBRL and contained in Exhibit 101.0.</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833" w:lineRule="exact"/>
        <w:rPr>
          <w:sz w:val="20"/>
          <w:szCs w:val="20"/>
          <w:color w:val="auto"/>
        </w:rPr>
      </w:pPr>
    </w:p>
    <w:p>
      <w:pPr>
        <w:sectPr>
          <w:pgSz w:w="11900" w:h="16838" w:orient="portrait"/>
          <w:cols w:equalWidth="0" w:num="2">
            <w:col w:w="5940" w:space="60"/>
            <w:col w:w="5120"/>
          </w:cols>
          <w:pgMar w:left="320" w:top="924" w:right="45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4" w:right="459" w:bottom="1440" w:gutter="0" w:footer="0" w:header="0"/>
          <w:type w:val="continuous"/>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60"/>
        <w:spacing w:after="0"/>
        <w:rPr>
          <w:sz w:val="20"/>
          <w:szCs w:val="20"/>
          <w:color w:val="auto"/>
        </w:rPr>
      </w:pPr>
      <w:r>
        <w:rPr>
          <w:rFonts w:ascii="Arial" w:cs="Arial" w:eastAsia="Arial" w:hAnsi="Arial"/>
          <w:sz w:val="18"/>
          <w:szCs w:val="18"/>
          <w:b w:val="1"/>
          <w:bCs w:val="1"/>
          <w:u w:val="single" w:color="auto"/>
          <w:color w:val="auto"/>
        </w:rPr>
        <w:t>XYLEM INC.</w:t>
      </w:r>
    </w:p>
    <w:p>
      <w:pPr>
        <w:spacing w:after="0" w:line="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3797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Geri McShane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Vice President, Controller and Chief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1089" w:right="4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Matthew Pine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ON FILE WITH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Matthew:</w:t>
      </w:r>
    </w:p>
    <w:p>
      <w:pPr>
        <w:spacing w:after="0" w:line="25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pleased to present you with this offer of employment with Xylem Inc. for the position of Senior Vice President &amp; President, Applied Water Systems and Americas Commercial Team reporting directly to Patrick Decker, Xylem’s President and Chief Executive Officer. We are anticipating your start date to be around March 17, 2020, but no later than March 30, 2020. You can operate remotely from your home office for the first twelve months from your joining, within which time we expect to finalize an appropriate Xylem business location for you to relocate to, for which relocation support will be provided, as per Xylem company policy. This offer also confirms that the background check and drug screen has been completed successfully.</w:t>
      </w:r>
    </w:p>
    <w:p>
      <w:pPr>
        <w:spacing w:after="0" w:line="213" w:lineRule="exact"/>
        <w:rPr>
          <w:sz w:val="20"/>
          <w:szCs w:val="20"/>
          <w:color w:val="auto"/>
        </w:rPr>
      </w:pPr>
    </w:p>
    <w:p>
      <w:pPr>
        <w:ind w:left="660" w:right="160" w:hanging="328"/>
        <w:spacing w:after="0" w:line="26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compensated on a bi-weekly basis in the amount of $19,230.77 which is equivalent to $500,000 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merit increases are normally scheduled for March of each year and are at the discretion of management. You will be able to participate in the merit increase program beginning in 2021. This position is considered Exempt and not entitled to overtime compensation as provided by Federal Law.</w:t>
      </w:r>
    </w:p>
    <w:p>
      <w:pPr>
        <w:spacing w:after="0" w:line="203"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for participation in the Annual Incentive Plan (AIP) beginning with performance year 2020</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approved parameters of the plan and provided targets are met. Your bonus target is 75% of base salary. For 2020, you will be eligible for the full year annual incentive, approved bonus awards are typically paid in March for performance from the previous calendar year.</w:t>
      </w:r>
    </w:p>
    <w:p>
      <w:pPr>
        <w:spacing w:after="0" w:line="203"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Long-Term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Xylem Long-Term Incentive Plan (LTIP) and will have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target award of $1,100,000 to be provided as 50% Performance Share Units (PSUs), 25% Restricted Stock Units (RSUs) and 25% Stock Options. RSUs and Stock Options vest one-third after each year and the PSUs vest 100% after three years and payable based on the Company's performance. Subsequent annual grants may vary due to management discretion with regard to individual performance and market competitiveness and are subject to approval by the Leadership Development and Compensation Committee (LDCC) of Xylem's Board of Directors.</w:t>
      </w:r>
    </w:p>
    <w:p>
      <w:pPr>
        <w:spacing w:after="0" w:line="231" w:lineRule="exact"/>
        <w:rPr>
          <w:rFonts w:ascii="Arial" w:cs="Arial" w:eastAsia="Arial" w:hAnsi="Arial"/>
          <w:sz w:val="18"/>
          <w:szCs w:val="18"/>
          <w:color w:val="auto"/>
        </w:rPr>
      </w:pPr>
    </w:p>
    <w:p>
      <w:pPr>
        <w:ind w:left="660" w:right="20"/>
        <w:spacing w:after="0" w:line="256" w:lineRule="auto"/>
        <w:rPr>
          <w:rFonts w:ascii="Arial" w:cs="Arial" w:eastAsia="Arial" w:hAnsi="Arial"/>
          <w:sz w:val="18"/>
          <w:szCs w:val="18"/>
          <w:color w:val="auto"/>
        </w:rPr>
      </w:pPr>
      <w:r>
        <w:rPr>
          <w:rFonts w:ascii="Arial" w:cs="Arial" w:eastAsia="Arial" w:hAnsi="Arial"/>
          <w:sz w:val="18"/>
          <w:szCs w:val="18"/>
          <w:color w:val="auto"/>
        </w:rPr>
        <w:t>Your first annual LTIP award will be made effective on/about May 7, 2020 (the first day of the next open window after the trading restriction period after your hire date). The vesting terms, performance targets and grant agreement will be consistent as other senior executives' most recent annual LTIP award expected to be granted on February 27, 2020.</w:t>
      </w:r>
    </w:p>
    <w:p>
      <w:pPr>
        <w:spacing w:after="0" w:line="206" w:lineRule="exact"/>
        <w:rPr>
          <w:rFonts w:ascii="Arial" w:cs="Arial" w:eastAsia="Arial" w:hAnsi="Arial"/>
          <w:sz w:val="18"/>
          <w:szCs w:val="18"/>
          <w:color w:val="auto"/>
        </w:rPr>
      </w:pPr>
    </w:p>
    <w:p>
      <w:pPr>
        <w:ind w:left="660" w:right="42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Sign-on LTI Grants: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receive a one-time special sign-on LTIP grant of $5,000,000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as $3,000,000 in Restricted Stock Units and $2,000,000 Stock Options with both vesting one-third after each year over three years. The special sign-on LTIP grant will be issued at the same time as the Annual LTIP above.</w:t>
      </w:r>
    </w:p>
    <w:p>
      <w:pPr>
        <w:spacing w:after="0" w:line="197"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Relocation: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your family will have the support to relocate per the terms of the US Domestic Relocation Policy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once an appropriate business location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49" w:name="page50"/>
    <w:bookmarkEnd w:id="49"/>
    <w:p>
      <w:pPr>
        <w:ind w:left="660" w:right="180"/>
        <w:spacing w:after="0" w:line="261" w:lineRule="auto"/>
        <w:rPr>
          <w:sz w:val="20"/>
          <w:szCs w:val="20"/>
          <w:color w:val="auto"/>
        </w:rPr>
      </w:pPr>
      <w:r>
        <w:rPr>
          <w:rFonts w:ascii="Arial" w:cs="Arial" w:eastAsia="Arial" w:hAnsi="Arial"/>
          <w:sz w:val="18"/>
          <w:szCs w:val="18"/>
          <w:color w:val="auto"/>
        </w:rPr>
        <w:t>determined (anticipated to be determined within 12 months from date of hire). This offer of relocation assistance is contingent upon your relocation being completed no later than December 31, 2021.</w:t>
      </w:r>
    </w:p>
    <w:p>
      <w:pPr>
        <w:spacing w:after="0" w:line="203" w:lineRule="exact"/>
        <w:rPr>
          <w:sz w:val="20"/>
          <w:szCs w:val="20"/>
          <w:color w:val="auto"/>
        </w:rPr>
      </w:pPr>
    </w:p>
    <w:p>
      <w:pPr>
        <w:ind w:left="660" w:right="8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A complete benefits package will be made available to you and your eligible dependents, which includes immediate</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in medical plans and subject to any enrollment waiting periods as defined by certain life insurance coverage plans. You will also be required to bring in the original birth certificate(s) for your dependent children (if applicable) and your marriage certificate (if applicable) if you wish to cover your dependents under any Xylem sponsored benefit program (i.e., health insurance). A benefits summary is attached for your reference. You will be scheduled for a comprehensive benefit orientation during your first week of employment.</w:t>
      </w:r>
    </w:p>
    <w:p>
      <w:pPr>
        <w:spacing w:after="0" w:line="209"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Paid Time Off (PTO):</w:t>
      </w:r>
      <w:r>
        <w:rPr>
          <w:rFonts w:ascii="Arial" w:cs="Arial" w:eastAsia="Arial" w:hAnsi="Arial"/>
          <w:sz w:val="18"/>
          <w:szCs w:val="18"/>
          <w:b w:val="1"/>
          <w:bCs w:val="1"/>
          <w:color w:val="auto"/>
        </w:rPr>
        <w:t xml:space="preserve"> </w:t>
      </w:r>
      <w:r>
        <w:rPr>
          <w:rFonts w:ascii="Arial" w:cs="Arial" w:eastAsia="Arial" w:hAnsi="Arial"/>
          <w:sz w:val="18"/>
          <w:szCs w:val="18"/>
          <w:color w:val="auto"/>
        </w:rPr>
        <w:t>Xylem provides Paid Time off (PTO) to benefits-eligible employees to enable time off from work for 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relaxation and to balance their lives. Paid Time Off provides a single bank of hours employees can use for sick, vacation and/or other personal reasons. You will accrue paid time off at the bi-weekly accrual rate of 6.16 hours per pay period (equivalent to 20 days annually) beginning on your date of hire and is based on total eligible hours worked and/or utilized during each pay period. Below is the PTO accrual schedule for completed years of service.</w:t>
      </w: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640" w:type="dxa"/>
            <w:vAlign w:val="bottom"/>
            <w:gridSpan w:val="2"/>
          </w:tcPr>
          <w:p>
            <w:pPr>
              <w:ind w:left="80"/>
              <w:spacing w:after="0"/>
              <w:rPr>
                <w:sz w:val="20"/>
                <w:szCs w:val="20"/>
                <w:color w:val="auto"/>
              </w:rPr>
            </w:pPr>
            <w:r>
              <w:rPr>
                <w:rFonts w:ascii="Arial" w:cs="Arial" w:eastAsia="Arial" w:hAnsi="Arial"/>
                <w:sz w:val="18"/>
                <w:szCs w:val="18"/>
                <w:color w:val="auto"/>
              </w:rPr>
              <w:t>Completed Years of Service</w:t>
            </w:r>
          </w:p>
        </w:tc>
        <w:tc>
          <w:tcPr>
            <w:tcW w:w="26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Bi-Weekly</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Equivalent Days Annually</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Hourly Accrual</w:t>
            </w:r>
          </w:p>
        </w:tc>
      </w:tr>
      <w:tr>
        <w:trPr>
          <w:trHeight w:val="175"/>
        </w:trPr>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8"/>
              </w:rPr>
              <w:t>Accrual Rate</w:t>
            </w:r>
          </w:p>
        </w:tc>
        <w:tc>
          <w:tcPr>
            <w:tcW w:w="264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8"/>
              </w:rPr>
              <w:t>(Full-Time)</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rPr>
              <w:t>Rates</w:t>
            </w:r>
          </w:p>
        </w:tc>
      </w:tr>
      <w:tr>
        <w:trPr>
          <w:trHeight w:val="217"/>
        </w:trPr>
        <w:tc>
          <w:tcPr>
            <w:tcW w:w="2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c>
          <w:tcPr>
            <w:tcW w:w="24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Exec. New Hire</w:t>
            </w: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6.16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20 days (160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0.077</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7.08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23 days (184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0.089</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7.70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25 days (200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0.097</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rPr>
              <w:t>9.24 hours</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30 days (240 hours)</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0.116</w:t>
            </w:r>
          </w:p>
        </w:tc>
      </w:tr>
    </w:tbl>
    <w:p>
      <w:pPr>
        <w:spacing w:after="0" w:line="315" w:lineRule="exact"/>
        <w:rPr>
          <w:sz w:val="20"/>
          <w:szCs w:val="20"/>
          <w:color w:val="auto"/>
        </w:rPr>
      </w:pPr>
    </w:p>
    <w:p>
      <w:pPr>
        <w:ind w:left="660" w:right="4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Xylem recognizes twelve paid holidays per calendar year for eligible employees. Some of these are floating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assigned and are pro-rated based upon date of hire.</w:t>
      </w:r>
    </w:p>
    <w:p>
      <w:pPr>
        <w:spacing w:after="0" w:line="20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As with all new hires, our offer is contingent on the verification of credentials and other information, including the completion of a criminal history check and, if applicable a credit history check. Your employment is also dependent upon a satisfactory pre-employment drug screening. We can confirm as of the date of this letter, you have successfully passed these pre-employment verifications and screenings. Please note, we will require presentation of documentation verifying your identity and legal ability to work in the United States (I-9). The information must be provided within three (3) days of your hire date.</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your employment is contingent on your not having entered into a signed agreement with a previous employer that contains a non-competition clause that might affect your ability to accept employment with Xylem. If you have entered into such an agreement, please forward a copy of it to me so we can do a legal review from our side. Your employment and compensation with Xylem are “at will” in that they can be terminated with or without cause, and with or without notice, at any time, at the option of either the Company or yourself. This offer does not constitute a contract of employment or an agreement for a definite or specified period of employment.</w:t>
      </w:r>
    </w:p>
    <w:p>
      <w:pPr>
        <w:spacing w:after="0" w:line="23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At Xylem, our corporate compass is our Code of Conduct. We are committed to conducting business according to the highest ethical standards, treating all employees with respect, creating fair workplaces, and ensuring that our co-workers help us strengthen and protect our reputation as a great employer, business partner and community member. Our Code of Conduct sets the rules that outline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35" w:right="359" w:bottom="1440" w:gutter="0" w:footer="0" w:header="0"/>
        </w:sectPr>
      </w:pPr>
    </w:p>
    <w:bookmarkStart w:id="50" w:name="page51"/>
    <w:bookmarkEnd w:id="50"/>
    <w:p>
      <w:pPr>
        <w:spacing w:after="0" w:line="261" w:lineRule="auto"/>
        <w:rPr>
          <w:sz w:val="20"/>
          <w:szCs w:val="20"/>
          <w:color w:val="auto"/>
        </w:rPr>
      </w:pPr>
      <w:r>
        <w:rPr>
          <w:rFonts w:ascii="Arial" w:cs="Arial" w:eastAsia="Arial" w:hAnsi="Arial"/>
          <w:sz w:val="18"/>
          <w:szCs w:val="18"/>
          <w:color w:val="auto"/>
        </w:rPr>
        <w:t>business conduct and expected behaviors of all our employees. Each employee will take a required training within three (3) days of their hire date.</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Enclosed with this offer is our Business Proprietary Information Agreement, please review this document carefully, and sign and return a copy along with your acceptance of our offer.</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Matthew, we are confident you will contribute a great deal to our organization and look forward to having you join the team. Please acknowledge your acceptance of our offer as per terms above, by signing a copy of this letter and sending a scanned copy back to me at Kairus.Tarapore@xyleminc.com no later than March 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Kairus Tarapore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Kairus Tarapore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&amp; Chief Human Resources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above offer is accepted subject to the foregoing conditions.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Pine</w:t>
            </w:r>
          </w:p>
        </w:tc>
        <w:tc>
          <w:tcPr>
            <w:tcW w:w="500" w:type="dxa"/>
            <w:vAlign w:val="bottom"/>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February 27, 2020</w:t>
            </w: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Matthew Pine</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Date</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Cc: Patrick Decker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Enclosures</w:t>
      </w:r>
    </w:p>
    <w:p>
      <w:pPr>
        <w:spacing w:after="0" w:line="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Proprietary Information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2020 Employee Benefits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Retirement Savings Plan and Supplemental Retirement Savings Plan Quick Reference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U.S. Relocation Policy 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Stock Ownership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Senior Executive Severance Pay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Special Senior Executive Severance Pay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Xylem 2019 Executive Compensation brochure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435" w:right="4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8"/>
          <w:szCs w:val="18"/>
          <w:i w:val="1"/>
          <w:iCs w:val="1"/>
          <w:color w:val="auto"/>
        </w:rPr>
        <w:t>Hayati Yarkadas</w:t>
      </w:r>
      <w:r>
        <w:rPr>
          <w:sz w:val="20"/>
          <w:szCs w:val="20"/>
          <w:color w:val="auto"/>
        </w:rPr>
        <w:tab/>
      </w:r>
      <w:r>
        <w:rPr>
          <w:rFonts w:ascii="Arial" w:cs="Arial" w:eastAsia="Arial" w:hAnsi="Arial"/>
          <w:sz w:val="17"/>
          <w:szCs w:val="17"/>
          <w:i w:val="1"/>
          <w:iCs w:val="1"/>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Employment Contract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Xylem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Bleicheplatz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CH-8200 Schaffhausen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“Company” ON THE FIRST HAND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Hayati Yarkadas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ON FILE WITH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“Employee” ON THE OTHER HAND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PARTIES AGREE AS FOLLOWS:</w:t>
      </w:r>
    </w:p>
    <w:p>
      <w:pPr>
        <w:spacing w:after="0" w:line="200" w:lineRule="exact"/>
        <w:rPr>
          <w:sz w:val="20"/>
          <w:szCs w:val="20"/>
          <w:color w:val="auto"/>
        </w:rPr>
      </w:pPr>
    </w:p>
    <w:p>
      <w:pPr>
        <w:spacing w:after="0" w:line="29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APPOINTMENT AND SCOPE OF THE EMPLOYMENT</w:t>
      </w:r>
    </w:p>
    <w:p>
      <w:pPr>
        <w:spacing w:after="0" w:line="252" w:lineRule="exact"/>
        <w:rPr>
          <w:rFonts w:ascii="Arial" w:cs="Arial" w:eastAsia="Arial" w:hAnsi="Arial"/>
          <w:sz w:val="18"/>
          <w:szCs w:val="18"/>
          <w:color w:val="auto"/>
        </w:rPr>
      </w:pPr>
    </w:p>
    <w:p>
      <w:pPr>
        <w:ind w:left="660" w:right="260"/>
        <w:spacing w:after="0" w:line="256" w:lineRule="auto"/>
        <w:rPr>
          <w:rFonts w:ascii="Arial" w:cs="Arial" w:eastAsia="Arial" w:hAnsi="Arial"/>
          <w:sz w:val="18"/>
          <w:szCs w:val="18"/>
          <w:color w:val="auto"/>
        </w:rPr>
      </w:pPr>
      <w:r>
        <w:rPr>
          <w:rFonts w:ascii="Arial" w:cs="Arial" w:eastAsia="Arial" w:hAnsi="Arial"/>
          <w:sz w:val="18"/>
          <w:szCs w:val="18"/>
          <w:color w:val="auto"/>
        </w:rPr>
        <w:t>The Company hereby employs the Employee and the Employee agrees to accept employment in the role of Senior Vice President and President, Water Infrastructure and Europe Commercial Team of the Company on and subject to the terms and conditions specified herein.</w:t>
      </w:r>
    </w:p>
    <w:p>
      <w:pPr>
        <w:spacing w:after="0" w:line="22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position reports solid line to the President and Chief Executive Officer.</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DUTIES OF THE EMPLOYEE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Employee is qualified as a “senior executive” of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252" w:lineRule="exact"/>
        <w:rPr>
          <w:rFonts w:ascii="Arial" w:cs="Arial" w:eastAsia="Arial" w:hAnsi="Arial"/>
          <w:sz w:val="18"/>
          <w:szCs w:val="18"/>
          <w:color w:val="auto"/>
        </w:rPr>
      </w:pPr>
    </w:p>
    <w:p>
      <w:pPr>
        <w:ind w:left="660" w:right="2700"/>
        <w:spacing w:after="0" w:line="532" w:lineRule="auto"/>
        <w:rPr>
          <w:rFonts w:ascii="Arial" w:cs="Arial" w:eastAsia="Arial" w:hAnsi="Arial"/>
          <w:sz w:val="18"/>
          <w:szCs w:val="18"/>
          <w:color w:val="auto"/>
        </w:rPr>
      </w:pPr>
      <w:r>
        <w:rPr>
          <w:rFonts w:ascii="Arial" w:cs="Arial" w:eastAsia="Arial" w:hAnsi="Arial"/>
          <w:sz w:val="18"/>
          <w:szCs w:val="18"/>
          <w:color w:val="auto"/>
        </w:rPr>
        <w:t>The Employment shall commence on/before March 16 and shall last for an unlimited period of time. The probation period is 2 months.</w:t>
      </w:r>
    </w:p>
    <w:p>
      <w:pPr>
        <w:ind w:left="660"/>
        <w:spacing w:after="0" w:line="256" w:lineRule="auto"/>
        <w:rPr>
          <w:rFonts w:ascii="Arial" w:cs="Arial" w:eastAsia="Arial" w:hAnsi="Arial"/>
          <w:sz w:val="18"/>
          <w:szCs w:val="18"/>
          <w:color w:val="auto"/>
        </w:rPr>
      </w:pPr>
      <w:r>
        <w:rPr>
          <w:rFonts w:ascii="Arial" w:cs="Arial" w:eastAsia="Arial" w:hAnsi="Arial"/>
          <w:sz w:val="18"/>
          <w:szCs w:val="18"/>
          <w:color w:val="auto"/>
        </w:rPr>
        <w:t>The Employee represents and warrants that he is not bound by or subject to any court order, agreement, arrangement or undertaking which may in any way restrict or prohibit the Employee from entering into this Agreement or from performing the Employee’s duties under this Agreement.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13" w:right="339" w:bottom="1440" w:gutter="0" w:footer="0" w:header="0"/>
          <w:type w:val="continuous"/>
        </w:sectPr>
      </w:pPr>
    </w:p>
    <w:bookmarkStart w:id="52" w:name="page53"/>
    <w:bookmarkEnd w:id="52"/>
    <w:p>
      <w:pPr>
        <w:spacing w:after="0" w:line="238"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HOURS, PLACE OF WORK AND OVERTIME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Employee shall perform the service hereunder in Schaffhausen. The Employee may be required to regularly travel for his work.</w:t>
      </w:r>
    </w:p>
    <w:p>
      <w:pPr>
        <w:spacing w:after="0" w:line="252" w:lineRule="exact"/>
        <w:rPr>
          <w:rFonts w:ascii="Arial" w:cs="Arial" w:eastAsia="Arial" w:hAnsi="Arial"/>
          <w:sz w:val="18"/>
          <w:szCs w:val="18"/>
          <w:color w:val="auto"/>
        </w:rPr>
      </w:pPr>
    </w:p>
    <w:p>
      <w:pPr>
        <w:ind w:left="660"/>
        <w:spacing w:after="0" w:line="256" w:lineRule="auto"/>
        <w:rPr>
          <w:rFonts w:ascii="Arial" w:cs="Arial" w:eastAsia="Arial" w:hAnsi="Arial"/>
          <w:sz w:val="18"/>
          <w:szCs w:val="18"/>
          <w:color w:val="auto"/>
        </w:rPr>
      </w:pPr>
      <w:r>
        <w:rPr>
          <w:rFonts w:ascii="Arial" w:cs="Arial" w:eastAsia="Arial" w:hAnsi="Arial"/>
          <w:sz w:val="18"/>
          <w:szCs w:val="18"/>
          <w:color w:val="auto"/>
        </w:rPr>
        <w:t>As a senior executive and member of the management the Employee shall schedule his working hours by his own. However, he shall consider the demands and needs of the Company and particularly also those of clients and the staff. Whenever necessary, he shall be present.</w:t>
      </w:r>
    </w:p>
    <w:p>
      <w:pPr>
        <w:spacing w:after="0" w:line="228" w:lineRule="exact"/>
        <w:rPr>
          <w:rFonts w:ascii="Arial" w:cs="Arial" w:eastAsia="Arial" w:hAnsi="Arial"/>
          <w:sz w:val="18"/>
          <w:szCs w:val="18"/>
          <w:color w:val="auto"/>
        </w:rPr>
      </w:pPr>
    </w:p>
    <w:p>
      <w:pPr>
        <w:ind w:left="660" w:right="400"/>
        <w:spacing w:after="0" w:line="261" w:lineRule="auto"/>
        <w:rPr>
          <w:rFonts w:ascii="Arial" w:cs="Arial" w:eastAsia="Arial" w:hAnsi="Arial"/>
          <w:sz w:val="18"/>
          <w:szCs w:val="18"/>
          <w:color w:val="auto"/>
        </w:rPr>
      </w:pPr>
      <w:r>
        <w:rPr>
          <w:rFonts w:ascii="Arial" w:cs="Arial" w:eastAsia="Arial" w:hAnsi="Arial"/>
          <w:sz w:val="18"/>
          <w:szCs w:val="18"/>
          <w:color w:val="auto"/>
        </w:rPr>
        <w:t>Compensation for additional hours (=Überstunden) and overtime (=Überzeit) is included in the Employee’s salary and will not be compensated by time off, payments or any other benefits.</w:t>
      </w:r>
    </w:p>
    <w:p>
      <w:pPr>
        <w:spacing w:after="0" w:line="224" w:lineRule="exact"/>
        <w:rPr>
          <w:rFonts w:ascii="Arial" w:cs="Arial" w:eastAsia="Arial" w:hAnsi="Arial"/>
          <w:sz w:val="18"/>
          <w:szCs w:val="18"/>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REMUNERATION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Basic Annual Salary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pay to the Employee a basic annual salary of gross CHF 500,000 per year.</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Incentive</w:t>
      </w:r>
    </w:p>
    <w:p>
      <w:pPr>
        <w:spacing w:after="0" w:line="252" w:lineRule="exact"/>
        <w:rPr>
          <w:sz w:val="20"/>
          <w:szCs w:val="20"/>
          <w:color w:val="auto"/>
        </w:rPr>
      </w:pPr>
    </w:p>
    <w:p>
      <w:pPr>
        <w:ind w:left="660" w:right="160"/>
        <w:spacing w:after="0" w:line="256" w:lineRule="auto"/>
        <w:rPr>
          <w:sz w:val="20"/>
          <w:szCs w:val="20"/>
          <w:color w:val="auto"/>
        </w:rPr>
      </w:pPr>
      <w:r>
        <w:rPr>
          <w:rFonts w:ascii="Arial" w:cs="Arial" w:eastAsia="Arial" w:hAnsi="Arial"/>
          <w:sz w:val="18"/>
          <w:szCs w:val="18"/>
          <w:color w:val="auto"/>
        </w:rPr>
        <w:t>The Employee is at the Company’s discretion eligible to receive an annual incentive target award of 75% of the base salary. For 2020, you will be eligible for the full year annual incentive, approved bonus awards are typically paid in March for performance from the previous calendar year.</w:t>
      </w:r>
    </w:p>
    <w:p>
      <w:pPr>
        <w:spacing w:after="0" w:line="229"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The Employee acknowledges that he has no right to receive a guaranteed incentive payment and will not acquire such a right merely by virtue of having received one or more incentive payments during the course of his employment.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Long-Term Incentive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Employee is eligible to participate in the Xylem Long-Term Incentive Plan (LTIP) and will have an annual target award of</w:t>
      </w:r>
    </w:p>
    <w:p>
      <w:pPr>
        <w:spacing w:after="0" w:line="9" w:lineRule="exact"/>
        <w:rPr>
          <w:sz w:val="20"/>
          <w:szCs w:val="20"/>
          <w:color w:val="auto"/>
        </w:rPr>
      </w:pPr>
    </w:p>
    <w:p>
      <w:pPr>
        <w:ind w:left="660" w:right="80"/>
        <w:spacing w:after="0" w:line="253" w:lineRule="auto"/>
        <w:rPr>
          <w:sz w:val="20"/>
          <w:szCs w:val="20"/>
          <w:color w:val="auto"/>
        </w:rPr>
      </w:pPr>
      <w:r>
        <w:rPr>
          <w:rFonts w:ascii="Arial" w:cs="Arial" w:eastAsia="Arial" w:hAnsi="Arial"/>
          <w:sz w:val="18"/>
          <w:szCs w:val="18"/>
          <w:color w:val="auto"/>
        </w:rPr>
        <w:t>$900,000 be provided as 50% Performance Share Units (PSUs), 25% Restricted Stock Units (RSUs) and 25% Stock Options. RSUs and Stock Options vest one-third after each year and the PSUs vest 100% after three years and payable based on the Company’s performance. Subsequent annual grants may vary due to management discretion with regard to individual performance and market competitiveness and are subject to approval by the Leadership Development and Compensation Committee (LDCC) of Xylem’s Board of Directors.</w:t>
      </w:r>
    </w:p>
    <w:p>
      <w:pPr>
        <w:spacing w:after="0" w:line="232" w:lineRule="exact"/>
        <w:rPr>
          <w:sz w:val="20"/>
          <w:szCs w:val="20"/>
          <w:color w:val="auto"/>
        </w:rPr>
      </w:pPr>
    </w:p>
    <w:p>
      <w:pPr>
        <w:ind w:left="660" w:right="60"/>
        <w:spacing w:after="0" w:line="256" w:lineRule="auto"/>
        <w:rPr>
          <w:sz w:val="20"/>
          <w:szCs w:val="20"/>
          <w:color w:val="auto"/>
        </w:rPr>
      </w:pPr>
      <w:r>
        <w:rPr>
          <w:rFonts w:ascii="Arial" w:cs="Arial" w:eastAsia="Arial" w:hAnsi="Arial"/>
          <w:sz w:val="18"/>
          <w:szCs w:val="18"/>
          <w:color w:val="auto"/>
        </w:rPr>
        <w:t>The Employee will receive the first annual LTIP award effective on/about May 7, 2020 (the first day of the next open window after the trading restriction period after your hire date). The vesting terms and performance targets will be consistent as other senior executives’ most recent annual LTIP award expected to be granted on February 27, 2020.</w:t>
      </w:r>
    </w:p>
    <w:p>
      <w:pPr>
        <w:spacing w:after="0" w:line="229" w:lineRule="exact"/>
        <w:rPr>
          <w:sz w:val="20"/>
          <w:szCs w:val="20"/>
          <w:color w:val="auto"/>
        </w:rPr>
      </w:pPr>
    </w:p>
    <w:p>
      <w:pPr>
        <w:ind w:left="660" w:right="60"/>
        <w:spacing w:after="0" w:line="278" w:lineRule="auto"/>
        <w:rPr>
          <w:sz w:val="20"/>
          <w:szCs w:val="20"/>
          <w:color w:val="auto"/>
        </w:rPr>
      </w:pPr>
      <w:r>
        <w:rPr>
          <w:rFonts w:ascii="Arial" w:cs="Arial" w:eastAsia="Arial" w:hAnsi="Arial"/>
          <w:sz w:val="17"/>
          <w:szCs w:val="17"/>
          <w:color w:val="auto"/>
        </w:rPr>
        <w:t>The equity program is implemented and administered as per approved program parameters as specified in grant agreements to be provided at the time of the grants and subject to review and approval by the LDCC of Xylem’s Board of Directors. Details of the 2019 program are outlined in the enclosed Executive Compensation Brochure (details for 2020 will be published in mid-March, 2020).</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Special One-Time Sign-on Restricted Stock Units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ind w:left="652" w:right="20"/>
        <w:spacing w:after="0" w:line="254" w:lineRule="auto"/>
        <w:rPr>
          <w:sz w:val="20"/>
          <w:szCs w:val="20"/>
          <w:color w:val="auto"/>
        </w:rPr>
      </w:pPr>
      <w:r>
        <w:rPr>
          <w:rFonts w:ascii="Arial" w:cs="Arial" w:eastAsia="Arial" w:hAnsi="Arial"/>
          <w:sz w:val="18"/>
          <w:szCs w:val="18"/>
          <w:color w:val="auto"/>
        </w:rPr>
        <w:t>To help make the Xylem offer even more attractive and to give the Employee additional immediate equity compensation linked to the future success of Xylem, the Employee will also be eligible for a one-time, Special Sign-On RSU grant of $250,000. The vesting schedule for the sign-on RSUs will provide that, subject to your continued employment, one-third of the sign-on RSUs vests on each anniversary of the grant date.</w:t>
      </w:r>
    </w:p>
    <w:p>
      <w:pPr>
        <w:spacing w:after="0" w:line="23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Special Sign-On RSUs will be granted at the same time as the annual LTIP above.</w:t>
      </w:r>
    </w:p>
    <w:p>
      <w:pPr>
        <w:spacing w:after="0" w:line="252" w:lineRule="exact"/>
        <w:rPr>
          <w:sz w:val="20"/>
          <w:szCs w:val="20"/>
          <w:color w:val="auto"/>
        </w:rPr>
      </w:pPr>
    </w:p>
    <w:p>
      <w:pPr>
        <w:ind w:left="632" w:hanging="632"/>
        <w:spacing w:after="0"/>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ALLOWANCE FOR CAR</w:t>
      </w:r>
    </w:p>
    <w:p>
      <w:pPr>
        <w:spacing w:after="0" w:line="252"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 gross cash allowance of CHF 21,350 per annum is paid to the employee in lieu of a company car.</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DATA PROTECTION</w:t>
      </w:r>
    </w:p>
    <w:p>
      <w:pPr>
        <w:spacing w:after="0" w:line="252" w:lineRule="exact"/>
        <w:rPr>
          <w:rFonts w:ascii="Arial" w:cs="Arial" w:eastAsia="Arial" w:hAnsi="Arial"/>
          <w:sz w:val="18"/>
          <w:szCs w:val="18"/>
          <w:color w:val="auto"/>
        </w:rPr>
      </w:pPr>
    </w:p>
    <w:p>
      <w:pPr>
        <w:ind w:left="652" w:right="140"/>
        <w:spacing w:after="0" w:line="253" w:lineRule="auto"/>
        <w:rPr>
          <w:rFonts w:ascii="Arial" w:cs="Arial" w:eastAsia="Arial" w:hAnsi="Arial"/>
          <w:sz w:val="18"/>
          <w:szCs w:val="18"/>
          <w:color w:val="auto"/>
        </w:rPr>
      </w:pPr>
      <w:r>
        <w:rPr>
          <w:rFonts w:ascii="Arial" w:cs="Arial" w:eastAsia="Arial" w:hAnsi="Arial"/>
          <w:sz w:val="18"/>
          <w:szCs w:val="18"/>
          <w:color w:val="auto"/>
        </w:rPr>
        <w:t>As part of terms and conditions of employment, the Employee gives the Company permission to collect, retain and process information about him, such as age and sex. This will only be used so that the Company can monitor the compliance with law and best practice in terms of equal opportunity and nondiscrimination. The information that the Company holds will be checked with the Employee from time to time to ensure that it remains up to date. Should the Employee’s personal circumstances change the Employee should notify the human resources department immediately.</w:t>
      </w:r>
    </w:p>
    <w:p>
      <w:pPr>
        <w:spacing w:after="0" w:line="232" w:lineRule="exact"/>
        <w:rPr>
          <w:rFonts w:ascii="Arial" w:cs="Arial" w:eastAsia="Arial" w:hAnsi="Arial"/>
          <w:sz w:val="18"/>
          <w:szCs w:val="18"/>
          <w:color w:val="auto"/>
        </w:rPr>
      </w:pPr>
    </w:p>
    <w:p>
      <w:pPr>
        <w:ind w:left="632" w:hanging="632"/>
        <w:spacing w:after="0"/>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COMMUNICATION INFRASTRUCTURE</w:t>
      </w:r>
    </w:p>
    <w:p>
      <w:pPr>
        <w:spacing w:after="0" w:line="252" w:lineRule="exact"/>
        <w:rPr>
          <w:rFonts w:ascii="Arial" w:cs="Arial" w:eastAsia="Arial" w:hAnsi="Arial"/>
          <w:sz w:val="18"/>
          <w:szCs w:val="18"/>
          <w:color w:val="auto"/>
        </w:rPr>
      </w:pPr>
    </w:p>
    <w:p>
      <w:pPr>
        <w:ind w:left="652" w:right="420"/>
        <w:spacing w:after="0" w:line="256" w:lineRule="auto"/>
        <w:rPr>
          <w:rFonts w:ascii="Arial" w:cs="Arial" w:eastAsia="Arial" w:hAnsi="Arial"/>
          <w:sz w:val="18"/>
          <w:szCs w:val="18"/>
          <w:color w:val="auto"/>
        </w:rPr>
      </w:pPr>
      <w:r>
        <w:rPr>
          <w:rFonts w:ascii="Arial" w:cs="Arial" w:eastAsia="Arial" w:hAnsi="Arial"/>
          <w:sz w:val="18"/>
          <w:szCs w:val="18"/>
          <w:color w:val="auto"/>
        </w:rPr>
        <w:t>The Employee shall comply with the Company’s policies and instructions regarding the use of the Company’s telephones, computers, e-mail system, internet services and software programs (“Communication Infrastructure”). The Employee shall at all times refrain from using the Communication Infrastructure for any inappropriate or illegal purpose.</w:t>
      </w:r>
    </w:p>
    <w:p>
      <w:pPr>
        <w:spacing w:after="0" w:line="228" w:lineRule="exact"/>
        <w:rPr>
          <w:rFonts w:ascii="Arial" w:cs="Arial" w:eastAsia="Arial" w:hAnsi="Arial"/>
          <w:sz w:val="18"/>
          <w:szCs w:val="18"/>
          <w:color w:val="auto"/>
        </w:rPr>
      </w:pPr>
    </w:p>
    <w:p>
      <w:pPr>
        <w:ind w:left="632" w:hanging="632"/>
        <w:spacing w:after="0"/>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RESTITUTION OF THE COMPANY’S EQUIPMENT</w:t>
      </w:r>
    </w:p>
    <w:p>
      <w:pPr>
        <w:spacing w:after="0" w:line="252" w:lineRule="exact"/>
        <w:rPr>
          <w:rFonts w:ascii="Arial" w:cs="Arial" w:eastAsia="Arial" w:hAnsi="Arial"/>
          <w:sz w:val="18"/>
          <w:szCs w:val="18"/>
          <w:color w:val="auto"/>
        </w:rPr>
      </w:pPr>
    </w:p>
    <w:p>
      <w:pPr>
        <w:ind w:left="652" w:right="60"/>
        <w:spacing w:after="0" w:line="261" w:lineRule="auto"/>
        <w:rPr>
          <w:rFonts w:ascii="Arial" w:cs="Arial" w:eastAsia="Arial" w:hAnsi="Arial"/>
          <w:sz w:val="18"/>
          <w:szCs w:val="18"/>
          <w:color w:val="auto"/>
        </w:rPr>
      </w:pPr>
      <w:r>
        <w:rPr>
          <w:rFonts w:ascii="Arial" w:cs="Arial" w:eastAsia="Arial" w:hAnsi="Arial"/>
          <w:sz w:val="18"/>
          <w:szCs w:val="18"/>
          <w:color w:val="auto"/>
        </w:rPr>
        <w:t>Both, the Company and the Employee, shall make restitution for everything they have received during the period of the employment relationship from the other party, or from third parties for their account at the end of this employment relationship.</w:t>
      </w:r>
    </w:p>
    <w:p>
      <w:pPr>
        <w:spacing w:after="0" w:line="22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In particular, the Employee shall restitute without delay all Company’s tools, materials, data carrier as well as records of any kind.</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SECRECY</w:t>
      </w:r>
    </w:p>
    <w:p>
      <w:pPr>
        <w:spacing w:after="0" w:line="252" w:lineRule="exact"/>
        <w:rPr>
          <w:rFonts w:ascii="Arial" w:cs="Arial" w:eastAsia="Arial" w:hAnsi="Arial"/>
          <w:sz w:val="18"/>
          <w:szCs w:val="18"/>
          <w:color w:val="auto"/>
        </w:rPr>
      </w:pPr>
    </w:p>
    <w:p>
      <w:pPr>
        <w:ind w:left="652"/>
        <w:spacing w:after="0" w:line="256" w:lineRule="auto"/>
        <w:rPr>
          <w:rFonts w:ascii="Arial" w:cs="Arial" w:eastAsia="Arial" w:hAnsi="Arial"/>
          <w:sz w:val="18"/>
          <w:szCs w:val="18"/>
          <w:color w:val="auto"/>
        </w:rPr>
      </w:pPr>
      <w:r>
        <w:rPr>
          <w:rFonts w:ascii="Arial" w:cs="Arial" w:eastAsia="Arial" w:hAnsi="Arial"/>
          <w:sz w:val="18"/>
          <w:szCs w:val="18"/>
          <w:color w:val="auto"/>
        </w:rPr>
        <w:t>Employee shall not during the term of this Agreement or thereafter make use for his own purpose or disclosure to any third party any confidential information having come to his attention before or during the term of this Agreement pertaining to the Company’s business. All such information and knowledge shall be kept strictly confidential beyond the term of employment.</w:t>
      </w:r>
    </w:p>
    <w:p>
      <w:pPr>
        <w:spacing w:after="0" w:line="228" w:lineRule="exact"/>
        <w:rPr>
          <w:rFonts w:ascii="Arial" w:cs="Arial" w:eastAsia="Arial" w:hAnsi="Arial"/>
          <w:sz w:val="18"/>
          <w:szCs w:val="18"/>
          <w:color w:val="auto"/>
        </w:rPr>
      </w:pPr>
    </w:p>
    <w:p>
      <w:pPr>
        <w:ind w:left="632" w:hanging="632"/>
        <w:spacing w:after="0"/>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BAN / NON-ENTICEMENT / NON-SOLICITATION</w:t>
      </w:r>
    </w:p>
    <w:p>
      <w:pPr>
        <w:spacing w:after="0" w:line="252" w:lineRule="exact"/>
        <w:rPr>
          <w:rFonts w:ascii="Arial" w:cs="Arial" w:eastAsia="Arial" w:hAnsi="Arial"/>
          <w:sz w:val="18"/>
          <w:szCs w:val="18"/>
          <w:color w:val="auto"/>
        </w:rPr>
      </w:pPr>
    </w:p>
    <w:p>
      <w:pPr>
        <w:ind w:left="652" w:right="80"/>
        <w:spacing w:after="0" w:line="254" w:lineRule="auto"/>
        <w:rPr>
          <w:rFonts w:ascii="Arial" w:cs="Arial" w:eastAsia="Arial" w:hAnsi="Arial"/>
          <w:sz w:val="18"/>
          <w:szCs w:val="18"/>
          <w:color w:val="auto"/>
        </w:rPr>
      </w:pPr>
      <w:r>
        <w:rPr>
          <w:rFonts w:ascii="Arial" w:cs="Arial" w:eastAsia="Arial" w:hAnsi="Arial"/>
          <w:sz w:val="18"/>
          <w:szCs w:val="18"/>
          <w:color w:val="auto"/>
        </w:rPr>
        <w:t>The Employee shall not, for as long as the Employee remains an Employee of the Employer and during a period of six months following the termination of this Agreement, alone, or jointly with, or as manager of, agent for, or Employee of any person or as a shareholder directly or indirectly carry on or be engaged, concerned or interested in any business competitive to the business of the Company with an effect in the city of Schaffhausen plus a radius of 30 km.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72"/>
          </w:cols>
          <w:pgMar w:left="328" w:top="1435" w:right="399" w:bottom="1440" w:gutter="0" w:footer="0" w:header="0"/>
        </w:sectPr>
      </w:pPr>
    </w:p>
    <w:bookmarkStart w:id="54" w:name="page55"/>
    <w:bookmarkEnd w:id="54"/>
    <w:p>
      <w:pPr>
        <w:ind w:left="652" w:right="80"/>
        <w:spacing w:after="0" w:line="252" w:lineRule="auto"/>
        <w:rPr>
          <w:sz w:val="20"/>
          <w:szCs w:val="20"/>
          <w:color w:val="auto"/>
        </w:rPr>
      </w:pPr>
      <w:r>
        <w:rPr>
          <w:rFonts w:ascii="Arial" w:cs="Arial" w:eastAsia="Arial" w:hAnsi="Arial"/>
          <w:sz w:val="18"/>
          <w:szCs w:val="18"/>
          <w:color w:val="auto"/>
        </w:rPr>
        <w:t>The Employee shall not, for as long as he remains an Employee of the Company and during a period of six of months following the termination of this Agreement whether direct nor indirect as manager, agent, employee, shareholder or partner of another entity, solicit, induce or attempt to induce any person who is an Employee of the Company, to leave the Company or to engage in any business that competes with the Company, hire or assist in the hiring of any person who is an Employee of the Company to work for any business that competes with the Company or to solicit, induce or attempt to induce any person or company that is a customer of the Company to discontinue or modify its customer relationship with the Company.</w:t>
      </w:r>
    </w:p>
    <w:p>
      <w:pPr>
        <w:spacing w:after="0" w:line="235" w:lineRule="exact"/>
        <w:rPr>
          <w:sz w:val="20"/>
          <w:szCs w:val="20"/>
          <w:color w:val="auto"/>
        </w:rPr>
      </w:pPr>
    </w:p>
    <w:p>
      <w:pPr>
        <w:ind w:left="652" w:right="80"/>
        <w:spacing w:after="0" w:line="252" w:lineRule="auto"/>
        <w:rPr>
          <w:sz w:val="20"/>
          <w:szCs w:val="20"/>
          <w:color w:val="auto"/>
        </w:rPr>
      </w:pPr>
      <w:r>
        <w:rPr>
          <w:rFonts w:ascii="Arial" w:cs="Arial" w:eastAsia="Arial" w:hAnsi="Arial"/>
          <w:sz w:val="18"/>
          <w:szCs w:val="18"/>
          <w:color w:val="auto"/>
        </w:rPr>
        <w:t>For any violation of this competition ban or non-enticement/non-solicitation clause the Employee hereby undertakes to pay a penalty equal to 3 times Employee’s last monthly salary. Payment of such amount shall not relieve the Employee of the Employee’s obligation not to compete as set out in this clause and the Company remains entitled to seek further damages sustained as a result of Employee’s violation. The Employee acknowledges that the Company may, in addition to the penalty and the compensation of its damages, also ask for the removal of the situation in violation of this competition ban and also ask for an injunction restraining the Employee from violation of this competition ban in accordance with the principles set out in Art. 340b of the Swiss Code of Obligations.</w:t>
      </w:r>
    </w:p>
    <w:p>
      <w:pPr>
        <w:spacing w:after="0" w:line="234" w:lineRule="exact"/>
        <w:rPr>
          <w:sz w:val="20"/>
          <w:szCs w:val="20"/>
          <w:color w:val="auto"/>
        </w:rPr>
      </w:pPr>
    </w:p>
    <w:p>
      <w:pPr>
        <w:ind w:left="632" w:hanging="632"/>
        <w:spacing w:after="0"/>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FORMER CONTRACTS</w:t>
      </w:r>
    </w:p>
    <w:p>
      <w:pPr>
        <w:spacing w:after="0" w:line="252" w:lineRule="exact"/>
        <w:rPr>
          <w:rFonts w:ascii="Arial" w:cs="Arial" w:eastAsia="Arial" w:hAnsi="Arial"/>
          <w:sz w:val="18"/>
          <w:szCs w:val="18"/>
          <w:color w:val="auto"/>
        </w:rPr>
      </w:pPr>
    </w:p>
    <w:p>
      <w:pPr>
        <w:ind w:left="652" w:right="80"/>
        <w:spacing w:after="0" w:line="256" w:lineRule="auto"/>
        <w:rPr>
          <w:rFonts w:ascii="Arial" w:cs="Arial" w:eastAsia="Arial" w:hAnsi="Arial"/>
          <w:sz w:val="18"/>
          <w:szCs w:val="18"/>
          <w:color w:val="auto"/>
        </w:rPr>
      </w:pPr>
      <w:r>
        <w:rPr>
          <w:rFonts w:ascii="Arial" w:cs="Arial" w:eastAsia="Arial" w:hAnsi="Arial"/>
          <w:sz w:val="18"/>
          <w:szCs w:val="18"/>
          <w:color w:val="auto"/>
        </w:rPr>
        <w:t>This Agreement shall be in substitution for any previous letters of appointment, agreements or arrangements, whether written or oral relating to the Employment. The parties expressly exclude any provisions regarding the “dismissal with the option of altered conditions of employment” (=Änderungskündigung).</w:t>
      </w:r>
    </w:p>
    <w:p>
      <w:pPr>
        <w:spacing w:after="0" w:line="228" w:lineRule="exact"/>
        <w:rPr>
          <w:rFonts w:ascii="Arial" w:cs="Arial" w:eastAsia="Arial" w:hAnsi="Arial"/>
          <w:sz w:val="18"/>
          <w:szCs w:val="18"/>
          <w:color w:val="auto"/>
        </w:rPr>
      </w:pPr>
    </w:p>
    <w:p>
      <w:pPr>
        <w:ind w:left="632" w:hanging="632"/>
        <w:spacing w:after="0"/>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252" w:lineRule="exact"/>
        <w:rPr>
          <w:rFonts w:ascii="Arial" w:cs="Arial" w:eastAsia="Arial" w:hAnsi="Arial"/>
          <w:sz w:val="18"/>
          <w:szCs w:val="18"/>
          <w:color w:val="auto"/>
        </w:rPr>
      </w:pPr>
    </w:p>
    <w:p>
      <w:pPr>
        <w:ind w:left="652" w:right="80"/>
        <w:spacing w:after="0" w:line="256" w:lineRule="auto"/>
        <w:rPr>
          <w:rFonts w:ascii="Arial" w:cs="Arial" w:eastAsia="Arial" w:hAnsi="Arial"/>
          <w:sz w:val="18"/>
          <w:szCs w:val="18"/>
          <w:color w:val="auto"/>
        </w:rPr>
      </w:pPr>
      <w:r>
        <w:rPr>
          <w:rFonts w:ascii="Arial" w:cs="Arial" w:eastAsia="Arial" w:hAnsi="Arial"/>
          <w:sz w:val="18"/>
          <w:szCs w:val="18"/>
          <w:color w:val="auto"/>
        </w:rPr>
        <w:t>If any part, term or provision of this Agreement shall be held void, illegal, unenforceable, or in conflict with any law having jurisdiction over this Agreement, it shall be adjusted rather than voided, if possible, in order to achieve the intent of the parties to this Employment Contract to the fullest extent possible and the validity of the remaining provisions shall not be affected thereby.</w:t>
      </w:r>
    </w:p>
    <w:p>
      <w:pPr>
        <w:spacing w:after="0" w:line="228" w:lineRule="exact"/>
        <w:rPr>
          <w:rFonts w:ascii="Arial" w:cs="Arial" w:eastAsia="Arial" w:hAnsi="Arial"/>
          <w:sz w:val="18"/>
          <w:szCs w:val="18"/>
          <w:color w:val="auto"/>
        </w:rPr>
      </w:pPr>
    </w:p>
    <w:p>
      <w:pPr>
        <w:ind w:left="632" w:hanging="632"/>
        <w:spacing w:after="0"/>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AMENDMENT</w:t>
      </w:r>
    </w:p>
    <w:p>
      <w:pPr>
        <w:spacing w:after="0" w:line="252" w:lineRule="exact"/>
        <w:rPr>
          <w:rFonts w:ascii="Arial" w:cs="Arial" w:eastAsia="Arial" w:hAnsi="Arial"/>
          <w:sz w:val="18"/>
          <w:szCs w:val="18"/>
          <w:color w:val="auto"/>
        </w:rPr>
      </w:pPr>
    </w:p>
    <w:p>
      <w:pPr>
        <w:ind w:left="652" w:right="540"/>
        <w:spacing w:after="0" w:line="261" w:lineRule="auto"/>
        <w:rPr>
          <w:rFonts w:ascii="Arial" w:cs="Arial" w:eastAsia="Arial" w:hAnsi="Arial"/>
          <w:sz w:val="18"/>
          <w:szCs w:val="18"/>
          <w:color w:val="auto"/>
        </w:rPr>
      </w:pPr>
      <w:r>
        <w:rPr>
          <w:rFonts w:ascii="Arial" w:cs="Arial" w:eastAsia="Arial" w:hAnsi="Arial"/>
          <w:sz w:val="18"/>
          <w:szCs w:val="18"/>
          <w:color w:val="auto"/>
        </w:rPr>
        <w:t>This Agreement may be modified or amended only by written agreement between the parties and any provision hereof may be waived only by a document signed by the party waiving such provision.</w:t>
      </w:r>
    </w:p>
    <w:p>
      <w:pPr>
        <w:spacing w:after="0" w:line="224" w:lineRule="exact"/>
        <w:rPr>
          <w:rFonts w:ascii="Arial" w:cs="Arial" w:eastAsia="Arial" w:hAnsi="Arial"/>
          <w:sz w:val="18"/>
          <w:szCs w:val="18"/>
          <w:color w:val="auto"/>
        </w:rPr>
      </w:pPr>
    </w:p>
    <w:p>
      <w:pPr>
        <w:ind w:left="632" w:hanging="632"/>
        <w:spacing w:after="0"/>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PROVISIONS, TERMS AND CONDITIONS</w:t>
      </w:r>
    </w:p>
    <w:p>
      <w:pPr>
        <w:spacing w:after="0" w:line="252"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The following regulation(s), terms and conditions form an integral part of the employment relationship:</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HANDBOOK</w:t>
      </w:r>
    </w:p>
    <w:p>
      <w:pPr>
        <w:spacing w:after="0" w:line="252" w:lineRule="exact"/>
        <w:rPr>
          <w:rFonts w:ascii="Arial" w:cs="Arial" w:eastAsia="Arial" w:hAnsi="Arial"/>
          <w:sz w:val="18"/>
          <w:szCs w:val="18"/>
          <w:color w:val="auto"/>
        </w:rPr>
      </w:pPr>
    </w:p>
    <w:p>
      <w:pPr>
        <w:ind w:left="652" w:right="140"/>
        <w:spacing w:after="0" w:line="254" w:lineRule="auto"/>
        <w:rPr>
          <w:rFonts w:ascii="Arial" w:cs="Arial" w:eastAsia="Arial" w:hAnsi="Arial"/>
          <w:sz w:val="18"/>
          <w:szCs w:val="18"/>
          <w:color w:val="auto"/>
        </w:rPr>
      </w:pPr>
      <w:r>
        <w:rPr>
          <w:rFonts w:ascii="Arial" w:cs="Arial" w:eastAsia="Arial" w:hAnsi="Arial"/>
          <w:sz w:val="18"/>
          <w:szCs w:val="18"/>
          <w:color w:val="auto"/>
        </w:rPr>
        <w:t>If provisions of said document(s) are differing from the individual employment contract, provisions of the individual employment contract shall prevail. If provisions of said documents are contradictory amongst themselves, the provisions in the document prior to the other documents as according to the order stated hereinabove shall prevail. The statutory provisions of the Code of Obligations (OR) and the Employment Act remain reserved.</w:t>
      </w:r>
    </w:p>
    <w:p>
      <w:pPr>
        <w:spacing w:after="0" w:line="230" w:lineRule="exact"/>
        <w:rPr>
          <w:rFonts w:ascii="Arial" w:cs="Arial" w:eastAsia="Arial" w:hAnsi="Arial"/>
          <w:sz w:val="18"/>
          <w:szCs w:val="18"/>
          <w:color w:val="auto"/>
        </w:rPr>
      </w:pPr>
    </w:p>
    <w:p>
      <w:pPr>
        <w:ind w:left="652"/>
        <w:spacing w:after="0" w:line="261" w:lineRule="auto"/>
        <w:rPr>
          <w:rFonts w:ascii="Arial" w:cs="Arial" w:eastAsia="Arial" w:hAnsi="Arial"/>
          <w:sz w:val="18"/>
          <w:szCs w:val="18"/>
          <w:color w:val="auto"/>
        </w:rPr>
      </w:pPr>
      <w:r>
        <w:rPr>
          <w:rFonts w:ascii="Arial" w:cs="Arial" w:eastAsia="Arial" w:hAnsi="Arial"/>
          <w:sz w:val="18"/>
          <w:szCs w:val="18"/>
          <w:color w:val="auto"/>
        </w:rPr>
        <w:t>The Employee herewith confirms, that he has received the above mentioned documents before signing this employment contract and that he agrees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32"/>
          </w:cols>
          <w:pgMar w:left="328" w:top="1435" w:right="339" w:bottom="1440" w:gutter="0" w:footer="0" w:header="0"/>
        </w:sectPr>
      </w:pPr>
    </w:p>
    <w:bookmarkStart w:id="55" w:name="page56"/>
    <w:bookmarkEnd w:id="55"/>
    <w:p>
      <w:pPr>
        <w:spacing w:after="0" w:line="238"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PERMIT / RESIDENCE PERMIT</w:t>
      </w:r>
    </w:p>
    <w:p>
      <w:pPr>
        <w:spacing w:after="0" w:line="252"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This Employment Contract becomes effective under the suspensive condition that the Employee has been granted a valid work and residence permission, which the Company will support and sponsor obtaining for the Employee.</w:t>
      </w:r>
    </w:p>
    <w:p>
      <w:pPr>
        <w:spacing w:after="0" w:line="224" w:lineRule="exact"/>
        <w:rPr>
          <w:rFonts w:ascii="Arial" w:cs="Arial" w:eastAsia="Arial" w:hAnsi="Arial"/>
          <w:sz w:val="18"/>
          <w:szCs w:val="18"/>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APPLICABLE LAW</w:t>
      </w:r>
    </w:p>
    <w:p>
      <w:pPr>
        <w:spacing w:after="0" w:line="252" w:lineRule="exact"/>
        <w:rPr>
          <w:rFonts w:ascii="Arial" w:cs="Arial" w:eastAsia="Arial" w:hAnsi="Arial"/>
          <w:sz w:val="18"/>
          <w:szCs w:val="18"/>
          <w:color w:val="auto"/>
        </w:rPr>
      </w:pPr>
    </w:p>
    <w:p>
      <w:pPr>
        <w:ind w:left="660" w:right="160"/>
        <w:spacing w:after="0" w:line="261" w:lineRule="auto"/>
        <w:rPr>
          <w:rFonts w:ascii="Arial" w:cs="Arial" w:eastAsia="Arial" w:hAnsi="Arial"/>
          <w:sz w:val="18"/>
          <w:szCs w:val="18"/>
          <w:color w:val="auto"/>
        </w:rPr>
      </w:pPr>
      <w:r>
        <w:rPr>
          <w:rFonts w:ascii="Arial" w:cs="Arial" w:eastAsia="Arial" w:hAnsi="Arial"/>
          <w:sz w:val="18"/>
          <w:szCs w:val="18"/>
          <w:color w:val="auto"/>
        </w:rPr>
        <w:t>This Agreement and all the rights and obligations of the parties hereto shall be governed by and construed in accordance with the laws of Switzerland.</w:t>
      </w:r>
    </w:p>
    <w:p>
      <w:pPr>
        <w:spacing w:after="0" w:line="224" w:lineRule="exact"/>
        <w:rPr>
          <w:rFonts w:ascii="Arial" w:cs="Arial" w:eastAsia="Arial" w:hAnsi="Arial"/>
          <w:sz w:val="18"/>
          <w:szCs w:val="18"/>
          <w:color w:val="auto"/>
        </w:rPr>
      </w:pPr>
    </w:p>
    <w:p>
      <w:pPr>
        <w:ind w:left="660" w:right="220"/>
        <w:spacing w:after="0" w:line="261" w:lineRule="auto"/>
        <w:rPr>
          <w:rFonts w:ascii="Arial" w:cs="Arial" w:eastAsia="Arial" w:hAnsi="Arial"/>
          <w:sz w:val="18"/>
          <w:szCs w:val="18"/>
          <w:color w:val="auto"/>
        </w:rPr>
      </w:pPr>
      <w:r>
        <w:rPr>
          <w:rFonts w:ascii="Arial" w:cs="Arial" w:eastAsia="Arial" w:hAnsi="Arial"/>
          <w:sz w:val="18"/>
          <w:szCs w:val="18"/>
          <w:color w:val="auto"/>
        </w:rPr>
        <w:t>The place of jurisdiction for disputes arising from this employment relationship shall be either the domicile of the defendant or the place where the Employee usually performs work.</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Schaffhausen, February 26, 2020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w w:val="99"/>
              </w:rPr>
              <w:t>[PLACE ON FILE WITH THE COMPANY], 27 February 2020</w:t>
            </w:r>
          </w:p>
        </w:tc>
      </w:tr>
      <w:tr>
        <w:trPr>
          <w:trHeight w:val="621"/>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Place, date</w:t>
            </w:r>
          </w:p>
        </w:tc>
        <w:tc>
          <w:tcPr>
            <w:tcW w:w="4840" w:type="dxa"/>
            <w:vAlign w:val="bottom"/>
            <w:gridSpan w:val="2"/>
          </w:tcPr>
          <w:p>
            <w:pPr>
              <w:spacing w:after="0"/>
              <w:rPr>
                <w:sz w:val="20"/>
                <w:szCs w:val="20"/>
                <w:color w:val="auto"/>
              </w:rPr>
            </w:pPr>
            <w:r>
              <w:rPr>
                <w:rFonts w:ascii="Arial" w:cs="Arial" w:eastAsia="Arial" w:hAnsi="Arial"/>
                <w:sz w:val="18"/>
                <w:szCs w:val="18"/>
                <w:color w:val="auto"/>
              </w:rPr>
              <w:t>Place, date</w:t>
            </w:r>
          </w:p>
        </w:tc>
      </w:tr>
      <w:tr>
        <w:trPr>
          <w:trHeight w:val="76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The Company</w:t>
            </w:r>
          </w:p>
        </w:tc>
        <w:tc>
          <w:tcPr>
            <w:tcW w:w="4840" w:type="dxa"/>
            <w:vAlign w:val="bottom"/>
            <w:gridSpan w:val="2"/>
          </w:tcPr>
          <w:p>
            <w:pPr>
              <w:spacing w:after="0"/>
              <w:rPr>
                <w:sz w:val="20"/>
                <w:szCs w:val="20"/>
                <w:color w:val="auto"/>
              </w:rPr>
            </w:pPr>
            <w:r>
              <w:rPr>
                <w:rFonts w:ascii="Arial" w:cs="Arial" w:eastAsia="Arial" w:hAnsi="Arial"/>
                <w:sz w:val="18"/>
                <w:szCs w:val="18"/>
                <w:color w:val="auto"/>
              </w:rPr>
              <w:t>The Employee</w:t>
            </w:r>
          </w:p>
        </w:tc>
      </w:tr>
      <w:tr>
        <w:trPr>
          <w:trHeight w:val="76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Lou Corapi</w:t>
            </w:r>
          </w:p>
        </w:tc>
        <w:tc>
          <w:tcPr>
            <w:tcW w:w="86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Hayati Yarkadas</w:t>
            </w:r>
          </w:p>
        </w:tc>
        <w:tc>
          <w:tcPr>
            <w:tcW w:w="1160" w:type="dxa"/>
            <w:vAlign w:val="bottom"/>
          </w:tcPr>
          <w:p>
            <w:pPr>
              <w:spacing w:after="0"/>
              <w:rPr>
                <w:sz w:val="24"/>
                <w:szCs w:val="24"/>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Lou Corapi</w:t>
            </w:r>
          </w:p>
        </w:tc>
        <w:tc>
          <w:tcPr>
            <w:tcW w:w="4840" w:type="dxa"/>
            <w:vAlign w:val="bottom"/>
            <w:gridSpan w:val="2"/>
          </w:tcPr>
          <w:p>
            <w:pPr>
              <w:spacing w:after="0"/>
              <w:rPr>
                <w:sz w:val="20"/>
                <w:szCs w:val="20"/>
                <w:color w:val="auto"/>
              </w:rPr>
            </w:pPr>
            <w:r>
              <w:rPr>
                <w:rFonts w:ascii="Arial" w:cs="Arial" w:eastAsia="Arial" w:hAnsi="Arial"/>
                <w:sz w:val="18"/>
                <w:szCs w:val="18"/>
                <w:color w:val="auto"/>
              </w:rPr>
              <w:t>Hayati Yarkadas</w:t>
            </w: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VP Finance, Water Infrastructure</w:t>
            </w:r>
          </w:p>
        </w:tc>
        <w:tc>
          <w:tcPr>
            <w:tcW w:w="3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and Europe Commercial Team</w:t>
            </w:r>
          </w:p>
        </w:tc>
        <w:tc>
          <w:tcPr>
            <w:tcW w:w="3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782"/>
        </w:trPr>
        <w:tc>
          <w:tcPr>
            <w:tcW w:w="4540" w:type="dxa"/>
            <w:vAlign w:val="bottom"/>
            <w:gridSpan w:val="2"/>
          </w:tcPr>
          <w:p>
            <w:pPr>
              <w:spacing w:after="0"/>
              <w:rPr>
                <w:sz w:val="20"/>
                <w:szCs w:val="20"/>
                <w:color w:val="auto"/>
              </w:rPr>
            </w:pPr>
            <w:r>
              <w:rPr>
                <w:rFonts w:ascii="Arial" w:cs="Arial" w:eastAsia="Arial" w:hAnsi="Arial"/>
                <w:sz w:val="18"/>
                <w:szCs w:val="18"/>
                <w:color w:val="auto"/>
              </w:rPr>
              <w:t>cc:  Patrick Decker</w:t>
            </w:r>
          </w:p>
        </w:tc>
        <w:tc>
          <w:tcPr>
            <w:tcW w:w="3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7"/>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Kairus Tarapore</w:t>
            </w:r>
          </w:p>
        </w:tc>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Enclosures</w:t>
      </w:r>
    </w:p>
    <w:p>
      <w:pPr>
        <w:spacing w:after="0" w:line="3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Proprietary Information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Xylem Europe GmbH Pension Fund details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Xylem Stock Ownership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Xylem Senior Executive Severance Pay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Xylem Special Senior Executive Severance Pay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Xylem 2019 Executive Compensation brochure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440" w:right="4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[YEAR] NON-QUALIFIED STOCK OPTION AWARD AGREEMENT</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Terms used in this Agreement that are not defined in this Agreement are defined in the Company’s 2011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209" w:lineRule="exact"/>
        <w:rPr>
          <w:sz w:val="20"/>
          <w:szCs w:val="20"/>
          <w:color w:val="auto"/>
        </w:rPr>
      </w:pPr>
    </w:p>
    <w:p>
      <w:pPr>
        <w:jc w:val="both"/>
        <w:ind w:left="340" w:hanging="332"/>
        <w:spacing w:after="0" w:line="268" w:lineRule="auto"/>
        <w:tabs>
          <w:tab w:leader="none" w:pos="32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Non-Qualified Stock Options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w:t>
      </w:r>
      <w:r>
        <w:rPr>
          <w:rFonts w:ascii="Arial" w:cs="Arial" w:eastAsia="Arial" w:hAnsi="Arial"/>
          <w:sz w:val="18"/>
          <w:szCs w:val="18"/>
          <w:color w:val="auto"/>
        </w:rPr>
        <w:t>, (the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the option to purchase from the Company all or any part of an aggregate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shares (the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at the purchase price of </w:t>
      </w:r>
      <w:r>
        <w:rPr>
          <w:rFonts w:ascii="Arial" w:cs="Arial" w:eastAsia="Arial" w:hAnsi="Arial"/>
          <w:sz w:val="18"/>
          <w:szCs w:val="18"/>
          <w:b w:val="1"/>
          <w:bCs w:val="1"/>
          <w:color w:val="auto"/>
        </w:rPr>
        <w:t>###GRANT_PRICE###</w:t>
      </w:r>
      <w:r>
        <w:rPr>
          <w:rFonts w:ascii="Arial" w:cs="Arial" w:eastAsia="Arial" w:hAnsi="Arial"/>
          <w:sz w:val="18"/>
          <w:szCs w:val="18"/>
          <w:color w:val="auto"/>
        </w:rPr>
        <w:t xml:space="preserve">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19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274" w:lineRule="exact"/>
        <w:rPr>
          <w:rFonts w:ascii="Arial" w:cs="Arial" w:eastAsia="Arial" w:hAnsi="Arial"/>
          <w:sz w:val="18"/>
          <w:szCs w:val="18"/>
          <w:b w:val="1"/>
          <w:bCs w:val="1"/>
          <w:color w:val="auto"/>
        </w:rPr>
      </w:pPr>
    </w:p>
    <w:p>
      <w:pPr>
        <w:jc w:val="both"/>
        <w:ind w:left="660" w:hanging="328"/>
        <w:spacing w:after="0" w:line="256" w:lineRule="auto"/>
        <w:tabs>
          <w:tab w:leader="none" w:pos="843"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grant of Options is voluntary and occasional and does not create any contractual or other right to receive future grants of Options, or benefits in lieu of Options, even if Options have been granted in the past. All decisions with respect to future grants will be at the sole discretion of the Company;</w:t>
      </w:r>
    </w:p>
    <w:p>
      <w:pPr>
        <w:spacing w:after="0" w:line="228" w:lineRule="exact"/>
        <w:rPr>
          <w:rFonts w:ascii="Arial" w:cs="Arial" w:eastAsia="Arial" w:hAnsi="Arial"/>
          <w:sz w:val="18"/>
          <w:szCs w:val="18"/>
          <w:color w:val="auto"/>
        </w:rPr>
      </w:pPr>
    </w:p>
    <w:p>
      <w:pPr>
        <w:ind w:left="740" w:hanging="408"/>
        <w:spacing w:after="0"/>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Options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228" w:lineRule="exact"/>
        <w:rPr>
          <w:rFonts w:ascii="Arial" w:cs="Arial" w:eastAsia="Arial" w:hAnsi="Arial"/>
          <w:sz w:val="18"/>
          <w:szCs w:val="18"/>
          <w:color w:val="auto"/>
        </w:rPr>
      </w:pPr>
    </w:p>
    <w:p>
      <w:pPr>
        <w:ind w:left="760" w:hanging="428"/>
        <w:spacing w:after="0"/>
        <w:tabs>
          <w:tab w:leader="none" w:pos="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52" w:lineRule="exact"/>
        <w:rPr>
          <w:rFonts w:ascii="Arial" w:cs="Arial" w:eastAsia="Arial" w:hAnsi="Arial"/>
          <w:sz w:val="18"/>
          <w:szCs w:val="18"/>
          <w:color w:val="auto"/>
        </w:rPr>
      </w:pPr>
    </w:p>
    <w:p>
      <w:pPr>
        <w:ind w:left="660" w:hanging="328"/>
        <w:spacing w:after="0" w:line="261" w:lineRule="auto"/>
        <w:tabs>
          <w:tab w:leader="none" w:pos="8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Options resulting from the termination of the Participant's employment; and</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7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Options or of any amounts due to the Participant on exercise of the Options or on the subsequent sale of any shares acquired on exercise.</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The Options are subject to the following additional terms and conditions:</w:t>
      </w:r>
    </w:p>
    <w:p>
      <w:pPr>
        <w:spacing w:after="0" w:line="252" w:lineRule="exact"/>
        <w:rPr>
          <w:rFonts w:ascii="Arial" w:cs="Arial" w:eastAsia="Arial" w:hAnsi="Arial"/>
          <w:sz w:val="18"/>
          <w:szCs w:val="18"/>
          <w:b w:val="1"/>
          <w:bCs w:val="1"/>
          <w:color w:val="auto"/>
        </w:rPr>
      </w:pPr>
    </w:p>
    <w:p>
      <w:pPr>
        <w:ind w:left="660" w:hanging="328"/>
        <w:spacing w:after="0" w:line="287" w:lineRule="auto"/>
        <w:tabs>
          <w:tab w:leader="none" w:pos="769"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 The Options will expire on</w:t>
      </w:r>
      <w:r>
        <w:rPr>
          <w:rFonts w:ascii="Arial" w:cs="Arial" w:eastAsia="Arial" w:hAnsi="Arial"/>
          <w:sz w:val="18"/>
          <w:szCs w:val="18"/>
          <w:b w:val="1"/>
          <w:bCs w:val="1"/>
          <w:color w:val="auto"/>
        </w:rPr>
        <w:t xml:space="preserve"> ###EXPIRY_DATE###</w:t>
      </w:r>
      <w:r>
        <w:rPr>
          <w:rFonts w:ascii="Arial" w:cs="Arial" w:eastAsia="Arial" w:hAnsi="Arial"/>
          <w:sz w:val="18"/>
          <w:szCs w:val="18"/>
          <w:color w:val="auto"/>
        </w:rPr>
        <w:t>, or, if the Participant’s employment terminates before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specified in subsection 2(e) below.</w:t>
      </w:r>
    </w:p>
    <w:p>
      <w:pPr>
        <w:spacing w:after="0" w:line="179" w:lineRule="exact"/>
        <w:rPr>
          <w:rFonts w:ascii="Arial" w:cs="Arial" w:eastAsia="Arial" w:hAnsi="Arial"/>
          <w:sz w:val="18"/>
          <w:szCs w:val="18"/>
          <w:color w:val="auto"/>
        </w:rPr>
      </w:pPr>
    </w:p>
    <w:p>
      <w:pPr>
        <w:ind w:left="760" w:hanging="428"/>
        <w:spacing w:after="0"/>
        <w:tabs>
          <w:tab w:leader="none" w:pos="760"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Exercise of Options</w:t>
      </w:r>
      <w:r>
        <w:rPr>
          <w:rFonts w:ascii="Arial" w:cs="Arial" w:eastAsia="Arial" w:hAnsi="Arial"/>
          <w:sz w:val="18"/>
          <w:szCs w:val="18"/>
          <w:color w:val="auto"/>
        </w:rPr>
        <w:t>. The Options cannot be exercised until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57" w:name="page58"/>
    <w:bookmarkEnd w:id="57"/>
    <w:p>
      <w:pPr>
        <w:spacing w:after="0" w:line="216" w:lineRule="exact"/>
        <w:rPr>
          <w:sz w:val="20"/>
          <w:szCs w:val="20"/>
          <w:color w:val="auto"/>
        </w:rPr>
      </w:pPr>
    </w:p>
    <w:p>
      <w:pPr>
        <w:ind w:left="328" w:hanging="328"/>
        <w:spacing w:after="0" w:line="287" w:lineRule="auto"/>
        <w:tabs>
          <w:tab w:leader="none" w:pos="427"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Options will vest if the Participant has been actively employed by the Company or an Affiliate from the Grant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date. Active employment does not include any potential severance period.</w:t>
      </w:r>
    </w:p>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Subject to subsections 2(a), 2(d), and 2(e), the Options will vest in 3 installments as follows:</w:t>
      </w: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###VEST_SCHEDULE_TABLE###</w:t>
      </w:r>
    </w:p>
    <w:p>
      <w:pPr>
        <w:spacing w:after="0" w:line="252" w:lineRule="exact"/>
        <w:rPr>
          <w:sz w:val="20"/>
          <w:szCs w:val="20"/>
          <w:color w:val="auto"/>
        </w:rPr>
      </w:pPr>
    </w:p>
    <w:p>
      <w:pPr>
        <w:ind w:left="328"/>
        <w:spacing w:after="0"/>
        <w:rPr>
          <w:sz w:val="20"/>
          <w:szCs w:val="20"/>
          <w:color w:val="auto"/>
        </w:rPr>
      </w:pPr>
      <w:r>
        <w:rPr>
          <w:rFonts w:ascii="Arial" w:cs="Arial" w:eastAsia="Arial" w:hAnsi="Arial"/>
          <w:sz w:val="18"/>
          <w:szCs w:val="18"/>
          <w:b w:val="1"/>
          <w:bCs w:val="1"/>
          <w:color w:val="auto"/>
        </w:rPr>
        <w:t>March 1, 2021</w:t>
      </w:r>
      <w:r>
        <w:rPr>
          <w:rFonts w:ascii="Arial" w:cs="Arial" w:eastAsia="Arial" w:hAnsi="Arial"/>
          <w:sz w:val="18"/>
          <w:szCs w:val="18"/>
          <w:color w:val="auto"/>
        </w:rPr>
        <w:t>,</w:t>
      </w:r>
      <w:r>
        <w:rPr>
          <w:rFonts w:ascii="Arial" w:cs="Arial" w:eastAsia="Arial" w:hAnsi="Arial"/>
          <w:sz w:val="18"/>
          <w:szCs w:val="18"/>
          <w:b w:val="1"/>
          <w:bCs w:val="1"/>
          <w:color w:val="auto"/>
        </w:rPr>
        <w:t xml:space="preserve"> March 1, 2022</w:t>
      </w:r>
      <w:r>
        <w:rPr>
          <w:rFonts w:ascii="Arial" w:cs="Arial" w:eastAsia="Arial" w:hAnsi="Arial"/>
          <w:sz w:val="18"/>
          <w:szCs w:val="18"/>
          <w:color w:val="auto"/>
        </w:rPr>
        <w:t>,</w:t>
      </w:r>
      <w:r>
        <w:rPr>
          <w:rFonts w:ascii="Arial" w:cs="Arial" w:eastAsia="Arial" w:hAnsi="Arial"/>
          <w:sz w:val="18"/>
          <w:szCs w:val="18"/>
          <w:b w:val="1"/>
          <w:bCs w:val="1"/>
          <w:color w:val="auto"/>
        </w:rPr>
        <w:t xml:space="preserve"> March 1, 2023 </w:t>
      </w:r>
      <w:r>
        <w:rPr>
          <w:rFonts w:ascii="Arial" w:cs="Arial" w:eastAsia="Arial" w:hAnsi="Arial"/>
          <w:sz w:val="18"/>
          <w:szCs w:val="18"/>
          <w:color w:val="auto"/>
        </w:rPr>
        <w:t>are the respective “</w:t>
      </w:r>
      <w:r>
        <w:rPr>
          <w:rFonts w:ascii="Arial" w:cs="Arial" w:eastAsia="Arial" w:hAnsi="Arial"/>
          <w:sz w:val="18"/>
          <w:szCs w:val="18"/>
          <w:b w:val="1"/>
          <w:bCs w:val="1"/>
          <w:color w:val="auto"/>
        </w:rPr>
        <w:t>Vest Period Start Dates</w:t>
      </w:r>
      <w:r>
        <w:rPr>
          <w:rFonts w:ascii="Arial" w:cs="Arial" w:eastAsia="Arial" w:hAnsi="Arial"/>
          <w:sz w:val="18"/>
          <w:szCs w:val="18"/>
          <w:color w:val="auto"/>
        </w:rPr>
        <w:t>” for each of the 3 installments.</w:t>
      </w:r>
    </w:p>
    <w:p>
      <w:pPr>
        <w:spacing w:after="0" w:line="252" w:lineRule="exact"/>
        <w:rPr>
          <w:sz w:val="20"/>
          <w:szCs w:val="20"/>
          <w:color w:val="auto"/>
        </w:rPr>
      </w:pPr>
    </w:p>
    <w:p>
      <w:pPr>
        <w:jc w:val="both"/>
        <w:ind w:left="328" w:hanging="328"/>
        <w:spacing w:after="0" w:line="256" w:lineRule="auto"/>
        <w:tabs>
          <w:tab w:leader="none" w:pos="437"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vesting date, if the acquiring or surviving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transaction assumes or continues any then outstanding Options, then the unvested Options will continue to vest based on the Options’ service-based vesting criteria until the vesting date. If the Participant's active employment with the Company or an Affiliate is terminated by the Company or an Affiliate without Cause or by the Participant (for applicable Participants only) for Good Reason within 2 years of a Change in Control, any unvested and any converted Options will become 100% vested on the termination date.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active employment.</w:t>
      </w:r>
    </w:p>
    <w:p>
      <w:pPr>
        <w:spacing w:after="0" w:line="210"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t>
      </w:r>
      <w:r>
        <w:rPr>
          <w:rFonts w:ascii="Arial" w:cs="Arial" w:eastAsia="Arial" w:hAnsi="Arial"/>
          <w:sz w:val="18"/>
          <w:szCs w:val="18"/>
          <w:b w:val="1"/>
          <w:bCs w:val="1"/>
          <w:color w:val="auto"/>
        </w:rPr>
        <w:t>Willful</w:t>
      </w:r>
      <w:r>
        <w:rPr>
          <w:rFonts w:ascii="Arial" w:cs="Arial" w:eastAsia="Arial" w:hAnsi="Arial"/>
          <w:sz w:val="18"/>
          <w:szCs w:val="18"/>
          <w:color w:val="auto"/>
        </w:rPr>
        <w:t>” means the action is done or omitted in bad faith or without reasonable belief that the action or omission was in the best interests of the Company.</w:t>
      </w:r>
    </w:p>
    <w:p>
      <w:pPr>
        <w:spacing w:after="0" w:line="206"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231"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209" w:lineRule="exact"/>
        <w:rPr>
          <w:sz w:val="20"/>
          <w:szCs w:val="20"/>
          <w:color w:val="auto"/>
        </w:rPr>
      </w:pPr>
    </w:p>
    <w:p>
      <w:pPr>
        <w:jc w:val="both"/>
        <w:ind w:left="328" w:hanging="328"/>
        <w:spacing w:after="0" w:line="259" w:lineRule="auto"/>
        <w:tabs>
          <w:tab w:leader="none" w:pos="491"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Options will only vest while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If the Participant's active employment with the Company or an Affiliate is terminated for any reason prior to the vesting date, and such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outstanding Options:</w:t>
      </w:r>
    </w:p>
    <w:p>
      <w:pPr>
        <w:spacing w:after="0" w:line="228" w:lineRule="exact"/>
        <w:rPr>
          <w:rFonts w:ascii="Arial" w:cs="Arial" w:eastAsia="Arial" w:hAnsi="Arial"/>
          <w:sz w:val="18"/>
          <w:szCs w:val="18"/>
          <w:color w:val="auto"/>
        </w:rPr>
      </w:pPr>
    </w:p>
    <w:p>
      <w:pPr>
        <w:ind w:left="648" w:hanging="324"/>
        <w:spacing w:after="0" w:line="261" w:lineRule="auto"/>
        <w:tabs>
          <w:tab w:leader="none" w:pos="819"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Options will immediately become 100% vested on the Participant’s termination of employment. Any vested Options will expire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40" w:right="339" w:bottom="1440" w:gutter="0" w:footer="0" w:header="0"/>
        </w:sectPr>
      </w:pPr>
    </w:p>
    <w:bookmarkStart w:id="58" w:name="page59"/>
    <w:bookmarkEnd w:id="58"/>
    <w:p>
      <w:pPr>
        <w:ind w:left="648"/>
        <w:spacing w:after="0"/>
        <w:rPr>
          <w:sz w:val="20"/>
          <w:szCs w:val="20"/>
          <w:color w:val="auto"/>
        </w:rPr>
      </w:pPr>
      <w:r>
        <w:rPr>
          <w:rFonts w:ascii="Arial" w:cs="Arial" w:eastAsia="Arial" w:hAnsi="Arial"/>
          <w:sz w:val="18"/>
          <w:szCs w:val="18"/>
          <w:color w:val="auto"/>
        </w:rPr>
        <w:t xml:space="preserve">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274" w:lineRule="exact"/>
        <w:rPr>
          <w:sz w:val="20"/>
          <w:szCs w:val="20"/>
          <w:color w:val="auto"/>
        </w:rPr>
      </w:pPr>
    </w:p>
    <w:p>
      <w:pPr>
        <w:jc w:val="both"/>
        <w:ind w:left="648" w:hanging="324"/>
        <w:spacing w:after="0" w:line="254" w:lineRule="auto"/>
        <w:tabs>
          <w:tab w:leader="none" w:pos="77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xml:space="preserve">. A prorated portion (as described below) of the unvested Options with a vesting date within 12 months of termination will immediately vest on the Participant’s termination of employment. All other unvested Options will automatically be forfeited.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230" w:lineRule="exact"/>
        <w:rPr>
          <w:rFonts w:ascii="Arial" w:cs="Arial" w:eastAsia="Arial" w:hAnsi="Arial"/>
          <w:sz w:val="18"/>
          <w:szCs w:val="18"/>
          <w:color w:val="auto"/>
        </w:rPr>
      </w:pPr>
    </w:p>
    <w:p>
      <w:pPr>
        <w:jc w:val="both"/>
        <w:ind w:left="648" w:hanging="324"/>
        <w:spacing w:after="0" w:line="256" w:lineRule="auto"/>
        <w:tabs>
          <w:tab w:leader="none" w:pos="8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xml:space="preserve">. Any unvested Options will automatically forfeit on the date of the Participant’s termination of employment. Any vested portion of the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employment.</w:t>
      </w:r>
    </w:p>
    <w:p>
      <w:pPr>
        <w:spacing w:after="0" w:line="207"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Company based on evidence, including independent medical reports and data, as deemed appropriate or necessary.</w:t>
      </w:r>
    </w:p>
    <w:p>
      <w:pPr>
        <w:spacing w:after="0" w:line="198"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19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Prorated Vesting Upon Retirement</w:t>
      </w:r>
      <w:r>
        <w:rPr>
          <w:rFonts w:ascii="Arial" w:cs="Arial" w:eastAsia="Arial" w:hAnsi="Arial"/>
          <w:sz w:val="18"/>
          <w:szCs w:val="18"/>
          <w:color w:val="auto"/>
        </w:rPr>
        <w:t>. The prorated portion of the Options that vests 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Options with a vesting date within 12 months of termination by a fraction, of which the numerator is the number of full months (not to exceed 12) the Participant has been continually employed since the Vest Period Start Date, and the denominator is 12. For this purpose, full months of employment will be based on monthly anniversaries of the Grant Date, not calendar months.</w:t>
      </w:r>
    </w:p>
    <w:p>
      <w:pPr>
        <w:spacing w:after="0" w:line="206" w:lineRule="exact"/>
        <w:rPr>
          <w:sz w:val="20"/>
          <w:szCs w:val="20"/>
          <w:color w:val="auto"/>
        </w:rPr>
      </w:pPr>
    </w:p>
    <w:p>
      <w:pPr>
        <w:jc w:val="both"/>
        <w:ind w:left="328" w:hanging="328"/>
        <w:spacing w:after="0" w:line="256" w:lineRule="auto"/>
        <w:tabs>
          <w:tab w:leader="none" w:pos="42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r>
        <w:rPr>
          <w:rFonts w:ascii="Arial" w:cs="Arial" w:eastAsia="Arial" w:hAnsi="Arial"/>
          <w:sz w:val="18"/>
          <w:szCs w:val="18"/>
          <w:color w:val="auto"/>
        </w:rPr>
        <w:t>. Permissible methods for payment of the Exercise Price on exercise of the Options are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of the Plan, or, if the Plan is amended, successor provisions. In addition to the methods of exercise permitted by Section 6.6 of the Plan, the Participant may exercise all or part of the Options by way of (i) broker-assisted cashless exercise in a manner consistent with the Federal Reserve Board's Regulation T, unless the Committee determines that this is prohibited by law, or (ii) net-settlement, where the Participant directs the Company to withhold shares that otherwise would be issued upon exercise of the Options having an aggregate Fair Market Value on the date of the exercise equal to the Exercise Price, or the portion being exercised by way of net-settlement (rounding up to the nearest whole share).</w:t>
      </w:r>
    </w:p>
    <w:p>
      <w:pPr>
        <w:spacing w:after="0" w:line="209" w:lineRule="exact"/>
        <w:rPr>
          <w:rFonts w:ascii="Arial" w:cs="Arial" w:eastAsia="Arial" w:hAnsi="Arial"/>
          <w:sz w:val="18"/>
          <w:szCs w:val="18"/>
          <w:color w:val="auto"/>
        </w:rPr>
      </w:pPr>
    </w:p>
    <w:p>
      <w:pPr>
        <w:jc w:val="both"/>
        <w:ind w:left="328" w:hanging="328"/>
        <w:spacing w:after="0" w:line="256" w:lineRule="auto"/>
        <w:tabs>
          <w:tab w:leader="none" w:pos="46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will have the power and the right to deduct or withhold, or require the Participant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applicable federal, state, and local taxes, domestic or foreign, required by law or regulation to be withheld with respect to the exercise of the Options. The Participant may elect to satisfy the withholding requirement, in whole or in part, by having the Company withhold shares that otherwise would be issued upon exercise of the Options, with the number of shares withheld having a Fair Market Value on the date the tax is to be determined equal to the minimum statutory total tax that could be imposed on the transaction (or such other amount that will not cause an adverse accounting consequence or cost) (rounding up to the nearest whole share). Any election will be subject to any restrictions or limitations that the Committee, in its sole discretion, deems appropriate.</w:t>
      </w:r>
    </w:p>
    <w:p>
      <w:pPr>
        <w:spacing w:after="0" w:line="209" w:lineRule="exact"/>
        <w:rPr>
          <w:rFonts w:ascii="Arial" w:cs="Arial" w:eastAsia="Arial" w:hAnsi="Arial"/>
          <w:sz w:val="18"/>
          <w:szCs w:val="18"/>
          <w:color w:val="auto"/>
        </w:rPr>
      </w:pPr>
    </w:p>
    <w:p>
      <w:pPr>
        <w:ind w:left="328" w:right="20" w:hanging="328"/>
        <w:spacing w:after="0" w:line="287" w:lineRule="auto"/>
        <w:tabs>
          <w:tab w:leader="none" w:pos="491"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Automatic Exercise in Certain Circumstances</w:t>
      </w:r>
      <w:r>
        <w:rPr>
          <w:rFonts w:ascii="Arial" w:cs="Arial" w:eastAsia="Arial" w:hAnsi="Arial"/>
          <w:sz w:val="18"/>
          <w:szCs w:val="18"/>
          <w:color w:val="auto"/>
        </w:rPr>
        <w:t>. Subject to subsection 2(i) of this Agreement, if any Options held by an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are otherwise exercisable but remain unexercised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13" w:right="339" w:bottom="1440" w:gutter="0" w:footer="0" w:header="0"/>
        </w:sectPr>
      </w:pPr>
    </w:p>
    <w:bookmarkStart w:id="59" w:name="page60"/>
    <w:bookmarkEnd w:id="59"/>
    <w:p>
      <w:pPr>
        <w:jc w:val="both"/>
        <w:ind w:left="328"/>
        <w:spacing w:after="0" w:line="259" w:lineRule="auto"/>
        <w:rPr>
          <w:sz w:val="20"/>
          <w:szCs w:val="20"/>
          <w:color w:val="auto"/>
        </w:rPr>
      </w:pPr>
      <w:r>
        <w:rPr>
          <w:rFonts w:ascii="Arial" w:cs="Arial" w:eastAsia="Arial" w:hAnsi="Arial"/>
          <w:sz w:val="18"/>
          <w:szCs w:val="18"/>
          <w:color w:val="auto"/>
        </w:rPr>
        <w:t xml:space="preserve">close of business on </w:t>
      </w:r>
      <w:r>
        <w:rPr>
          <w:rFonts w:ascii="Arial" w:cs="Arial" w:eastAsia="Arial" w:hAnsi="Arial"/>
          <w:sz w:val="18"/>
          <w:szCs w:val="18"/>
          <w:b w:val="1"/>
          <w:bCs w:val="1"/>
          <w:color w:val="auto"/>
        </w:rPr>
        <w:t>###EXPIRY_DATE###</w:t>
      </w:r>
      <w:r>
        <w:rPr>
          <w:rFonts w:ascii="Arial" w:cs="Arial" w:eastAsia="Arial" w:hAnsi="Arial"/>
          <w:sz w:val="18"/>
          <w:szCs w:val="18"/>
          <w:color w:val="auto"/>
        </w:rPr>
        <w:t>, and if on that date the Fair Market Value of the shares subject to the exercisable but unexercised Options exceeds the aggregate payment that would have been required to exercise the Options, the Participant will automatically be paid an amount of Company shares having a Fair Market Value equal to such excess (rounding up to the nearest whole share), if any, and the Options will be cancelled. An automatic exercise will not occur if the Participant (and, if applicable, the Participant’s authorized legal representative) waives this subsection 2(h) in writing.</w:t>
      </w:r>
    </w:p>
    <w:p>
      <w:pPr>
        <w:spacing w:after="0" w:line="228" w:lineRule="exact"/>
        <w:rPr>
          <w:sz w:val="20"/>
          <w:szCs w:val="20"/>
          <w:color w:val="auto"/>
        </w:rPr>
      </w:pPr>
    </w:p>
    <w:p>
      <w:pPr>
        <w:jc w:val="both"/>
        <w:ind w:left="328"/>
        <w:spacing w:after="0" w:line="261" w:lineRule="auto"/>
        <w:rPr>
          <w:sz w:val="20"/>
          <w:szCs w:val="20"/>
          <w:color w:val="auto"/>
        </w:rPr>
      </w:pPr>
      <w:r>
        <w:rPr>
          <w:rFonts w:ascii="Arial" w:cs="Arial" w:eastAsia="Arial" w:hAnsi="Arial"/>
          <w:sz w:val="18"/>
          <w:szCs w:val="18"/>
          <w:color w:val="auto"/>
        </w:rPr>
        <w:t>The Participant acknowledges that tax and other legal requirements must be met prior to any settlement of Options under this subsection and consents to any tax or other consequences that may arise in connection with this subsection.</w:t>
      </w:r>
    </w:p>
    <w:p>
      <w:pPr>
        <w:spacing w:after="0" w:line="203" w:lineRule="exact"/>
        <w:rPr>
          <w:sz w:val="20"/>
          <w:szCs w:val="20"/>
          <w:color w:val="auto"/>
        </w:rPr>
      </w:pPr>
    </w:p>
    <w:p>
      <w:pPr>
        <w:jc w:val="both"/>
        <w:ind w:left="328" w:hanging="328"/>
        <w:spacing w:after="0" w:line="254" w:lineRule="auto"/>
        <w:tabs>
          <w:tab w:leader="none" w:pos="431"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Compliance with Laws and Regulations</w:t>
      </w:r>
      <w:r>
        <w:rPr>
          <w:rFonts w:ascii="Arial" w:cs="Arial" w:eastAsia="Arial" w:hAnsi="Arial"/>
          <w:sz w:val="18"/>
          <w:szCs w:val="18"/>
          <w:color w:val="auto"/>
        </w:rPr>
        <w:t>. Notwithstanding anything to the contrary in this Agreement, the Company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issue any shares under this Agreement issuance of the shares, or the exercise of the Options by the Participant, violates or is not in compliance with any laws, rules or regulations of the United States or any state or country. The Participant understands that, if applicable, the laws of the country where the Participant is working at the time of grant, vesting, and/or exercise of the Options (including any rules or regulations governing securities, foreign exchange, tax, labor or other matters) may restrict or prevent exercise of the Options or may subject the Participant to additional procedural or regulatory requirements that the Participant is solely responsible for and that the Participant will have to independently fulfill. The Company reserves the right to impose other requirements on the Participant’s participation in the Plan, awards under the Plan, and any shares acquired under the Plan, if the Company determines the requirement is necessary or advisable to comply with applicable law or facilitate the administration of the Plan.</w:t>
      </w:r>
    </w:p>
    <w:p>
      <w:pPr>
        <w:spacing w:after="0" w:line="212" w:lineRule="exact"/>
        <w:rPr>
          <w:rFonts w:ascii="Arial" w:cs="Arial" w:eastAsia="Arial" w:hAnsi="Arial"/>
          <w:sz w:val="18"/>
          <w:szCs w:val="18"/>
          <w:color w:val="auto"/>
        </w:rPr>
      </w:pPr>
    </w:p>
    <w:p>
      <w:pPr>
        <w:ind w:left="368" w:hanging="368"/>
        <w:spacing w:after="0"/>
        <w:tabs>
          <w:tab w:leader="none" w:pos="36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Participant Acknowledgements</w:t>
      </w:r>
      <w:r>
        <w:rPr>
          <w:rFonts w:ascii="Arial" w:cs="Arial" w:eastAsia="Arial" w:hAnsi="Arial"/>
          <w:sz w:val="18"/>
          <w:szCs w:val="18"/>
          <w:color w:val="auto"/>
        </w:rPr>
        <w:t>. The Participant acknowledges and agrees that:</w:t>
      </w:r>
    </w:p>
    <w:p>
      <w:pPr>
        <w:spacing w:after="0" w:line="274" w:lineRule="exact"/>
        <w:rPr>
          <w:rFonts w:ascii="Arial" w:cs="Arial" w:eastAsia="Arial" w:hAnsi="Arial"/>
          <w:sz w:val="18"/>
          <w:szCs w:val="18"/>
          <w:color w:val="auto"/>
        </w:rPr>
      </w:pPr>
    </w:p>
    <w:p>
      <w:pPr>
        <w:jc w:val="both"/>
        <w:ind w:left="648" w:hanging="324"/>
        <w:spacing w:after="0" w:line="251" w:lineRule="auto"/>
        <w:tabs>
          <w:tab w:leader="none" w:pos="68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Options, if at any time during the period between the Grant Date and the 12-month period following the Participant’s termination of Employment (the “Obligation Period”), the Participant: (i) directly or indirectly, hires or solicits or arranges for the hiring or solicitation of any employee or customer of the Company or its Affiliates, or encourages any employee to leave the Company or an Affiliate; (ii) uses, discloses, misappropriates or transfers confidential or proprietary information concerning the Company or its Affiliates (except as required by the Participant’s work responsibilities with the Company or its Affiliates); or (iii) engages in any activity in violation of Company policies, including the Company’s Code of Conduct, or engages in conduct adverse to the best interests of the Company or its Affiliates; then the Options, whether previously vested or not, will be cancelled in full, and the Participant will be required to return to the Company any shares received on exercise of vested Options or the pre-tax income derived from any disposition of any shares received upon exercise of vested Options, unless the Company, in its sole discretion, elects not to cancel the Options.</w:t>
      </w:r>
    </w:p>
    <w:p>
      <w:pPr>
        <w:spacing w:after="0" w:line="238" w:lineRule="exact"/>
        <w:rPr>
          <w:sz w:val="20"/>
          <w:szCs w:val="20"/>
          <w:color w:val="auto"/>
        </w:rPr>
      </w:pPr>
    </w:p>
    <w:p>
      <w:pPr>
        <w:jc w:val="both"/>
        <w:ind w:left="648"/>
        <w:spacing w:after="0" w:line="252" w:lineRule="auto"/>
        <w:rPr>
          <w:sz w:val="20"/>
          <w:szCs w:val="20"/>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VESTED OPTIONS OR THE GROSS TAXABLE PROCEEDS FROM THE DISPOSITION OF ANY SHARES RECEIVED UPON SETTLEMENT OF EXERCISED VESTED OPTIONS IF THE PARTICIPANT SHOULD CHOOSE TO VIOLATE THIS PARAGRAPH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13" w:right="339" w:bottom="1440" w:gutter="0" w:footer="0" w:header="0"/>
        </w:sectPr>
      </w:pPr>
    </w:p>
    <w:bookmarkStart w:id="60" w:name="page61"/>
    <w:bookmarkEnd w:id="60"/>
    <w:p>
      <w:pPr>
        <w:ind w:left="648"/>
        <w:spacing w:after="0" w:line="261" w:lineRule="auto"/>
        <w:rPr>
          <w:sz w:val="20"/>
          <w:szCs w:val="20"/>
          <w:color w:val="auto"/>
        </w:rPr>
      </w:pPr>
      <w:r>
        <w:rPr>
          <w:rFonts w:ascii="Arial" w:cs="Arial" w:eastAsia="Arial" w:hAnsi="Arial"/>
          <w:sz w:val="18"/>
          <w:szCs w:val="18"/>
          <w:color w:val="auto"/>
        </w:rPr>
        <w:t>OBLIGATION PERIOD. Nothing in this Agreement prohibits the Participant from voluntarily communicating, without notice to or approval by the Company, with any federal government agency about a potential violation of a federal law or regulation.</w:t>
      </w:r>
    </w:p>
    <w:p>
      <w:pPr>
        <w:spacing w:after="0" w:line="225" w:lineRule="exact"/>
        <w:rPr>
          <w:sz w:val="20"/>
          <w:szCs w:val="20"/>
          <w:color w:val="auto"/>
        </w:rPr>
      </w:pPr>
    </w:p>
    <w:p>
      <w:pPr>
        <w:jc w:val="both"/>
        <w:ind w:left="648" w:hanging="324"/>
        <w:spacing w:after="0" w:line="253" w:lineRule="auto"/>
        <w:tabs>
          <w:tab w:leader="none" w:pos="80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232" w:lineRule="exact"/>
        <w:rPr>
          <w:rFonts w:ascii="Arial" w:cs="Arial" w:eastAsia="Arial" w:hAnsi="Arial"/>
          <w:sz w:val="18"/>
          <w:szCs w:val="18"/>
          <w:color w:val="auto"/>
        </w:rPr>
      </w:pPr>
    </w:p>
    <w:p>
      <w:pPr>
        <w:jc w:val="both"/>
        <w:ind w:left="648" w:hanging="324"/>
        <w:spacing w:after="0" w:line="252" w:lineRule="auto"/>
        <w:tabs>
          <w:tab w:leader="none" w:pos="80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if the Participant has not satisfied such obligation(s), then the Company may instruct the plan administrator to withhold and/or sell shares acquired by the Participant on exercise of the Options (to the extent such shares are not subject to Code Section 409A), or the Company may deduct funds equal to the amount of the obligation from other funds due to the Participant from the Company to the maximum extent permitted by Code Section 409A.</w:t>
      </w:r>
    </w:p>
    <w:p>
      <w:pPr>
        <w:spacing w:after="0" w:line="233" w:lineRule="exact"/>
        <w:rPr>
          <w:rFonts w:ascii="Arial" w:cs="Arial" w:eastAsia="Arial" w:hAnsi="Arial"/>
          <w:sz w:val="18"/>
          <w:szCs w:val="18"/>
          <w:color w:val="auto"/>
        </w:rPr>
      </w:pPr>
    </w:p>
    <w:p>
      <w:pPr>
        <w:jc w:val="both"/>
        <w:ind w:left="648" w:hanging="324"/>
        <w:spacing w:after="0" w:line="251" w:lineRule="auto"/>
        <w:tabs>
          <w:tab w:leader="none" w:pos="93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2(j)(iv).</w:t>
      </w:r>
    </w:p>
    <w:p>
      <w:pPr>
        <w:spacing w:after="0" w:line="212" w:lineRule="exact"/>
        <w:rPr>
          <w:rFonts w:ascii="Arial" w:cs="Arial" w:eastAsia="Arial" w:hAnsi="Arial"/>
          <w:sz w:val="18"/>
          <w:szCs w:val="18"/>
          <w:color w:val="auto"/>
        </w:rPr>
      </w:pPr>
    </w:p>
    <w:p>
      <w:pPr>
        <w:jc w:val="both"/>
        <w:ind w:left="328" w:hanging="328"/>
        <w:spacing w:after="0" w:line="268" w:lineRule="auto"/>
        <w:tabs>
          <w:tab w:leader="none" w:pos="52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issued, and the Options are granted, in Rye Brook, New York and will be governed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New York,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35" w:right="339" w:bottom="1440" w:gutter="0" w:footer="0" w:header="0"/>
        </w:sectPr>
      </w:pPr>
    </w:p>
    <w:bookmarkStart w:id="61" w:name="page62"/>
    <w:bookmarkEnd w:id="61"/>
    <w:p>
      <w:pPr>
        <w:jc w:val="both"/>
        <w:spacing w:after="0" w:line="261"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 The Participant also acknowledges that the Options awarded under to this Agreement must be exercised prior to the expiration date, that it is the Participant's responsibility to exercise the Options, and that the Company has no further responsibility to notify the Participant of the expiration of the Options.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Agreed to:</w:t>
            </w: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XYLEM INC.</w:t>
            </w:r>
          </w:p>
        </w:tc>
      </w:tr>
      <w:tr>
        <w:trPr>
          <w:trHeight w:val="769"/>
        </w:trPr>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345"/>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Participant</w:t>
            </w:r>
          </w:p>
        </w:tc>
        <w:tc>
          <w:tcPr>
            <w:tcW w:w="4300" w:type="dxa"/>
            <w:vAlign w:val="bottom"/>
          </w:tcPr>
          <w:p>
            <w:pPr>
              <w:ind w:left="60"/>
              <w:spacing w:after="0"/>
              <w:rPr>
                <w:sz w:val="20"/>
                <w:szCs w:val="20"/>
                <w:color w:val="auto"/>
              </w:rPr>
            </w:pPr>
            <w:r>
              <w:rPr>
                <w:rFonts w:ascii="Arial" w:cs="Arial" w:eastAsia="Arial" w:hAnsi="Arial"/>
                <w:sz w:val="18"/>
                <w:szCs w:val="18"/>
                <w:color w:val="auto"/>
              </w:rPr>
              <w:t>Patrick K. Decker, President and CEO</w:t>
            </w:r>
          </w:p>
        </w:tc>
      </w:tr>
      <w:tr>
        <w:trPr>
          <w:trHeight w:val="337"/>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(Online Acceptance Constitutes Agreement)</w:t>
            </w:r>
          </w:p>
        </w:tc>
        <w:tc>
          <w:tcPr>
            <w:tcW w:w="4300" w:type="dxa"/>
            <w:vAlign w:val="bottom"/>
          </w:tcPr>
          <w:p>
            <w:pPr>
              <w:spacing w:after="0"/>
              <w:rPr>
                <w:sz w:val="24"/>
                <w:szCs w:val="24"/>
                <w:color w:val="auto"/>
              </w:rPr>
            </w:pPr>
          </w:p>
        </w:tc>
      </w:tr>
      <w:tr>
        <w:trPr>
          <w:trHeight w:val="351"/>
        </w:trPr>
        <w:tc>
          <w:tcPr>
            <w:tcW w:w="860" w:type="dxa"/>
            <w:vAlign w:val="bottom"/>
          </w:tcPr>
          <w:p>
            <w:pPr>
              <w:ind w:left="20"/>
              <w:spacing w:after="0"/>
              <w:rPr>
                <w:sz w:val="20"/>
                <w:szCs w:val="20"/>
                <w:color w:val="auto"/>
              </w:rPr>
            </w:pPr>
            <w:r>
              <w:rPr>
                <w:rFonts w:ascii="Arial" w:cs="Arial" w:eastAsia="Arial" w:hAnsi="Arial"/>
                <w:sz w:val="18"/>
                <w:szCs w:val="18"/>
                <w:color w:val="auto"/>
              </w:rPr>
              <w:t>Dated:</w:t>
            </w:r>
          </w:p>
        </w:tc>
        <w:tc>
          <w:tcPr>
            <w:tcW w:w="2380" w:type="dxa"/>
            <w:vAlign w:val="bottom"/>
            <w:tcBorders>
              <w:bottom w:val="single" w:sz="8" w:color="auto"/>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4300" w:type="dxa"/>
            <w:vAlign w:val="bottom"/>
          </w:tcPr>
          <w:p>
            <w:pPr>
              <w:ind w:left="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###GRANT_DATE###</w:t>
            </w:r>
          </w:p>
        </w:tc>
      </w:tr>
      <w:tr>
        <w:trPr>
          <w:trHeight w:val="790"/>
        </w:trPr>
        <w:tc>
          <w:tcPr>
            <w:tcW w:w="6940" w:type="dxa"/>
            <w:vAlign w:val="bottom"/>
            <w:gridSpan w:val="4"/>
          </w:tcPr>
          <w:p>
            <w:pPr>
              <w:spacing w:after="0"/>
              <w:rPr>
                <w:sz w:val="20"/>
                <w:szCs w:val="20"/>
                <w:color w:val="auto"/>
              </w:rPr>
            </w:pPr>
            <w:r>
              <w:rPr>
                <w:rFonts w:ascii="Arial" w:cs="Arial" w:eastAsia="Arial" w:hAnsi="Arial"/>
                <w:sz w:val="18"/>
                <w:szCs w:val="18"/>
                <w:color w:val="auto"/>
              </w:rPr>
              <w:t>Enclosures</w:t>
            </w: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[YEAR] PERFORMANCE SHARE UNIT AGREEMENT</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209" w:lineRule="exact"/>
        <w:rPr>
          <w:sz w:val="20"/>
          <w:szCs w:val="20"/>
          <w:color w:val="auto"/>
        </w:rPr>
      </w:pPr>
    </w:p>
    <w:p>
      <w:pPr>
        <w:jc w:val="both"/>
        <w:ind w:left="340" w:hanging="332"/>
        <w:spacing w:after="0" w:line="262" w:lineRule="auto"/>
        <w:tabs>
          <w:tab w:leader="none" w:pos="32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Performance Share Units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target number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All PSUs granted under this agreement are intended to be Performance Based Awards. The PSUs are notional units of measurement denominated in shares of common stock (i.e., one Performance Share Unit is equivalent in value to one share of common stock of the Company).</w:t>
      </w:r>
    </w:p>
    <w:p>
      <w:pPr>
        <w:spacing w:after="0" w:line="225" w:lineRule="exact"/>
        <w:rPr>
          <w:rFonts w:ascii="Arial" w:cs="Arial" w:eastAsia="Arial" w:hAnsi="Arial"/>
          <w:sz w:val="18"/>
          <w:szCs w:val="18"/>
          <w:b w:val="1"/>
          <w:bCs w:val="1"/>
          <w:color w:val="auto"/>
        </w:rPr>
      </w:pPr>
    </w:p>
    <w:p>
      <w:pPr>
        <w:ind w:lef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PSUs represent an unfunded, unsecured right to receive shares and dividend equivalent payments in the future if the conditions in the Plan and this Agreement are satisfied.</w:t>
      </w:r>
    </w:p>
    <w:p>
      <w:pPr>
        <w:spacing w:after="0" w:line="20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274" w:lineRule="exact"/>
        <w:rPr>
          <w:rFonts w:ascii="Arial" w:cs="Arial" w:eastAsia="Arial" w:hAnsi="Arial"/>
          <w:sz w:val="18"/>
          <w:szCs w:val="18"/>
          <w:b w:val="1"/>
          <w:bCs w:val="1"/>
          <w:color w:val="auto"/>
        </w:rPr>
      </w:pPr>
    </w:p>
    <w:p>
      <w:pPr>
        <w:jc w:val="both"/>
        <w:ind w:left="660" w:hanging="328"/>
        <w:spacing w:after="0" w:line="256" w:lineRule="auto"/>
        <w:tabs>
          <w:tab w:leader="none" w:pos="81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grant of the PSUs is voluntary and occasional and does not create any contractual or other right to receive future grants of PSUs, or benefits in lieu of PSUs, even if PSUs have been granted in the past. All decisions with respect to future PSUs or other grants, if any, will be at the sole discretion of the Company;</w:t>
      </w:r>
    </w:p>
    <w:p>
      <w:pPr>
        <w:spacing w:after="0" w:line="228" w:lineRule="exact"/>
        <w:rPr>
          <w:rFonts w:ascii="Arial" w:cs="Arial" w:eastAsia="Arial" w:hAnsi="Arial"/>
          <w:sz w:val="18"/>
          <w:szCs w:val="18"/>
          <w:color w:val="auto"/>
        </w:rPr>
      </w:pPr>
    </w:p>
    <w:p>
      <w:pPr>
        <w:ind w:left="740" w:hanging="408"/>
        <w:spacing w:after="0"/>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8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228" w:lineRule="exact"/>
        <w:rPr>
          <w:rFonts w:ascii="Arial" w:cs="Arial" w:eastAsia="Arial" w:hAnsi="Arial"/>
          <w:sz w:val="18"/>
          <w:szCs w:val="18"/>
          <w:color w:val="auto"/>
        </w:rPr>
      </w:pPr>
    </w:p>
    <w:p>
      <w:pPr>
        <w:ind w:left="760" w:hanging="428"/>
        <w:spacing w:after="0"/>
        <w:tabs>
          <w:tab w:leader="none" w:pos="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52" w:lineRule="exact"/>
        <w:rPr>
          <w:rFonts w:ascii="Arial" w:cs="Arial" w:eastAsia="Arial" w:hAnsi="Arial"/>
          <w:sz w:val="18"/>
          <w:szCs w:val="18"/>
          <w:color w:val="auto"/>
        </w:rPr>
      </w:pPr>
    </w:p>
    <w:p>
      <w:pPr>
        <w:ind w:left="660" w:hanging="328"/>
        <w:spacing w:after="0" w:line="261" w:lineRule="auto"/>
        <w:tabs>
          <w:tab w:leader="none" w:pos="8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PSUs resulting from the termination of the Participant's employment; and</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7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The PSUs are subject to the following additional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63" w:name="page64"/>
    <w:bookmarkEnd w:id="63"/>
    <w:p>
      <w:pPr>
        <w:ind w:left="328" w:hanging="328"/>
        <w:spacing w:after="0" w:line="287" w:lineRule="auto"/>
        <w:tabs>
          <w:tab w:leader="none" w:pos="57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the PSUs cannot be sold, assigned,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exchanged, transferred, hypothecated or encumbered, other than to the Company as a result of forfeiture.</w:t>
      </w:r>
    </w:p>
    <w:p>
      <w:pPr>
        <w:spacing w:after="0" w:line="179" w:lineRule="exact"/>
        <w:rPr>
          <w:rFonts w:ascii="Arial" w:cs="Arial" w:eastAsia="Arial" w:hAnsi="Arial"/>
          <w:sz w:val="18"/>
          <w:szCs w:val="18"/>
          <w:color w:val="auto"/>
        </w:rPr>
      </w:pPr>
    </w:p>
    <w:p>
      <w:pPr>
        <w:jc w:val="both"/>
        <w:ind w:left="328" w:hanging="328"/>
        <w:spacing w:after="0" w:line="256"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Voting and Dividend Equivalent Rights</w:t>
      </w:r>
      <w:r>
        <w:rPr>
          <w:rFonts w:ascii="Arial" w:cs="Arial" w:eastAsia="Arial" w:hAnsi="Arial"/>
          <w:sz w:val="18"/>
          <w:szCs w:val="18"/>
          <w:color w:val="auto"/>
        </w:rPr>
        <w:t>. The Participant will not have any privileges of a stockholder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PSUs, including without limitation any right to vote such shares or to receive dividends, unless and until shares are delivered to the Participant on the vesting of the PSUs. Dividend equivalents will be earned for each PSU that vests and the amount will equal the total dividends declared on a share, where the record date of the dividend is between the Grant Date of this Award and the date a share is issued on vesting of the PSU. Any dividend equivalents earned will be paid in cash to the Participant as and when the shares subject to the vested PSUs are issued. No dividend equivalents will be earned or paid with respect to any portion of the PSUs that are not earned and/or do not vest. Dividend equivalents will not accrue interest.</w:t>
      </w:r>
    </w:p>
    <w:p>
      <w:pPr>
        <w:spacing w:after="0" w:line="209" w:lineRule="exact"/>
        <w:rPr>
          <w:rFonts w:ascii="Arial" w:cs="Arial" w:eastAsia="Arial" w:hAnsi="Arial"/>
          <w:sz w:val="18"/>
          <w:szCs w:val="18"/>
          <w:color w:val="auto"/>
        </w:rPr>
      </w:pPr>
    </w:p>
    <w:p>
      <w:pPr>
        <w:jc w:val="both"/>
        <w:ind w:left="328" w:hanging="328"/>
        <w:spacing w:after="0" w:line="256" w:lineRule="auto"/>
        <w:tabs>
          <w:tab w:leader="none" w:pos="45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Earning of PSUs</w:t>
      </w:r>
      <w:r>
        <w:rPr>
          <w:rFonts w:ascii="Arial" w:cs="Arial" w:eastAsia="Arial" w:hAnsi="Arial"/>
          <w:sz w:val="18"/>
          <w:szCs w:val="18"/>
          <w:color w:val="auto"/>
        </w:rPr>
        <w:t>. The Participant can earn between 0% and 175% of the target number of PSUs granted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vesting to be based on the achievement of a 3-year average Xylem adjusted operational Return on Invested Capital (“</w:t>
      </w:r>
      <w:r>
        <w:rPr>
          <w:rFonts w:ascii="Arial" w:cs="Arial" w:eastAsia="Arial" w:hAnsi="Arial"/>
          <w:sz w:val="18"/>
          <w:szCs w:val="18"/>
          <w:b w:val="1"/>
          <w:bCs w:val="1"/>
          <w:color w:val="auto"/>
        </w:rPr>
        <w:t>ROIC</w:t>
      </w:r>
      <w:r>
        <w:rPr>
          <w:rFonts w:ascii="Arial" w:cs="Arial" w:eastAsia="Arial" w:hAnsi="Arial"/>
          <w:sz w:val="18"/>
          <w:szCs w:val="18"/>
          <w:color w:val="auto"/>
        </w:rPr>
        <w:t>”) performance target and 3-year Xylem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xml:space="preserve">”) relative to companies in the S&amp;P 500 index (excluding Financial Services companies) pursuant to the performance scales set forth on Exhibit A, by the end of the 3-year performance period covering fiscal years </w:t>
      </w:r>
      <w:r>
        <w:rPr>
          <w:rFonts w:ascii="Arial" w:cs="Arial" w:eastAsia="Arial" w:hAnsi="Arial"/>
          <w:sz w:val="18"/>
          <w:szCs w:val="18"/>
          <w:b w:val="1"/>
          <w:bCs w:val="1"/>
          <w:color w:val="auto"/>
        </w:rPr>
        <w:t>[Grant Date]-year-[Grant Date + 3 years]-year</w:t>
      </w:r>
      <w:r>
        <w:rPr>
          <w:rFonts w:ascii="Arial" w:cs="Arial" w:eastAsia="Arial" w:hAnsi="Arial"/>
          <w:sz w:val="18"/>
          <w:szCs w:val="18"/>
          <w:color w:val="auto"/>
        </w:rPr>
        <w:t xml:space="preserve"> (the “</w:t>
      </w:r>
      <w:r>
        <w:rPr>
          <w:rFonts w:ascii="Arial" w:cs="Arial" w:eastAsia="Arial" w:hAnsi="Arial"/>
          <w:sz w:val="18"/>
          <w:szCs w:val="18"/>
          <w:b w:val="1"/>
          <w:bCs w:val="1"/>
          <w:color w:val="auto"/>
        </w:rPr>
        <w:t>Performance Period</w:t>
      </w:r>
      <w:r>
        <w:rPr>
          <w:rFonts w:ascii="Arial" w:cs="Arial" w:eastAsia="Arial" w:hAnsi="Arial"/>
          <w:sz w:val="18"/>
          <w:szCs w:val="18"/>
          <w:color w:val="auto"/>
        </w:rPr>
        <w:t>”). The Committee will determine and certify the results of the level of achievement against such targets and the associated number of PSUs earned as described in Exhibit A.</w:t>
      </w:r>
    </w:p>
    <w:p>
      <w:pPr>
        <w:spacing w:after="0" w:line="210"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Any earned PSUs will vest on</w:t>
      </w:r>
      <w:r>
        <w:rPr>
          <w:rFonts w:ascii="Arial" w:cs="Arial" w:eastAsia="Arial" w:hAnsi="Arial"/>
          <w:sz w:val="18"/>
          <w:szCs w:val="18"/>
          <w:b w:val="1"/>
          <w:bCs w:val="1"/>
          <w:color w:val="auto"/>
        </w:rPr>
        <w:t xml:space="preserve"> [Grant Date + 3 years] </w:t>
      </w:r>
      <w:r>
        <w:rPr>
          <w:rFonts w:ascii="Arial" w:cs="Arial" w:eastAsia="Arial" w:hAnsi="Arial"/>
          <w:sz w:val="18"/>
          <w:szCs w:val="18"/>
          <w:color w:val="auto"/>
        </w:rPr>
        <w:t>(the “</w:t>
      </w:r>
      <w:r>
        <w:rPr>
          <w:rFonts w:ascii="Arial" w:cs="Arial" w:eastAsia="Arial" w:hAnsi="Arial"/>
          <w:sz w:val="18"/>
          <w:szCs w:val="18"/>
          <w:b w:val="1"/>
          <w:bCs w:val="1"/>
          <w:color w:val="auto"/>
        </w:rPr>
        <w:t>Vesting Date</w:t>
      </w:r>
      <w:r>
        <w:rPr>
          <w:rFonts w:ascii="Arial" w:cs="Arial" w:eastAsia="Arial" w:hAnsi="Arial"/>
          <w:sz w:val="18"/>
          <w:szCs w:val="18"/>
          <w:color w:val="auto"/>
        </w:rPr>
        <w:t>”) so long as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actively employed by the Company or an Affiliate from the Grant Date through the Vesting Date. Active employment does not include any potential severance period.</w:t>
      </w:r>
    </w:p>
    <w:p>
      <w:pPr>
        <w:spacing w:after="0" w:line="220"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Except as provided in subsection 2(h), on vesting of the PSUs, including vesting pursuant to subsections 2(d) or 2(e), the Company will deliver to the Participant (i) one share for each vested PSU, with any fractional shares resulting from proration pursuant to subsection 2(d) and 2(e) to be rounded to the nearest whole share, and (ii) an amount in cash attributable to dividend equivalents earned in accordance with subsection 2(b), less shares withheld in accordance with subsection 2(f).</w:t>
      </w:r>
    </w:p>
    <w:p>
      <w:pPr>
        <w:spacing w:after="0" w:line="209" w:lineRule="exact"/>
        <w:rPr>
          <w:sz w:val="20"/>
          <w:szCs w:val="20"/>
          <w:color w:val="auto"/>
        </w:rPr>
      </w:pPr>
    </w:p>
    <w:p>
      <w:pPr>
        <w:jc w:val="both"/>
        <w:ind w:left="328" w:hanging="328"/>
        <w:spacing w:after="0" w:line="262" w:lineRule="auto"/>
        <w:tabs>
          <w:tab w:leader="none" w:pos="464"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end of the Performance Period, if the acquiring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company in the transaction assumes or continues any then-outstanding PSUs, any unvested PSUs will be deemed to have satisfied all applicable performance targets at the target level (i.e. 100%), and will be converted to service-based restricted stock units, which will continue to vest based on the PSUs’ service-based vesting criteria until the Vesting Date.</w:t>
      </w:r>
    </w:p>
    <w:p>
      <w:pPr>
        <w:spacing w:after="0" w:line="225"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converted and any unvested PSUs will become 100% vested on the termination date.</w:t>
      </w:r>
    </w:p>
    <w:p>
      <w:pPr>
        <w:spacing w:after="0" w:line="229"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PSUs will become 100% vested based on deemed performance at the target level (i.e.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13" w:right="339" w:bottom="1440" w:gutter="0" w:footer="0" w:header="0"/>
        </w:sectPr>
      </w:pPr>
    </w:p>
    <w:bookmarkStart w:id="64" w:name="page65"/>
    <w:bookmarkEnd w:id="64"/>
    <w:p>
      <w:pPr>
        <w:jc w:val="both"/>
        <w:ind w:left="32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t>
      </w:r>
      <w:r>
        <w:rPr>
          <w:rFonts w:ascii="Arial" w:cs="Arial" w:eastAsia="Arial" w:hAnsi="Arial"/>
          <w:sz w:val="18"/>
          <w:szCs w:val="18"/>
          <w:b w:val="1"/>
          <w:bCs w:val="1"/>
          <w:color w:val="auto"/>
        </w:rPr>
        <w:t>Willful</w:t>
      </w:r>
      <w:r>
        <w:rPr>
          <w:rFonts w:ascii="Arial" w:cs="Arial" w:eastAsia="Arial" w:hAnsi="Arial"/>
          <w:sz w:val="18"/>
          <w:szCs w:val="18"/>
          <w:color w:val="auto"/>
        </w:rPr>
        <w:t>” means the action is done or omitted in bad faith or without reasonable belief that the action or omission was in the best interests of the Company.</w:t>
      </w:r>
    </w:p>
    <w:p>
      <w:pPr>
        <w:spacing w:after="0" w:line="206"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231"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209" w:lineRule="exact"/>
        <w:rPr>
          <w:sz w:val="20"/>
          <w:szCs w:val="20"/>
          <w:color w:val="auto"/>
        </w:rPr>
      </w:pPr>
    </w:p>
    <w:p>
      <w:pPr>
        <w:jc w:val="both"/>
        <w:ind w:left="328" w:hanging="328"/>
        <w:spacing w:after="0" w:line="259" w:lineRule="auto"/>
        <w:tabs>
          <w:tab w:leader="none" w:pos="46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Earned PSUs will only vest if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through the Vesting Date. If the Participant's active employment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PSUs:</w:t>
      </w:r>
    </w:p>
    <w:p>
      <w:pPr>
        <w:spacing w:after="0" w:line="228" w:lineRule="exact"/>
        <w:rPr>
          <w:rFonts w:ascii="Arial" w:cs="Arial" w:eastAsia="Arial" w:hAnsi="Arial"/>
          <w:sz w:val="18"/>
          <w:szCs w:val="18"/>
          <w:color w:val="auto"/>
        </w:rPr>
      </w:pPr>
    </w:p>
    <w:p>
      <w:pPr>
        <w:jc w:val="both"/>
        <w:ind w:left="648" w:hanging="324"/>
        <w:spacing w:after="0" w:line="256" w:lineRule="auto"/>
        <w:tabs>
          <w:tab w:leader="none" w:pos="72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A prorated portion (as described below) of the unvested PSUs will remain outstanding and therefore continue to be eligible to vest based on actual Company performance during the Performance Period. A prorated portion (as described below) of the earned PSUs will be paid out on the Vesting Date.</w:t>
      </w:r>
    </w:p>
    <w:p>
      <w:pPr>
        <w:spacing w:after="0" w:line="228" w:lineRule="exact"/>
        <w:rPr>
          <w:rFonts w:ascii="Arial" w:cs="Arial" w:eastAsia="Arial" w:hAnsi="Arial"/>
          <w:sz w:val="18"/>
          <w:szCs w:val="18"/>
          <w:color w:val="auto"/>
        </w:rPr>
      </w:pPr>
    </w:p>
    <w:p>
      <w:pPr>
        <w:ind w:left="728" w:hanging="404"/>
        <w:spacing w:after="0"/>
        <w:tabs>
          <w:tab w:leader="none" w:pos="72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or Retirement</w:t>
      </w:r>
      <w:r>
        <w:rPr>
          <w:rFonts w:ascii="Arial" w:cs="Arial" w:eastAsia="Arial" w:hAnsi="Arial"/>
          <w:sz w:val="18"/>
          <w:szCs w:val="18"/>
          <w:color w:val="auto"/>
        </w:rPr>
        <w:t>. All PSUs will automatically be forfeited.</w:t>
      </w:r>
    </w:p>
    <w:p>
      <w:pPr>
        <w:spacing w:after="0" w:line="230"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198"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19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Prorated Vesting</w:t>
      </w:r>
      <w:r>
        <w:rPr>
          <w:rFonts w:ascii="Arial" w:cs="Arial" w:eastAsia="Arial" w:hAnsi="Arial"/>
          <w:sz w:val="18"/>
          <w:szCs w:val="18"/>
          <w:color w:val="auto"/>
        </w:rPr>
        <w:t>. The prorated portion of the PSUs that vests on the Vesting Date following the Participant's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(or while Retirement Eligible) will be determined by multiplying the total number of PSUs the Participant would have earned based on actual performance by a fraction, of which the numerator is the number of months (not to exceed 36) the Participant had been continually employed since the beginning of the Performance Period until his, her or their Death, Disability or Retirement and the denominator is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13" w:right="339" w:bottom="1440" w:gutter="0" w:footer="0" w:header="0"/>
        </w:sectPr>
      </w:pPr>
    </w:p>
    <w:bookmarkStart w:id="65" w:name="page66"/>
    <w:bookmarkEnd w:id="65"/>
    <w:p>
      <w:pPr>
        <w:spacing w:after="0" w:line="216" w:lineRule="exact"/>
        <w:rPr>
          <w:sz w:val="20"/>
          <w:szCs w:val="20"/>
          <w:color w:val="auto"/>
        </w:rPr>
      </w:pPr>
    </w:p>
    <w:p>
      <w:pPr>
        <w:jc w:val="both"/>
        <w:ind w:left="328" w:hanging="328"/>
        <w:spacing w:after="0" w:line="254" w:lineRule="auto"/>
        <w:tabs>
          <w:tab w:leader="none" w:pos="374"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may make such provisions and take such actions as necessary for the withholding of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taxes attributable to the PSUs and any related dividend equivalents. Unless the Committee determines otherwise, the minimum statutory tax withholding required to be withheld 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Notwithstanding the foregoing, the Participant may elect to satisfy these tax withholding requirements by timely remitting this amount by cash or check or any other method that is acceptable to the Company, rather than by withholding of shares. This election must be made in accordance with any conditions and restrictions the Company may establish. If FICA taxes are required to be withheld while the PSUs are outstanding, the withholding will be made in a manner determined by the Company.</w:t>
      </w:r>
    </w:p>
    <w:p>
      <w:pPr>
        <w:spacing w:after="0" w:line="209" w:lineRule="exact"/>
        <w:rPr>
          <w:rFonts w:ascii="Arial" w:cs="Arial" w:eastAsia="Arial" w:hAnsi="Arial"/>
          <w:sz w:val="18"/>
          <w:szCs w:val="18"/>
          <w:color w:val="auto"/>
        </w:rPr>
      </w:pPr>
    </w:p>
    <w:p>
      <w:pPr>
        <w:ind w:left="428" w:hanging="428"/>
        <w:spacing w:after="0"/>
        <w:tabs>
          <w:tab w:leader="none" w:pos="428"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Participant Acknowledgements</w:t>
      </w:r>
      <w:r>
        <w:rPr>
          <w:rFonts w:ascii="Arial" w:cs="Arial" w:eastAsia="Arial" w:hAnsi="Arial"/>
          <w:sz w:val="18"/>
          <w:szCs w:val="18"/>
          <w:color w:val="auto"/>
        </w:rPr>
        <w:t>. The Participant acknowledges and agrees that:</w:t>
      </w:r>
    </w:p>
    <w:p>
      <w:pPr>
        <w:spacing w:after="0" w:line="274" w:lineRule="exact"/>
        <w:rPr>
          <w:rFonts w:ascii="Arial" w:cs="Arial" w:eastAsia="Arial" w:hAnsi="Arial"/>
          <w:sz w:val="18"/>
          <w:szCs w:val="18"/>
          <w:color w:val="auto"/>
        </w:rPr>
      </w:pPr>
    </w:p>
    <w:p>
      <w:pPr>
        <w:jc w:val="both"/>
        <w:ind w:left="648" w:hanging="324"/>
        <w:spacing w:after="0" w:line="251" w:lineRule="auto"/>
        <w:tabs>
          <w:tab w:leader="none" w:pos="71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PSUs, if at any time during the period between the Grant Date and the 12-month period following the Participant’s termination of Employment (the “Obligation Period”), the Participant: (i) directly or indirectly, hires or solicits or arranges for the hiring or solicitation of any employee of the Company or its Affiliates, or encourages any employee to leave the Company or an Affiliate; (ii) directly or indirectly, assist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 Affiliates; the PSUs, whether previously vested or not, may be cancelled in full, and the Participant may be required to return to the Company any shares received on settlement of vested PSUs or the net after-tax income from any disposition of any shares received upon settlement of vested PSUs, unless the Committee, in its sole discretion, elects not to cancel the PSUs and/or elects not to recover any income from settled and vested PSUs or unless applicable law prohibits such action.</w:t>
      </w:r>
    </w:p>
    <w:p>
      <w:pPr>
        <w:spacing w:after="0" w:line="237" w:lineRule="exact"/>
        <w:rPr>
          <w:sz w:val="20"/>
          <w:szCs w:val="20"/>
          <w:color w:val="auto"/>
        </w:rPr>
      </w:pPr>
    </w:p>
    <w:p>
      <w:pPr>
        <w:jc w:val="both"/>
        <w:ind w:left="648"/>
        <w:spacing w:after="0" w:line="251" w:lineRule="auto"/>
        <w:rPr>
          <w:sz w:val="20"/>
          <w:szCs w:val="20"/>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40" w:right="339" w:bottom="1440" w:gutter="0" w:footer="0" w:header="0"/>
        </w:sectPr>
      </w:pPr>
    </w:p>
    <w:bookmarkStart w:id="66" w:name="page67"/>
    <w:bookmarkEnd w:id="66"/>
    <w:p>
      <w:pPr>
        <w:jc w:val="both"/>
        <w:ind w:left="324" w:hanging="324"/>
        <w:spacing w:after="0" w:line="250" w:lineRule="auto"/>
        <w:tabs>
          <w:tab w:leader="none" w:pos="48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1" w:lineRule="exact"/>
        <w:rPr>
          <w:rFonts w:ascii="Arial" w:cs="Arial" w:eastAsia="Arial" w:hAnsi="Arial"/>
          <w:sz w:val="18"/>
          <w:szCs w:val="18"/>
          <w:color w:val="auto"/>
        </w:rPr>
      </w:pPr>
    </w:p>
    <w:p>
      <w:pPr>
        <w:jc w:val="both"/>
        <w:ind w:left="324" w:hanging="324"/>
        <w:spacing w:after="0" w:line="252"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PSUs (to the extent such PSUs are not subject to Code Section 409A), or the Company may deduct funds equal to the amount of the obligation from other funds due to the Participant from the Company to the maximum extent permitted by Code Section 409A.</w:t>
      </w:r>
    </w:p>
    <w:p>
      <w:pPr>
        <w:spacing w:after="0" w:line="233" w:lineRule="exact"/>
        <w:rPr>
          <w:rFonts w:ascii="Arial" w:cs="Arial" w:eastAsia="Arial" w:hAnsi="Arial"/>
          <w:sz w:val="18"/>
          <w:szCs w:val="18"/>
          <w:color w:val="auto"/>
        </w:rPr>
      </w:pPr>
    </w:p>
    <w:p>
      <w:pPr>
        <w:jc w:val="both"/>
        <w:ind w:left="324" w:hanging="324"/>
        <w:spacing w:after="0" w:line="251"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w:t>
      </w:r>
    </w:p>
    <w:p>
      <w:pPr>
        <w:spacing w:after="0" w:line="234" w:lineRule="exact"/>
        <w:rPr>
          <w:rFonts w:ascii="Arial" w:cs="Arial" w:eastAsia="Arial" w:hAnsi="Arial"/>
          <w:sz w:val="18"/>
          <w:szCs w:val="18"/>
          <w:color w:val="auto"/>
        </w:rPr>
      </w:pPr>
    </w:p>
    <w:p>
      <w:pPr>
        <w:ind w:left="324" w:hanging="324"/>
        <w:spacing w:after="0" w:line="261" w:lineRule="auto"/>
        <w:tabs>
          <w:tab w:leader="none" w:pos="5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If the Participant is or becomes subject to the Company’s Stock Ownership Guidelines and applicable retention requirements, the Participant may be limited in selling shares obtained upon settlement of the PSUs.</w:t>
      </w:r>
    </w:p>
    <w:p>
      <w:pPr>
        <w:spacing w:after="0" w:line="224" w:lineRule="exact"/>
        <w:rPr>
          <w:rFonts w:ascii="Arial" w:cs="Arial" w:eastAsia="Arial" w:hAnsi="Arial"/>
          <w:sz w:val="18"/>
          <w:szCs w:val="18"/>
          <w:color w:val="auto"/>
        </w:rPr>
      </w:pPr>
    </w:p>
    <w:p>
      <w:pPr>
        <w:jc w:val="both"/>
        <w:ind w:left="324" w:hanging="324"/>
        <w:spacing w:after="0" w:line="254" w:lineRule="auto"/>
        <w:tabs>
          <w:tab w:leader="none" w:pos="51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If the Participant is covered by the Company’s Clawback Policy, the Participant agrees that the PSUs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1435" w:right="339" w:bottom="1440" w:gutter="0" w:footer="0" w:header="0"/>
        </w:sectPr>
      </w:pPr>
    </w:p>
    <w:bookmarkStart w:id="67" w:name="page68"/>
    <w:bookmarkEnd w:id="67"/>
    <w:p>
      <w:pPr>
        <w:ind w:left="660" w:hanging="328"/>
        <w:spacing w:after="0" w:line="287" w:lineRule="auto"/>
        <w:tabs>
          <w:tab w:leader="none" w:pos="796"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will be interpreted accordingly.</w:t>
      </w:r>
    </w:p>
    <w:p>
      <w:pPr>
        <w:spacing w:after="0" w:line="201" w:lineRule="exact"/>
        <w:rPr>
          <w:rFonts w:ascii="Arial" w:cs="Arial" w:eastAsia="Arial" w:hAnsi="Arial"/>
          <w:sz w:val="18"/>
          <w:szCs w:val="18"/>
          <w:color w:val="auto"/>
        </w:rPr>
      </w:pPr>
    </w:p>
    <w:p>
      <w:pPr>
        <w:jc w:val="both"/>
        <w:ind w:left="980" w:hanging="324"/>
        <w:spacing w:after="0" w:line="252" w:lineRule="auto"/>
        <w:tabs>
          <w:tab w:leader="none" w:pos="10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Participant’s separation from service, then, to the extent required under Section 409A, any shares that would otherwise be distributed (along with the cash value of all dividend equivalents that would be payable) on the Participant’s separation from service, will instead be delivered (and, in the case of the dividend equivalents, paid) on the earlier of (x) the first business day of the seventh month following the date of the Participant’s separation from service or (y) the Participant’s death.</w:t>
      </w:r>
    </w:p>
    <w:p>
      <w:pPr>
        <w:spacing w:after="0" w:line="235" w:lineRule="exact"/>
        <w:rPr>
          <w:rFonts w:ascii="Arial" w:cs="Arial" w:eastAsia="Arial" w:hAnsi="Arial"/>
          <w:sz w:val="18"/>
          <w:szCs w:val="18"/>
          <w:color w:val="auto"/>
        </w:rPr>
      </w:pPr>
    </w:p>
    <w:p>
      <w:pPr>
        <w:jc w:val="both"/>
        <w:ind w:left="980" w:hanging="324"/>
        <w:spacing w:after="0" w:line="252" w:lineRule="auto"/>
        <w:tabs>
          <w:tab w:leader="none" w:pos="10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PSUs will vest at the time of the Change in Control, but distribution of any PSUs (or related dividend equivalents) that constitute deferred compensation for the purposes of Section 409A will not be accelerated (i.e., distribution will occur when it would have occurred absent the Change in Control).</w:t>
      </w:r>
    </w:p>
    <w:p>
      <w:pPr>
        <w:spacing w:after="0" w:line="213" w:lineRule="exact"/>
        <w:rPr>
          <w:rFonts w:ascii="Arial" w:cs="Arial" w:eastAsia="Arial" w:hAnsi="Arial"/>
          <w:sz w:val="18"/>
          <w:szCs w:val="18"/>
          <w:color w:val="auto"/>
        </w:rPr>
      </w:pPr>
    </w:p>
    <w:p>
      <w:pPr>
        <w:jc w:val="both"/>
        <w:ind w:left="660" w:hanging="328"/>
        <w:spacing w:after="0" w:line="268" w:lineRule="auto"/>
        <w:tabs>
          <w:tab w:leader="none" w:pos="696"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issued, and the PSUs are granted, in Rye Brook, New York, and will be governed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New York,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Agreed to:</w:t>
            </w: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XYLEM INC.</w:t>
            </w:r>
          </w:p>
        </w:tc>
      </w:tr>
      <w:tr>
        <w:trPr>
          <w:trHeight w:val="769"/>
        </w:trPr>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345"/>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Participant</w:t>
            </w:r>
          </w:p>
        </w:tc>
        <w:tc>
          <w:tcPr>
            <w:tcW w:w="4300" w:type="dxa"/>
            <w:vAlign w:val="bottom"/>
          </w:tcPr>
          <w:p>
            <w:pPr>
              <w:ind w:left="60"/>
              <w:spacing w:after="0"/>
              <w:rPr>
                <w:sz w:val="20"/>
                <w:szCs w:val="20"/>
                <w:color w:val="auto"/>
              </w:rPr>
            </w:pPr>
            <w:r>
              <w:rPr>
                <w:rFonts w:ascii="Arial" w:cs="Arial" w:eastAsia="Arial" w:hAnsi="Arial"/>
                <w:sz w:val="18"/>
                <w:szCs w:val="18"/>
                <w:color w:val="auto"/>
              </w:rPr>
              <w:t>Patrick K. Decker, President and CEO</w:t>
            </w:r>
          </w:p>
        </w:tc>
      </w:tr>
      <w:tr>
        <w:trPr>
          <w:trHeight w:val="338"/>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(Online Acceptance Constitutes Agreement)</w:t>
            </w:r>
          </w:p>
        </w:tc>
        <w:tc>
          <w:tcPr>
            <w:tcW w:w="4300" w:type="dxa"/>
            <w:vAlign w:val="bottom"/>
          </w:tcPr>
          <w:p>
            <w:pPr>
              <w:spacing w:after="0"/>
              <w:rPr>
                <w:sz w:val="24"/>
                <w:szCs w:val="24"/>
                <w:color w:val="auto"/>
              </w:rPr>
            </w:pPr>
          </w:p>
        </w:tc>
      </w:tr>
      <w:tr>
        <w:trPr>
          <w:trHeight w:val="351"/>
        </w:trPr>
        <w:tc>
          <w:tcPr>
            <w:tcW w:w="860" w:type="dxa"/>
            <w:vAlign w:val="bottom"/>
          </w:tcPr>
          <w:p>
            <w:pPr>
              <w:ind w:left="20"/>
              <w:spacing w:after="0"/>
              <w:rPr>
                <w:sz w:val="20"/>
                <w:szCs w:val="20"/>
                <w:color w:val="auto"/>
              </w:rPr>
            </w:pPr>
            <w:r>
              <w:rPr>
                <w:rFonts w:ascii="Arial" w:cs="Arial" w:eastAsia="Arial" w:hAnsi="Arial"/>
                <w:sz w:val="18"/>
                <w:szCs w:val="18"/>
                <w:color w:val="auto"/>
              </w:rPr>
              <w:t>Dated:</w:t>
            </w:r>
          </w:p>
        </w:tc>
        <w:tc>
          <w:tcPr>
            <w:tcW w:w="2380" w:type="dxa"/>
            <w:vAlign w:val="bottom"/>
            <w:tcBorders>
              <w:bottom w:val="single" w:sz="8" w:color="auto"/>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4300" w:type="dxa"/>
            <w:vAlign w:val="bottom"/>
          </w:tcPr>
          <w:p>
            <w:pPr>
              <w:ind w:left="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###GRANT_DATE###</w:t>
            </w:r>
          </w:p>
        </w:tc>
      </w:tr>
      <w:tr>
        <w:trPr>
          <w:trHeight w:val="790"/>
        </w:trPr>
        <w:tc>
          <w:tcPr>
            <w:tcW w:w="6940" w:type="dxa"/>
            <w:vAlign w:val="bottom"/>
            <w:gridSpan w:val="4"/>
          </w:tcPr>
          <w:p>
            <w:pPr>
              <w:spacing w:after="0"/>
              <w:rPr>
                <w:sz w:val="20"/>
                <w:szCs w:val="20"/>
                <w:color w:val="auto"/>
              </w:rPr>
            </w:pPr>
            <w:r>
              <w:rPr>
                <w:rFonts w:ascii="Arial" w:cs="Arial" w:eastAsia="Arial" w:hAnsi="Arial"/>
                <w:sz w:val="18"/>
                <w:szCs w:val="18"/>
                <w:color w:val="auto"/>
              </w:rPr>
              <w:t>Enclosures</w:t>
            </w: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Three-year Performance Targets and Payout Scale</w:t>
      </w:r>
    </w:p>
    <w:p>
      <w:pPr>
        <w:spacing w:after="0" w:line="200" w:lineRule="exact"/>
        <w:rPr>
          <w:sz w:val="20"/>
          <w:szCs w:val="20"/>
          <w:color w:val="auto"/>
        </w:rPr>
      </w:pPr>
    </w:p>
    <w:p>
      <w:pPr>
        <w:spacing w:after="0" w:line="3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payout scale for performance metrics below provides for PSUs to be earned above 100% for above target performance and below 100% for below target performance.</w:t>
      </w:r>
    </w:p>
    <w:p>
      <w:pPr>
        <w:spacing w:after="0" w:line="200" w:lineRule="exact"/>
        <w:rPr>
          <w:sz w:val="20"/>
          <w:szCs w:val="20"/>
          <w:color w:val="auto"/>
        </w:rPr>
      </w:pPr>
    </w:p>
    <w:p>
      <w:pPr>
        <w:spacing w:after="0" w:line="286" w:lineRule="exact"/>
        <w:rPr>
          <w:sz w:val="20"/>
          <w:szCs w:val="20"/>
          <w:color w:val="auto"/>
        </w:rPr>
      </w:pPr>
    </w:p>
    <w:p>
      <w:pPr>
        <w:ind w:left="1120"/>
        <w:spacing w:after="0"/>
        <w:tabs>
          <w:tab w:leader="none" w:pos="6860" w:val="left"/>
        </w:tabs>
        <w:rPr>
          <w:sz w:val="20"/>
          <w:szCs w:val="20"/>
          <w:color w:val="auto"/>
        </w:rPr>
      </w:pPr>
      <w:r>
        <w:rPr>
          <w:rFonts w:ascii="Arial" w:cs="Arial" w:eastAsia="Arial" w:hAnsi="Arial"/>
          <w:sz w:val="18"/>
          <w:szCs w:val="18"/>
          <w:b w:val="1"/>
          <w:bCs w:val="1"/>
          <w:u w:val="single" w:color="auto"/>
          <w:color w:val="auto"/>
        </w:rPr>
        <w:t>Adjusted Operational ROIC (50%)</w:t>
      </w:r>
      <w:r>
        <w:rPr>
          <w:sz w:val="20"/>
          <w:szCs w:val="20"/>
          <w:color w:val="auto"/>
        </w:rPr>
        <w:tab/>
      </w:r>
      <w:r>
        <w:rPr>
          <w:rFonts w:ascii="Arial" w:cs="Arial" w:eastAsia="Arial" w:hAnsi="Arial"/>
          <w:sz w:val="17"/>
          <w:szCs w:val="17"/>
          <w:b w:val="1"/>
          <w:bCs w:val="1"/>
          <w:u w:val="single" w:color="auto"/>
          <w:color w:val="auto"/>
        </w:rPr>
        <w:t>Relative TSR*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80010</wp:posOffset>
            </wp:positionV>
            <wp:extent cx="4594860" cy="2271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459486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right="3900"/>
        <w:spacing w:after="0" w:line="281" w:lineRule="auto"/>
        <w:rPr>
          <w:sz w:val="20"/>
          <w:szCs w:val="20"/>
          <w:color w:val="auto"/>
        </w:rPr>
      </w:pPr>
      <w:r>
        <w:rPr>
          <w:rFonts w:ascii="Arial" w:cs="Arial" w:eastAsia="Arial" w:hAnsi="Arial"/>
          <w:sz w:val="16"/>
          <w:szCs w:val="16"/>
          <w:i w:val="1"/>
          <w:iCs w:val="1"/>
          <w:color w:val="auto"/>
        </w:rPr>
        <w:t>Results are interpolated between threshold and the bottom end of the target range, and between the top end of the target range and maximum.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*Measured against S&amp;P 500 less Financial Services companies. Payout capped at target if Xylem’s 3-year TSR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[YEAR] RESTRICTED STOCK UNIT AGREEMENT</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 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 Date]</w:t>
      </w:r>
      <w:r>
        <w:rPr>
          <w:rFonts w:ascii="Arial" w:cs="Arial" w:eastAsia="Arial" w:hAnsi="Arial"/>
          <w:sz w:val="18"/>
          <w:szCs w:val="18"/>
          <w:color w:val="auto"/>
        </w:rPr>
        <w:t>. Capitalized terms that are not defined in this Agreement are defined in the Company’s 2011 Omnibus Incentive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209" w:lineRule="exact"/>
        <w:rPr>
          <w:sz w:val="20"/>
          <w:szCs w:val="20"/>
          <w:color w:val="auto"/>
        </w:rPr>
      </w:pPr>
    </w:p>
    <w:p>
      <w:pPr>
        <w:jc w:val="both"/>
        <w:ind w:left="340" w:hanging="332"/>
        <w:spacing w:after="0" w:line="268" w:lineRule="auto"/>
        <w:tabs>
          <w:tab w:leader="none" w:pos="43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confirms the grant on</w:t>
      </w:r>
      <w:r>
        <w:rPr>
          <w:rFonts w:ascii="Arial" w:cs="Arial" w:eastAsia="Arial" w:hAnsi="Arial"/>
          <w:sz w:val="18"/>
          <w:szCs w:val="18"/>
          <w:b w:val="1"/>
          <w:bCs w:val="1"/>
          <w:color w:val="auto"/>
        </w:rPr>
        <w:t xml:space="preserve"> [Grant 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 Participant of</w:t>
      </w:r>
      <w:r>
        <w:rPr>
          <w:rFonts w:ascii="Arial" w:cs="Arial" w:eastAsia="Arial" w:hAnsi="Arial"/>
          <w:sz w:val="18"/>
          <w:szCs w:val="18"/>
          <w:b w:val="1"/>
          <w:bCs w:val="1"/>
          <w:color w:val="auto"/>
        </w:rPr>
        <w:t xml:space="preserve"> [#,###] </w:t>
      </w:r>
      <w:r>
        <w:rPr>
          <w:rFonts w:ascii="Arial" w:cs="Arial" w:eastAsia="Arial" w:hAnsi="Arial"/>
          <w:sz w:val="18"/>
          <w:szCs w:val="18"/>
          <w:color w:val="auto"/>
        </w:rPr>
        <w:t>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The RSUs are notional units of measurement denominated in shares of common stock (i.e., one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is equivalent in value to one share of common stock of the Company).</w:t>
      </w:r>
    </w:p>
    <w:p>
      <w:pPr>
        <w:spacing w:after="0" w:line="22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 RSUs represent an unfunded, unsecured right to receive shares and dividend equivalent payments in the future if the conditions in the Plan and this Agreement are satisfied.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Nature of the Grant:</w:t>
      </w:r>
    </w:p>
    <w:p>
      <w:pPr>
        <w:spacing w:after="0" w:line="274" w:lineRule="exact"/>
        <w:rPr>
          <w:sz w:val="20"/>
          <w:szCs w:val="20"/>
          <w:color w:val="auto"/>
        </w:rPr>
      </w:pPr>
    </w:p>
    <w:p>
      <w:pPr>
        <w:jc w:val="both"/>
        <w:ind w:left="660" w:hanging="328"/>
        <w:spacing w:after="0" w:line="256" w:lineRule="auto"/>
        <w:tabs>
          <w:tab w:leader="none" w:pos="8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w:t>
      </w:r>
    </w:p>
    <w:p>
      <w:pPr>
        <w:spacing w:after="0" w:line="228" w:lineRule="exact"/>
        <w:rPr>
          <w:rFonts w:ascii="Arial" w:cs="Arial" w:eastAsia="Arial" w:hAnsi="Arial"/>
          <w:sz w:val="18"/>
          <w:szCs w:val="18"/>
          <w:color w:val="auto"/>
        </w:rPr>
      </w:pPr>
    </w:p>
    <w:p>
      <w:pPr>
        <w:ind w:left="740" w:hanging="408"/>
        <w:spacing w:after="0"/>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81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228" w:lineRule="exact"/>
        <w:rPr>
          <w:rFonts w:ascii="Arial" w:cs="Arial" w:eastAsia="Arial" w:hAnsi="Arial"/>
          <w:sz w:val="18"/>
          <w:szCs w:val="18"/>
          <w:color w:val="auto"/>
        </w:rPr>
      </w:pPr>
    </w:p>
    <w:p>
      <w:pPr>
        <w:ind w:left="760" w:hanging="428"/>
        <w:spacing w:after="0"/>
        <w:tabs>
          <w:tab w:leader="none" w:pos="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52" w:lineRule="exact"/>
        <w:rPr>
          <w:rFonts w:ascii="Arial" w:cs="Arial" w:eastAsia="Arial" w:hAnsi="Arial"/>
          <w:sz w:val="18"/>
          <w:szCs w:val="18"/>
          <w:color w:val="auto"/>
        </w:rPr>
      </w:pPr>
    </w:p>
    <w:p>
      <w:pPr>
        <w:ind w:left="660" w:hanging="328"/>
        <w:spacing w:after="0" w:line="261" w:lineRule="auto"/>
        <w:tabs>
          <w:tab w:leader="none" w:pos="8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the termination of the Participant's employment; and</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7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206" w:lineRule="exact"/>
        <w:rPr>
          <w:rFonts w:ascii="Arial" w:cs="Arial" w:eastAsia="Arial" w:hAnsi="Arial"/>
          <w:sz w:val="18"/>
          <w:szCs w:val="18"/>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It is understood and agreed that the RSUs are subject to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70" w:name="page71"/>
    <w:bookmarkEnd w:id="70"/>
    <w:p>
      <w:pPr>
        <w:jc w:val="both"/>
        <w:ind w:left="328" w:hanging="328"/>
        <w:spacing w:after="0" w:line="268"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neither this Award nor any RSUs subject to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assigned, pledged, exchanged, transferred, hypothecated or encumbered, other than to the Company as a result of forfeiture of the RSUs.</w:t>
      </w:r>
    </w:p>
    <w:p>
      <w:pPr>
        <w:spacing w:after="0" w:line="197" w:lineRule="exact"/>
        <w:rPr>
          <w:rFonts w:ascii="Arial" w:cs="Arial" w:eastAsia="Arial" w:hAnsi="Arial"/>
          <w:sz w:val="18"/>
          <w:szCs w:val="18"/>
          <w:color w:val="auto"/>
        </w:rPr>
      </w:pPr>
    </w:p>
    <w:p>
      <w:pPr>
        <w:jc w:val="both"/>
        <w:ind w:left="328" w:hanging="328"/>
        <w:spacing w:after="0" w:line="256"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Voting and Dividend Equivalent Rights</w:t>
      </w:r>
      <w:r>
        <w:rPr>
          <w:rFonts w:ascii="Arial" w:cs="Arial" w:eastAsia="Arial" w:hAnsi="Arial"/>
          <w:sz w:val="18"/>
          <w:szCs w:val="18"/>
          <w:color w:val="auto"/>
        </w:rPr>
        <w:t>. The Participant will not have any privileges of a stockholder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RSUs or any shares that may be delivered under this Agreement, including without limitation any right to vote the shares or to receive dividends, unless and until the shares are delivered on vesting of the RSUs. Dividend equivalents will be earned with respect to each RSU that vests and the amount will be equal to the total dividends declared on a share, where the record 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spacing w:after="0" w:line="209" w:lineRule="exact"/>
        <w:rPr>
          <w:rFonts w:ascii="Arial" w:cs="Arial" w:eastAsia="Arial" w:hAnsi="Arial"/>
          <w:sz w:val="18"/>
          <w:szCs w:val="18"/>
          <w:color w:val="auto"/>
        </w:rPr>
      </w:pPr>
    </w:p>
    <w:p>
      <w:pPr>
        <w:jc w:val="both"/>
        <w:ind w:left="328" w:hanging="328"/>
        <w:spacing w:after="0" w:line="263" w:lineRule="auto"/>
        <w:tabs>
          <w:tab w:leader="none" w:pos="44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RSUs will vest as long as the Participant has been actively employed by the Company or an Affiliate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through the vesting date. Active employment does not include any potential severance period. The RSUs will vest in</w:t>
      </w:r>
    </w:p>
    <w:p>
      <w:pPr>
        <w:ind w:left="328"/>
        <w:spacing w:after="0"/>
        <w:rPr>
          <w:rFonts w:ascii="Arial" w:cs="Arial" w:eastAsia="Arial" w:hAnsi="Arial"/>
          <w:sz w:val="18"/>
          <w:szCs w:val="18"/>
          <w:color w:val="auto"/>
        </w:rPr>
      </w:pPr>
      <w:r>
        <w:rPr>
          <w:rFonts w:ascii="Arial" w:cs="Arial" w:eastAsia="Arial" w:hAnsi="Arial"/>
          <w:sz w:val="18"/>
          <w:szCs w:val="18"/>
          <w:color w:val="auto"/>
        </w:rPr>
        <w:t>3 installments as follows:</w:t>
      </w:r>
    </w:p>
    <w:p>
      <w:pPr>
        <w:spacing w:after="0" w:line="252" w:lineRule="exact"/>
        <w:rPr>
          <w:rFonts w:ascii="Arial" w:cs="Arial" w:eastAsia="Arial" w:hAnsi="Arial"/>
          <w:sz w:val="18"/>
          <w:szCs w:val="18"/>
          <w:color w:val="auto"/>
        </w:rPr>
      </w:pPr>
    </w:p>
    <w:p>
      <w:pPr>
        <w:ind w:left="588" w:hanging="264"/>
        <w:spacing w:after="0"/>
        <w:tabs>
          <w:tab w:leader="none" w:pos="5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1/3rd of the RSUs will vest [ ],</w:t>
      </w:r>
    </w:p>
    <w:p>
      <w:pPr>
        <w:spacing w:after="0" w:line="252" w:lineRule="exact"/>
        <w:rPr>
          <w:rFonts w:ascii="Arial" w:cs="Arial" w:eastAsia="Arial" w:hAnsi="Arial"/>
          <w:sz w:val="18"/>
          <w:szCs w:val="18"/>
          <w:color w:val="auto"/>
        </w:rPr>
      </w:pPr>
    </w:p>
    <w:p>
      <w:pPr>
        <w:ind w:left="588" w:hanging="264"/>
        <w:spacing w:after="0"/>
        <w:tabs>
          <w:tab w:leader="none" w:pos="5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1/3rd of the RSUs will vest [ ], and</w:t>
      </w:r>
    </w:p>
    <w:p>
      <w:pPr>
        <w:spacing w:after="0" w:line="252" w:lineRule="exact"/>
        <w:rPr>
          <w:rFonts w:ascii="Arial" w:cs="Arial" w:eastAsia="Arial" w:hAnsi="Arial"/>
          <w:sz w:val="18"/>
          <w:szCs w:val="18"/>
          <w:color w:val="auto"/>
        </w:rPr>
      </w:pPr>
    </w:p>
    <w:p>
      <w:pPr>
        <w:ind w:left="588" w:hanging="264"/>
        <w:spacing w:after="0"/>
        <w:tabs>
          <w:tab w:leader="none" w:pos="5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1/3rd of the RSUs will vest [ ].</w:t>
      </w:r>
    </w:p>
    <w:p>
      <w:pPr>
        <w:spacing w:after="0" w:line="23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 [ ], and [ ] are the respective “</w:t>
      </w:r>
      <w:r>
        <w:rPr>
          <w:rFonts w:ascii="Arial" w:cs="Arial" w:eastAsia="Arial" w:hAnsi="Arial"/>
          <w:sz w:val="18"/>
          <w:szCs w:val="18"/>
          <w:b w:val="1"/>
          <w:bCs w:val="1"/>
          <w:color w:val="auto"/>
        </w:rPr>
        <w:t>Vest Period Start Date</w:t>
      </w:r>
      <w:r>
        <w:rPr>
          <w:rFonts w:ascii="Arial" w:cs="Arial" w:eastAsia="Arial" w:hAnsi="Arial"/>
          <w:sz w:val="18"/>
          <w:szCs w:val="18"/>
          <w:color w:val="auto"/>
        </w:rPr>
        <w:t>” for each of the 3 installments.</w:t>
      </w:r>
    </w:p>
    <w:p>
      <w:pPr>
        <w:spacing w:after="0" w:line="274"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w:t>
      </w:r>
    </w:p>
    <w:p>
      <w:pPr>
        <w:spacing w:after="0" w:line="209" w:lineRule="exact"/>
        <w:rPr>
          <w:sz w:val="20"/>
          <w:szCs w:val="20"/>
          <w:color w:val="auto"/>
        </w:rPr>
      </w:pPr>
    </w:p>
    <w:p>
      <w:pPr>
        <w:jc w:val="both"/>
        <w:ind w:left="328" w:hanging="328"/>
        <w:spacing w:after="0" w:line="268" w:lineRule="auto"/>
        <w:tabs>
          <w:tab w:leader="none" w:pos="451"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end of the vesting date, if the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transaction assumes or continues any then-outstanding RSUs under the Plan, any unvested RSUs will continue to vest based on the RSUs’ service-based vesting criteria until the vesting date.</w:t>
      </w:r>
    </w:p>
    <w:p>
      <w:pPr>
        <w:spacing w:after="0" w:line="220"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w:t>
      </w:r>
    </w:p>
    <w:p>
      <w:pPr>
        <w:spacing w:after="0" w:line="229" w:lineRule="exact"/>
        <w:rPr>
          <w:sz w:val="20"/>
          <w:szCs w:val="20"/>
          <w:color w:val="auto"/>
        </w:rPr>
      </w:pPr>
    </w:p>
    <w:p>
      <w:pPr>
        <w:jc w:val="both"/>
        <w:ind w:left="328"/>
        <w:spacing w:after="0" w:line="261" w:lineRule="auto"/>
        <w:rPr>
          <w:sz w:val="20"/>
          <w:szCs w:val="20"/>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RSUs will become 100% vested.</w:t>
      </w:r>
    </w:p>
    <w:p>
      <w:pPr>
        <w:spacing w:after="0" w:line="203"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t>
      </w:r>
      <w:r>
        <w:rPr>
          <w:rFonts w:ascii="Arial" w:cs="Arial" w:eastAsia="Arial" w:hAnsi="Arial"/>
          <w:sz w:val="18"/>
          <w:szCs w:val="18"/>
          <w:b w:val="1"/>
          <w:bCs w:val="1"/>
          <w:color w:val="auto"/>
        </w:rPr>
        <w:t>Willful</w:t>
      </w:r>
      <w:r>
        <w:rPr>
          <w:rFonts w:ascii="Arial" w:cs="Arial" w:eastAsia="Arial" w:hAnsi="Arial"/>
          <w:sz w:val="18"/>
          <w:szCs w:val="18"/>
          <w:color w:val="auto"/>
        </w:rPr>
        <w:t>” means the action is done or omitted in bad faith or without reasonable belief that the action or omission was in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13" w:right="339" w:bottom="1440" w:gutter="0" w:footer="0" w:header="0"/>
        </w:sectPr>
      </w:pPr>
    </w:p>
    <w:bookmarkStart w:id="71" w:name="page72"/>
    <w:bookmarkEnd w:id="71"/>
    <w:p>
      <w:pPr>
        <w:spacing w:after="0" w:line="216"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231"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209" w:lineRule="exact"/>
        <w:rPr>
          <w:sz w:val="20"/>
          <w:szCs w:val="20"/>
          <w:color w:val="auto"/>
        </w:rPr>
      </w:pPr>
    </w:p>
    <w:p>
      <w:pPr>
        <w:jc w:val="both"/>
        <w:ind w:left="328" w:hanging="328"/>
        <w:spacing w:after="0" w:line="259" w:lineRule="auto"/>
        <w:tabs>
          <w:tab w:leader="none" w:pos="46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RSUs will only vest if the Participant is actively employed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RSUs on the date of the Participant’s termination of employment:</w:t>
      </w:r>
    </w:p>
    <w:p>
      <w:pPr>
        <w:spacing w:after="0" w:line="228" w:lineRule="exact"/>
        <w:rPr>
          <w:rFonts w:ascii="Arial" w:cs="Arial" w:eastAsia="Arial" w:hAnsi="Arial"/>
          <w:sz w:val="18"/>
          <w:szCs w:val="18"/>
          <w:color w:val="auto"/>
        </w:rPr>
      </w:pPr>
    </w:p>
    <w:p>
      <w:pPr>
        <w:ind w:left="688" w:hanging="364"/>
        <w:spacing w:after="0"/>
        <w:tabs>
          <w:tab w:leader="none" w:pos="68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RSUs will immediately become 100% vested.</w:t>
      </w:r>
    </w:p>
    <w:p>
      <w:pPr>
        <w:spacing w:after="0" w:line="252" w:lineRule="exact"/>
        <w:rPr>
          <w:rFonts w:ascii="Arial" w:cs="Arial" w:eastAsia="Arial" w:hAnsi="Arial"/>
          <w:sz w:val="18"/>
          <w:szCs w:val="18"/>
          <w:color w:val="auto"/>
        </w:rPr>
      </w:pPr>
    </w:p>
    <w:p>
      <w:pPr>
        <w:jc w:val="both"/>
        <w:ind w:left="648" w:hanging="324"/>
        <w:spacing w:after="0" w:line="256" w:lineRule="auto"/>
        <w:tabs>
          <w:tab w:leader="none" w:pos="76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A prorated portion (as described below) of unvested RSUs with a vesting date within 12 months of termination shall immediately vest on the Participant’s termination of employment. All other unvested RSUs will automatically be forfeited.</w:t>
      </w:r>
    </w:p>
    <w:p>
      <w:pPr>
        <w:spacing w:after="0" w:line="228" w:lineRule="exact"/>
        <w:rPr>
          <w:rFonts w:ascii="Arial" w:cs="Arial" w:eastAsia="Arial" w:hAnsi="Arial"/>
          <w:sz w:val="18"/>
          <w:szCs w:val="18"/>
          <w:color w:val="auto"/>
        </w:rPr>
      </w:pPr>
    </w:p>
    <w:p>
      <w:pPr>
        <w:ind w:left="768" w:hanging="444"/>
        <w:spacing w:after="0"/>
        <w:tabs>
          <w:tab w:leader="none" w:pos="76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All unvested RSUs will automatically be forfeited.</w:t>
      </w:r>
    </w:p>
    <w:p>
      <w:pPr>
        <w:spacing w:after="0" w:line="230"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198"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19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Prorated Vesting Upon Retirement</w:t>
      </w:r>
      <w:r>
        <w:rPr>
          <w:rFonts w:ascii="Arial" w:cs="Arial" w:eastAsia="Arial" w:hAnsi="Arial"/>
          <w:sz w:val="18"/>
          <w:szCs w:val="18"/>
          <w:color w:val="auto"/>
        </w:rPr>
        <w:t>. The prorated portion of the RSUs that vests upon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RSUs with vesting date within 12 months of termination by a fraction, of which the numerator is the number of full months (not to exceed 12) the Participant has been continually employed since the most recent Vest Period Start Date, and the denominator is 12. For this purpose, full months of employment shall be based on monthly anniversaries of the Vest Period Start Date, not calendar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40" w:right="339" w:bottom="1440" w:gutter="0" w:footer="0" w:header="0"/>
        </w:sectPr>
      </w:pPr>
    </w:p>
    <w:bookmarkStart w:id="72" w:name="page73"/>
    <w:bookmarkEnd w:id="72"/>
    <w:p>
      <w:pPr>
        <w:jc w:val="both"/>
        <w:ind w:left="328" w:hanging="328"/>
        <w:spacing w:after="0" w:line="254" w:lineRule="auto"/>
        <w:tabs>
          <w:tab w:leader="none" w:pos="387"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Notwithstanding the foregoing, the Participant may elect to satisfy these tax withholding requirements by timely remitting this amount by cash or check or any other method that is acceptable to the Company, rather than by withholding of shares. This election must be made in accordance with any conditions and restrictions the Company may establish. If FICA taxes are required to be withheld while the RSUs are outstanding, the withholding will be made in a manner determined by the Company.</w:t>
      </w:r>
    </w:p>
    <w:p>
      <w:pPr>
        <w:spacing w:after="0" w:line="209" w:lineRule="exact"/>
        <w:rPr>
          <w:rFonts w:ascii="Arial" w:cs="Arial" w:eastAsia="Arial" w:hAnsi="Arial"/>
          <w:sz w:val="18"/>
          <w:szCs w:val="18"/>
          <w:color w:val="auto"/>
        </w:rPr>
      </w:pPr>
    </w:p>
    <w:p>
      <w:pPr>
        <w:ind w:left="428" w:hanging="428"/>
        <w:spacing w:after="0"/>
        <w:tabs>
          <w:tab w:leader="none" w:pos="428"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Participant Acknowledgements</w:t>
      </w:r>
      <w:r>
        <w:rPr>
          <w:rFonts w:ascii="Arial" w:cs="Arial" w:eastAsia="Arial" w:hAnsi="Arial"/>
          <w:sz w:val="18"/>
          <w:szCs w:val="18"/>
          <w:color w:val="auto"/>
        </w:rPr>
        <w:t>. The Participant acknowledges and agrees that:</w:t>
      </w:r>
    </w:p>
    <w:p>
      <w:pPr>
        <w:spacing w:after="0" w:line="274" w:lineRule="exact"/>
        <w:rPr>
          <w:rFonts w:ascii="Arial" w:cs="Arial" w:eastAsia="Arial" w:hAnsi="Arial"/>
          <w:sz w:val="18"/>
          <w:szCs w:val="18"/>
          <w:color w:val="auto"/>
        </w:rPr>
      </w:pPr>
    </w:p>
    <w:p>
      <w:pPr>
        <w:jc w:val="both"/>
        <w:ind w:left="648" w:hanging="324"/>
        <w:spacing w:after="0" w:line="251" w:lineRule="auto"/>
        <w:tabs>
          <w:tab w:leader="none" w:pos="69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RSUs, if at any time during the period between the Grant Date and the 12-month period following the Participant’s termination of Employment (the “Obligation Period”), the Participant: (i) directly or indirectly, hires or solicits or arranges for the hiring or solicitation of any employee or customer of the Company or its Affiliates, or encourages any employee to leave the Company or an Affiliate; (ii) directly or indirectly, assist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 Affiliates; the RSUs, whether previously vested or not, may be cancelled in full, and the Participant may be required to return to the Company any shares received on settlement of vested RSUs or the net after-tax income from the disposition of any shares received upon settlement of vested RSUs, unless the Committee, in its sole discretion, elects not to cancel the RSUs and/or elects not to recover any income from settled RSUs or unless applicable law prohibits such action.</w:t>
      </w:r>
    </w:p>
    <w:p>
      <w:pPr>
        <w:spacing w:after="0" w:line="237" w:lineRule="exact"/>
        <w:rPr>
          <w:sz w:val="20"/>
          <w:szCs w:val="20"/>
          <w:color w:val="auto"/>
        </w:rPr>
      </w:pPr>
    </w:p>
    <w:p>
      <w:pPr>
        <w:jc w:val="both"/>
        <w:ind w:left="648"/>
        <w:spacing w:after="0" w:line="251" w:lineRule="auto"/>
        <w:rPr>
          <w:sz w:val="20"/>
          <w:szCs w:val="20"/>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238" w:lineRule="exact"/>
        <w:rPr>
          <w:sz w:val="20"/>
          <w:szCs w:val="20"/>
          <w:color w:val="auto"/>
        </w:rPr>
      </w:pPr>
    </w:p>
    <w:p>
      <w:pPr>
        <w:ind w:left="648" w:hanging="324"/>
        <w:spacing w:after="0" w:line="261" w:lineRule="auto"/>
        <w:tabs>
          <w:tab w:leader="none" w:pos="8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13" w:right="339" w:bottom="1440" w:gutter="0" w:footer="0" w:header="0"/>
        </w:sectPr>
      </w:pPr>
    </w:p>
    <w:bookmarkStart w:id="73" w:name="page74"/>
    <w:bookmarkEnd w:id="73"/>
    <w:p>
      <w:pPr>
        <w:jc w:val="both"/>
        <w:ind w:left="324"/>
        <w:spacing w:after="0" w:line="254" w:lineRule="auto"/>
        <w:rPr>
          <w:sz w:val="20"/>
          <w:szCs w:val="20"/>
          <w:color w:val="auto"/>
        </w:rPr>
      </w:pPr>
      <w:r>
        <w:rPr>
          <w:rFonts w:ascii="Arial" w:cs="Arial" w:eastAsia="Arial" w:hAnsi="Arial"/>
          <w:sz w:val="18"/>
          <w:szCs w:val="18"/>
          <w:color w:val="auto"/>
        </w:rPr>
        <w:t>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231" w:lineRule="exact"/>
        <w:rPr>
          <w:sz w:val="20"/>
          <w:szCs w:val="20"/>
          <w:color w:val="auto"/>
        </w:rPr>
      </w:pPr>
    </w:p>
    <w:p>
      <w:pPr>
        <w:jc w:val="both"/>
        <w:ind w:left="324" w:hanging="324"/>
        <w:spacing w:after="0" w:line="252"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w:t>
      </w:r>
    </w:p>
    <w:p>
      <w:pPr>
        <w:spacing w:after="0" w:line="233" w:lineRule="exact"/>
        <w:rPr>
          <w:rFonts w:ascii="Arial" w:cs="Arial" w:eastAsia="Arial" w:hAnsi="Arial"/>
          <w:sz w:val="18"/>
          <w:szCs w:val="18"/>
          <w:color w:val="auto"/>
        </w:rPr>
      </w:pPr>
    </w:p>
    <w:p>
      <w:pPr>
        <w:jc w:val="both"/>
        <w:ind w:left="324" w:hanging="324"/>
        <w:spacing w:after="0" w:line="251" w:lineRule="auto"/>
        <w:tabs>
          <w:tab w:leader="none" w:pos="61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w:t>
      </w:r>
    </w:p>
    <w:p>
      <w:pPr>
        <w:spacing w:after="0" w:line="234" w:lineRule="exact"/>
        <w:rPr>
          <w:rFonts w:ascii="Arial" w:cs="Arial" w:eastAsia="Arial" w:hAnsi="Arial"/>
          <w:sz w:val="18"/>
          <w:szCs w:val="18"/>
          <w:color w:val="auto"/>
        </w:rPr>
      </w:pPr>
    </w:p>
    <w:p>
      <w:pPr>
        <w:ind w:left="324" w:hanging="324"/>
        <w:spacing w:after="0" w:line="261" w:lineRule="auto"/>
        <w:tabs>
          <w:tab w:leader="none" w:pos="53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If the Participant is or becomes subject to the Company’s Stock Ownership Guidelines and applicable retention requirements, the Participant may be limited in selling shares obtained upon settlement of the RSUs.</w:t>
      </w:r>
    </w:p>
    <w:p>
      <w:pPr>
        <w:spacing w:after="0" w:line="224" w:lineRule="exact"/>
        <w:rPr>
          <w:rFonts w:ascii="Arial" w:cs="Arial" w:eastAsia="Arial" w:hAnsi="Arial"/>
          <w:sz w:val="18"/>
          <w:szCs w:val="18"/>
          <w:color w:val="auto"/>
        </w:rPr>
      </w:pPr>
    </w:p>
    <w:p>
      <w:pPr>
        <w:jc w:val="both"/>
        <w:ind w:left="324" w:hanging="324"/>
        <w:spacing w:after="0" w:line="254" w:lineRule="auto"/>
        <w:tabs>
          <w:tab w:leader="none" w:pos="51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If the Participant is covered by the Company’s Clawback Policy, the Participant agrees that the RSUs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1435" w:right="339" w:bottom="1440" w:gutter="0" w:footer="0" w:header="0"/>
        </w:sectPr>
      </w:pPr>
    </w:p>
    <w:bookmarkStart w:id="74" w:name="page75"/>
    <w:bookmarkEnd w:id="74"/>
    <w:p>
      <w:pPr>
        <w:ind w:left="660" w:hanging="328"/>
        <w:spacing w:after="0" w:line="287" w:lineRule="auto"/>
        <w:tabs>
          <w:tab w:leader="none" w:pos="796"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shall be interpreted accordingly.</w:t>
      </w:r>
    </w:p>
    <w:p>
      <w:pPr>
        <w:spacing w:after="0" w:line="201" w:lineRule="exact"/>
        <w:rPr>
          <w:rFonts w:ascii="Arial" w:cs="Arial" w:eastAsia="Arial" w:hAnsi="Arial"/>
          <w:sz w:val="18"/>
          <w:szCs w:val="18"/>
          <w:color w:val="auto"/>
        </w:rPr>
      </w:pPr>
    </w:p>
    <w:p>
      <w:pPr>
        <w:jc w:val="both"/>
        <w:ind w:left="980" w:hanging="324"/>
        <w:spacing w:after="0" w:line="252" w:lineRule="auto"/>
        <w:tabs>
          <w:tab w:leader="none" w:pos="1053"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spacing w:after="0" w:line="235" w:lineRule="exact"/>
        <w:rPr>
          <w:rFonts w:ascii="Arial" w:cs="Arial" w:eastAsia="Arial" w:hAnsi="Arial"/>
          <w:sz w:val="18"/>
          <w:szCs w:val="18"/>
          <w:color w:val="auto"/>
        </w:rPr>
      </w:pPr>
    </w:p>
    <w:p>
      <w:pPr>
        <w:jc w:val="both"/>
        <w:ind w:left="980" w:hanging="324"/>
        <w:spacing w:after="0" w:line="252" w:lineRule="auto"/>
        <w:tabs>
          <w:tab w:leader="none" w:pos="1095"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(i.e., distribution will occur when it would have occurred absent the Change in Control).</w:t>
      </w:r>
    </w:p>
    <w:p>
      <w:pPr>
        <w:spacing w:after="0" w:line="213" w:lineRule="exact"/>
        <w:rPr>
          <w:rFonts w:ascii="Arial" w:cs="Arial" w:eastAsia="Arial" w:hAnsi="Arial"/>
          <w:sz w:val="18"/>
          <w:szCs w:val="18"/>
          <w:color w:val="auto"/>
        </w:rPr>
      </w:pPr>
    </w:p>
    <w:p>
      <w:pPr>
        <w:jc w:val="both"/>
        <w:ind w:left="660" w:hanging="328"/>
        <w:spacing w:after="0" w:line="268" w:lineRule="auto"/>
        <w:tabs>
          <w:tab w:leader="none" w:pos="709"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issued and the RSUs are granted in Rye Brook, New York, and will be governed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New York,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Agreed to:</w:t>
            </w: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XYLEM INC.</w:t>
            </w:r>
          </w:p>
        </w:tc>
      </w:tr>
      <w:tr>
        <w:trPr>
          <w:trHeight w:val="769"/>
        </w:trPr>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345"/>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Participant</w:t>
            </w:r>
          </w:p>
        </w:tc>
        <w:tc>
          <w:tcPr>
            <w:tcW w:w="4300" w:type="dxa"/>
            <w:vAlign w:val="bottom"/>
          </w:tcPr>
          <w:p>
            <w:pPr>
              <w:ind w:left="60"/>
              <w:spacing w:after="0"/>
              <w:rPr>
                <w:sz w:val="20"/>
                <w:szCs w:val="20"/>
                <w:color w:val="auto"/>
              </w:rPr>
            </w:pPr>
            <w:r>
              <w:rPr>
                <w:rFonts w:ascii="Arial" w:cs="Arial" w:eastAsia="Arial" w:hAnsi="Arial"/>
                <w:sz w:val="18"/>
                <w:szCs w:val="18"/>
                <w:color w:val="auto"/>
              </w:rPr>
              <w:t>Patrick K. Decker, President and CEO</w:t>
            </w:r>
          </w:p>
        </w:tc>
      </w:tr>
      <w:tr>
        <w:trPr>
          <w:trHeight w:val="338"/>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(Online Acceptance Constitutes Agreement)</w:t>
            </w:r>
          </w:p>
        </w:tc>
        <w:tc>
          <w:tcPr>
            <w:tcW w:w="4300" w:type="dxa"/>
            <w:vAlign w:val="bottom"/>
          </w:tcPr>
          <w:p>
            <w:pPr>
              <w:spacing w:after="0"/>
              <w:rPr>
                <w:sz w:val="24"/>
                <w:szCs w:val="24"/>
                <w:color w:val="auto"/>
              </w:rPr>
            </w:pPr>
          </w:p>
        </w:tc>
      </w:tr>
      <w:tr>
        <w:trPr>
          <w:trHeight w:val="351"/>
        </w:trPr>
        <w:tc>
          <w:tcPr>
            <w:tcW w:w="860" w:type="dxa"/>
            <w:vAlign w:val="bottom"/>
          </w:tcPr>
          <w:p>
            <w:pPr>
              <w:ind w:left="20"/>
              <w:spacing w:after="0"/>
              <w:rPr>
                <w:sz w:val="20"/>
                <w:szCs w:val="20"/>
                <w:color w:val="auto"/>
              </w:rPr>
            </w:pPr>
            <w:r>
              <w:rPr>
                <w:rFonts w:ascii="Arial" w:cs="Arial" w:eastAsia="Arial" w:hAnsi="Arial"/>
                <w:sz w:val="18"/>
                <w:szCs w:val="18"/>
                <w:color w:val="auto"/>
              </w:rPr>
              <w:t>Dated:</w:t>
            </w:r>
          </w:p>
        </w:tc>
        <w:tc>
          <w:tcPr>
            <w:tcW w:w="2380" w:type="dxa"/>
            <w:vAlign w:val="bottom"/>
            <w:tcBorders>
              <w:bottom w:val="single" w:sz="8" w:color="auto"/>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4300" w:type="dxa"/>
            <w:vAlign w:val="bottom"/>
          </w:tcPr>
          <w:p>
            <w:pPr>
              <w:ind w:left="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[Grant Date]</w:t>
            </w:r>
          </w:p>
        </w:tc>
      </w:tr>
      <w:tr>
        <w:trPr>
          <w:trHeight w:val="790"/>
        </w:trPr>
        <w:tc>
          <w:tcPr>
            <w:tcW w:w="6940" w:type="dxa"/>
            <w:vAlign w:val="bottom"/>
            <w:gridSpan w:val="4"/>
          </w:tcPr>
          <w:p>
            <w:pPr>
              <w:spacing w:after="0"/>
              <w:rPr>
                <w:sz w:val="20"/>
                <w:szCs w:val="20"/>
                <w:color w:val="auto"/>
              </w:rPr>
            </w:pPr>
            <w:r>
              <w:rPr>
                <w:rFonts w:ascii="Arial" w:cs="Arial" w:eastAsia="Arial" w:hAnsi="Arial"/>
                <w:sz w:val="18"/>
                <w:szCs w:val="18"/>
                <w:color w:val="auto"/>
              </w:rPr>
              <w:t>Enclosures</w:t>
            </w: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2021 ESG PERFORMANCE SHARE UNIT AGREEMENT</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209" w:lineRule="exact"/>
        <w:rPr>
          <w:sz w:val="20"/>
          <w:szCs w:val="20"/>
          <w:color w:val="auto"/>
        </w:rPr>
      </w:pPr>
    </w:p>
    <w:p>
      <w:pPr>
        <w:jc w:val="both"/>
        <w:ind w:left="340" w:hanging="332"/>
        <w:spacing w:after="0" w:line="262" w:lineRule="auto"/>
        <w:tabs>
          <w:tab w:leader="none" w:pos="39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Performance Share Units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target number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All PSUs granted under this agreement are intended to be Performance Based Awards. The PSUs are notional units of measurement denominated in shares of common stock (i.e., one Performance Share Unit is equivalent in value to one share of common stock of the Company).</w:t>
      </w:r>
    </w:p>
    <w:p>
      <w:pPr>
        <w:spacing w:after="0" w:line="225"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 PSUs represent an unfunded, unsecured right to receive shares and dividend equivalent payments in the future if the conditions in the Plan and this Agreement are satisfied.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Nature of the Grant:</w:t>
      </w:r>
    </w:p>
    <w:p>
      <w:pPr>
        <w:spacing w:after="0" w:line="274" w:lineRule="exact"/>
        <w:rPr>
          <w:sz w:val="20"/>
          <w:szCs w:val="20"/>
          <w:color w:val="auto"/>
        </w:rPr>
      </w:pPr>
    </w:p>
    <w:p>
      <w:pPr>
        <w:jc w:val="both"/>
        <w:ind w:left="660" w:hanging="328"/>
        <w:spacing w:after="0" w:line="256" w:lineRule="auto"/>
        <w:tabs>
          <w:tab w:leader="none" w:pos="81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grant of the PSUs is voluntary and occasional and does not create any contractual or other right to receive future grants of PSUs, or benefits in lieu of PSUs, even if PSUs have been granted in the past. All decisions with respect to future PSUs or other grants, if any, will be at the sole discretion of the Company;</w:t>
      </w:r>
    </w:p>
    <w:p>
      <w:pPr>
        <w:spacing w:after="0" w:line="228" w:lineRule="exact"/>
        <w:rPr>
          <w:rFonts w:ascii="Arial" w:cs="Arial" w:eastAsia="Arial" w:hAnsi="Arial"/>
          <w:sz w:val="18"/>
          <w:szCs w:val="18"/>
          <w:color w:val="auto"/>
        </w:rPr>
      </w:pPr>
    </w:p>
    <w:p>
      <w:pPr>
        <w:ind w:left="740" w:hanging="408"/>
        <w:spacing w:after="0"/>
        <w:tabs>
          <w:tab w:leader="none" w:pos="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81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228" w:lineRule="exact"/>
        <w:rPr>
          <w:rFonts w:ascii="Arial" w:cs="Arial" w:eastAsia="Arial" w:hAnsi="Arial"/>
          <w:sz w:val="18"/>
          <w:szCs w:val="18"/>
          <w:color w:val="auto"/>
        </w:rPr>
      </w:pPr>
    </w:p>
    <w:p>
      <w:pPr>
        <w:ind w:left="760" w:hanging="428"/>
        <w:spacing w:after="0"/>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52" w:lineRule="exact"/>
        <w:rPr>
          <w:rFonts w:ascii="Arial" w:cs="Arial" w:eastAsia="Arial" w:hAnsi="Arial"/>
          <w:sz w:val="18"/>
          <w:szCs w:val="18"/>
          <w:color w:val="auto"/>
        </w:rPr>
      </w:pPr>
    </w:p>
    <w:p>
      <w:pPr>
        <w:ind w:left="660" w:hanging="328"/>
        <w:spacing w:after="0" w:line="261" w:lineRule="auto"/>
        <w:tabs>
          <w:tab w:leader="none" w:pos="8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PSUs resulting from the termination of the Participant's employment; and</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77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spacing w:after="0" w:line="206"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The PSUs are subject to the following additional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76" w:name="page77"/>
    <w:bookmarkEnd w:id="76"/>
    <w:p>
      <w:pPr>
        <w:ind w:left="328" w:hanging="328"/>
        <w:spacing w:after="0" w:line="287"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the PSUs cannot be sold, assigned,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exchanged, transferred, hypothecated or encumbered, other than to the Company as a result of forfeiture.</w:t>
      </w:r>
    </w:p>
    <w:p>
      <w:pPr>
        <w:spacing w:after="0" w:line="179" w:lineRule="exact"/>
        <w:rPr>
          <w:rFonts w:ascii="Arial" w:cs="Arial" w:eastAsia="Arial" w:hAnsi="Arial"/>
          <w:sz w:val="18"/>
          <w:szCs w:val="18"/>
          <w:color w:val="auto"/>
        </w:rPr>
      </w:pPr>
    </w:p>
    <w:p>
      <w:pPr>
        <w:jc w:val="both"/>
        <w:ind w:left="328" w:hanging="328"/>
        <w:spacing w:after="0" w:line="256" w:lineRule="auto"/>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Voting and Dividend Equivalent Rights</w:t>
      </w:r>
      <w:r>
        <w:rPr>
          <w:rFonts w:ascii="Arial" w:cs="Arial" w:eastAsia="Arial" w:hAnsi="Arial"/>
          <w:sz w:val="18"/>
          <w:szCs w:val="18"/>
          <w:color w:val="auto"/>
        </w:rPr>
        <w:t>. The Participant will not have any privileges of a stockholder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PSUs, including without limitation any right to vote such shares or to receive dividends, unless and until shares are delivered to the Participant on the vesting of the PSUs. Dividend equivalents will be earned for each PSU that vests and the amount will equal the total dividends declared on a share, where the record date of the dividend is between the Grant Date of this Award and the date a share is issued on vesting of the PSU. Any dividend equivalents earned will be paid in cash to the Participant as and when the shares subject to the vested PSUs are issued. No dividend equivalents will be earned or paid with respect to any portion of the PSUs that are not earned and/or do not vest. Dividend equivalents will not accrue interest.</w:t>
      </w:r>
    </w:p>
    <w:p>
      <w:pPr>
        <w:spacing w:after="0" w:line="209" w:lineRule="exact"/>
        <w:rPr>
          <w:rFonts w:ascii="Arial" w:cs="Arial" w:eastAsia="Arial" w:hAnsi="Arial"/>
          <w:sz w:val="18"/>
          <w:szCs w:val="18"/>
          <w:color w:val="auto"/>
        </w:rPr>
      </w:pPr>
    </w:p>
    <w:p>
      <w:pPr>
        <w:jc w:val="both"/>
        <w:ind w:left="328" w:hanging="328"/>
        <w:spacing w:after="0" w:line="259" w:lineRule="auto"/>
        <w:tabs>
          <w:tab w:leader="none" w:pos="45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Earning of PSUs</w:t>
      </w:r>
      <w:r>
        <w:rPr>
          <w:rFonts w:ascii="Arial" w:cs="Arial" w:eastAsia="Arial" w:hAnsi="Arial"/>
          <w:sz w:val="18"/>
          <w:szCs w:val="18"/>
          <w:color w:val="auto"/>
        </w:rPr>
        <w:t>. The Participant can earn between 0% and 100% of the target number of PSUs granted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vesting to be based on the achievement relative to 5 sustainability-based performance targets (Women in Leadership, Process Water Recycling, CO2 Reduction, Pollution Prevention, and Non-Revenue Water Reduction) and set forth on Exhibit A, by the end of the 5-year performance period covering fiscal years 2021-2025 (the “Performance Period”). The Committee will determine and certify the results of the level of achievement against such targets and the associated number of PSUs earned as described in Exhibit A.</w:t>
      </w:r>
    </w:p>
    <w:p>
      <w:pPr>
        <w:spacing w:after="0" w:line="206"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Any earned PSUs will vest on</w:t>
      </w:r>
      <w:r>
        <w:rPr>
          <w:rFonts w:ascii="Arial" w:cs="Arial" w:eastAsia="Arial" w:hAnsi="Arial"/>
          <w:sz w:val="18"/>
          <w:szCs w:val="18"/>
          <w:b w:val="1"/>
          <w:bCs w:val="1"/>
          <w:color w:val="auto"/>
        </w:rPr>
        <w:t xml:space="preserve"> March 1, 2026 </w:t>
      </w:r>
      <w:r>
        <w:rPr>
          <w:rFonts w:ascii="Arial" w:cs="Arial" w:eastAsia="Arial" w:hAnsi="Arial"/>
          <w:sz w:val="18"/>
          <w:szCs w:val="18"/>
          <w:color w:val="auto"/>
        </w:rPr>
        <w:t>(the “</w:t>
      </w:r>
      <w:r>
        <w:rPr>
          <w:rFonts w:ascii="Arial" w:cs="Arial" w:eastAsia="Arial" w:hAnsi="Arial"/>
          <w:sz w:val="18"/>
          <w:szCs w:val="18"/>
          <w:b w:val="1"/>
          <w:bCs w:val="1"/>
          <w:color w:val="auto"/>
        </w:rPr>
        <w:t>Vesting Date</w:t>
      </w:r>
      <w:r>
        <w:rPr>
          <w:rFonts w:ascii="Arial" w:cs="Arial" w:eastAsia="Arial" w:hAnsi="Arial"/>
          <w:sz w:val="18"/>
          <w:szCs w:val="18"/>
          <w:color w:val="auto"/>
        </w:rPr>
        <w:t>”) so long as the Participant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employed by the Company or an Affiliate from the Grant Date through the Vesting Date. Active employment does not include any potential severance period.</w:t>
      </w:r>
    </w:p>
    <w:p>
      <w:pPr>
        <w:spacing w:after="0" w:line="220"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Except as provided in subsection 2(h), on vesting of the PSUs, including vesting pursuant to subsections 2(d) or 2(e), the Company will deliver to the Participant (i) one share for each vested PSU, with any fractional shares resulting from proration pursuant to subsection 2(d) and 2(e) to be rounded to the nearest whole share, and (ii) an amount in cash attributable to dividend equivalents earned in accordance with subsection 2(b), less shares withheld in accordance with subsection 2(f).</w:t>
      </w:r>
    </w:p>
    <w:p>
      <w:pPr>
        <w:spacing w:after="0" w:line="209" w:lineRule="exact"/>
        <w:rPr>
          <w:sz w:val="20"/>
          <w:szCs w:val="20"/>
          <w:color w:val="auto"/>
        </w:rPr>
      </w:pPr>
    </w:p>
    <w:p>
      <w:pPr>
        <w:jc w:val="both"/>
        <w:ind w:left="328" w:hanging="328"/>
        <w:spacing w:after="0" w:line="262" w:lineRule="auto"/>
        <w:tabs>
          <w:tab w:leader="none" w:pos="464"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end of the Performance Period, if the acquiring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company in the transaction assumes or continues any then-outstanding PSUs, any unvested PSUs will be deemed to have satisfied all applicable performance targets at the target level (i.e. 100%), and will be converted to service-based restricted stock units, which will continue to vest based on the PSUs’ service-based vesting criteria until the Vesting Date.</w:t>
      </w:r>
    </w:p>
    <w:p>
      <w:pPr>
        <w:spacing w:after="0" w:line="225"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converted and any unvested PSUs will become 100% vested on the termination date.</w:t>
      </w:r>
    </w:p>
    <w:p>
      <w:pPr>
        <w:spacing w:after="0" w:line="229"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PSUs will become 100% vested based on deemed performance at the target level (i.e. 100%).</w:t>
      </w:r>
    </w:p>
    <w:p>
      <w:pPr>
        <w:spacing w:after="0" w:line="207"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13" w:right="339" w:bottom="1440" w:gutter="0" w:footer="0" w:header="0"/>
        </w:sectPr>
      </w:pPr>
    </w:p>
    <w:bookmarkStart w:id="77" w:name="page78"/>
    <w:bookmarkEnd w:id="77"/>
    <w:p>
      <w:pPr>
        <w:jc w:val="both"/>
        <w:ind w:left="328" w:right="20"/>
        <w:spacing w:after="0" w:line="287" w:lineRule="auto"/>
        <w:rPr>
          <w:sz w:val="20"/>
          <w:szCs w:val="20"/>
          <w:color w:val="auto"/>
        </w:rPr>
      </w:pPr>
      <w:r>
        <w:rPr>
          <w:rFonts w:ascii="Arial" w:cs="Arial" w:eastAsia="Arial" w:hAnsi="Arial"/>
          <w:sz w:val="18"/>
          <w:szCs w:val="18"/>
          <w:color w:val="auto"/>
        </w:rPr>
        <w:t>conduct that demonstrably and materially injures the Company or its Affiliates, monetarily or otherwise. “</w:t>
      </w:r>
      <w:r>
        <w:rPr>
          <w:rFonts w:ascii="Arial" w:cs="Arial" w:eastAsia="Arial" w:hAnsi="Arial"/>
          <w:sz w:val="18"/>
          <w:szCs w:val="18"/>
          <w:b w:val="1"/>
          <w:bCs w:val="1"/>
          <w:color w:val="auto"/>
        </w:rPr>
        <w:t>Willful</w:t>
      </w:r>
      <w:r>
        <w:rPr>
          <w:rFonts w:ascii="Arial" w:cs="Arial" w:eastAsia="Arial" w:hAnsi="Arial"/>
          <w:sz w:val="18"/>
          <w:szCs w:val="18"/>
          <w:color w:val="auto"/>
        </w:rPr>
        <w:t>” means the action is done or omitted in bad faith or without reasonable belief that the action or omission was in the best interests of the Company.</w:t>
      </w:r>
    </w:p>
    <w:p>
      <w:pPr>
        <w:spacing w:after="0" w:line="180"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231"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209" w:lineRule="exact"/>
        <w:rPr>
          <w:sz w:val="20"/>
          <w:szCs w:val="20"/>
          <w:color w:val="auto"/>
        </w:rPr>
      </w:pPr>
    </w:p>
    <w:p>
      <w:pPr>
        <w:jc w:val="both"/>
        <w:ind w:left="328" w:hanging="328"/>
        <w:spacing w:after="0" w:line="259" w:lineRule="auto"/>
        <w:tabs>
          <w:tab w:leader="none" w:pos="46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Earned PSUs will only vest if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through the Vesting Date. If the Participant's active employment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PSUs:</w:t>
      </w:r>
    </w:p>
    <w:p>
      <w:pPr>
        <w:spacing w:after="0" w:line="228" w:lineRule="exact"/>
        <w:rPr>
          <w:rFonts w:ascii="Arial" w:cs="Arial" w:eastAsia="Arial" w:hAnsi="Arial"/>
          <w:sz w:val="18"/>
          <w:szCs w:val="18"/>
          <w:color w:val="auto"/>
        </w:rPr>
      </w:pPr>
    </w:p>
    <w:p>
      <w:pPr>
        <w:jc w:val="both"/>
        <w:ind w:left="648" w:hanging="324"/>
        <w:spacing w:after="0" w:line="256" w:lineRule="auto"/>
        <w:tabs>
          <w:tab w:leader="none" w:pos="72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A prorated portion (as described below) of the unvested PSUs will remain outstanding and therefore continue to be eligible to vest based on actual Company performance during the Performance Period. A prorated portion (as described below) of the earned PSUs will be paid out on Vesting Date.</w:t>
      </w:r>
    </w:p>
    <w:p>
      <w:pPr>
        <w:spacing w:after="0" w:line="228" w:lineRule="exact"/>
        <w:rPr>
          <w:rFonts w:ascii="Arial" w:cs="Arial" w:eastAsia="Arial" w:hAnsi="Arial"/>
          <w:sz w:val="18"/>
          <w:szCs w:val="18"/>
          <w:color w:val="auto"/>
        </w:rPr>
      </w:pPr>
    </w:p>
    <w:p>
      <w:pPr>
        <w:ind w:left="728" w:hanging="404"/>
        <w:spacing w:after="0"/>
        <w:tabs>
          <w:tab w:leader="none" w:pos="728"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or Retirement</w:t>
      </w:r>
      <w:r>
        <w:rPr>
          <w:rFonts w:ascii="Arial" w:cs="Arial" w:eastAsia="Arial" w:hAnsi="Arial"/>
          <w:sz w:val="18"/>
          <w:szCs w:val="18"/>
          <w:color w:val="auto"/>
        </w:rPr>
        <w:t>. All PSUs will automatically be forfeited.</w:t>
      </w:r>
    </w:p>
    <w:p>
      <w:pPr>
        <w:spacing w:after="0" w:line="230"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198"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19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Prorated Vesting</w:t>
      </w:r>
      <w:r>
        <w:rPr>
          <w:rFonts w:ascii="Arial" w:cs="Arial" w:eastAsia="Arial" w:hAnsi="Arial"/>
          <w:sz w:val="18"/>
          <w:szCs w:val="18"/>
          <w:color w:val="auto"/>
        </w:rPr>
        <w:t>. The prorated portion of the PSUs that vests on the Vesting Date following the Participant's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(or while Retirement Eligible) will be determined by multiplying the total number of PSUs the Participant would have earned based on actual performance by a fraction, of which the numerator is the number of months (not to exceed 60) the Participant had been continually employed since the beginning of the Performance Period until his, her or their Death, Disability or Retirement and the denominator is 60.</w:t>
      </w:r>
    </w:p>
    <w:p>
      <w:pPr>
        <w:spacing w:after="0" w:line="206" w:lineRule="exact"/>
        <w:rPr>
          <w:sz w:val="20"/>
          <w:szCs w:val="20"/>
          <w:color w:val="auto"/>
        </w:rPr>
      </w:pPr>
    </w:p>
    <w:p>
      <w:pPr>
        <w:ind w:left="328" w:right="20" w:hanging="328"/>
        <w:spacing w:after="0" w:line="287" w:lineRule="auto"/>
        <w:tabs>
          <w:tab w:leader="none" w:pos="374"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may make such provisions and take such actions as necessary for the withholding of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taxes attributable to the PSUs and any related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13" w:right="339" w:bottom="1440" w:gutter="0" w:footer="0" w:header="0"/>
        </w:sectPr>
      </w:pPr>
    </w:p>
    <w:bookmarkStart w:id="78" w:name="page79"/>
    <w:bookmarkEnd w:id="78"/>
    <w:p>
      <w:pPr>
        <w:jc w:val="both"/>
        <w:ind w:left="328"/>
        <w:spacing w:after="0" w:line="251" w:lineRule="auto"/>
        <w:rPr>
          <w:sz w:val="20"/>
          <w:szCs w:val="20"/>
          <w:color w:val="auto"/>
        </w:rPr>
      </w:pPr>
      <w:r>
        <w:rPr>
          <w:rFonts w:ascii="Arial" w:cs="Arial" w:eastAsia="Arial" w:hAnsi="Arial"/>
          <w:sz w:val="18"/>
          <w:szCs w:val="18"/>
          <w:color w:val="auto"/>
        </w:rPr>
        <w:t>equivalents. Unless the Committee determines otherwise, the minimum statutory tax withholding required to be withheld 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Notwithstanding the foregoing, the Participant may elect to satisfy these tax withholding requirements by timely remitting this amount by cash or check or any other method that is acceptable to the Company, rather than by withholding of shares. This election must be made in accordance with any conditions and restrictions the Company may establish. If FICA taxes are required to be withheld while the PSUs are outstanding, the withholding will be made in a manner determined by the Company.</w:t>
      </w:r>
    </w:p>
    <w:p>
      <w:pPr>
        <w:spacing w:after="0" w:line="217" w:lineRule="exact"/>
        <w:rPr>
          <w:sz w:val="20"/>
          <w:szCs w:val="20"/>
          <w:color w:val="auto"/>
        </w:rPr>
      </w:pPr>
    </w:p>
    <w:p>
      <w:pPr>
        <w:ind w:left="428" w:hanging="428"/>
        <w:spacing w:after="0"/>
        <w:tabs>
          <w:tab w:leader="none" w:pos="428"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Participant Acknowledgements</w:t>
      </w:r>
      <w:r>
        <w:rPr>
          <w:rFonts w:ascii="Arial" w:cs="Arial" w:eastAsia="Arial" w:hAnsi="Arial"/>
          <w:sz w:val="18"/>
          <w:szCs w:val="18"/>
          <w:color w:val="auto"/>
        </w:rPr>
        <w:t>. The Participant acknowledges and agrees that:</w:t>
      </w:r>
    </w:p>
    <w:p>
      <w:pPr>
        <w:spacing w:after="0" w:line="274" w:lineRule="exact"/>
        <w:rPr>
          <w:rFonts w:ascii="Arial" w:cs="Arial" w:eastAsia="Arial" w:hAnsi="Arial"/>
          <w:sz w:val="18"/>
          <w:szCs w:val="18"/>
          <w:color w:val="auto"/>
        </w:rPr>
      </w:pPr>
    </w:p>
    <w:p>
      <w:pPr>
        <w:jc w:val="both"/>
        <w:ind w:left="648" w:hanging="324"/>
        <w:spacing w:after="0" w:line="251" w:lineRule="auto"/>
        <w:tabs>
          <w:tab w:leader="none" w:pos="71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PSUs, if at any time during the period between the Grant Date and the 12-month period following the Participant’s termination of Employment (the “Obligation Period”), the Participant: (i) directly or indirectly, hires or solicits or arranges for the hiring or solicitation of any employee of the Company or its Affiliates, or encourages any employee to leave the Company or an Affiliate; (ii) directly or indirectly, assists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 Affiliates; the PSUs, whether previously vested or not, may be cancelled in full, and the Participant may be required to return to the Company any shares received on settlement of vested PSUs or the net after-tax income from any disposition of any shares received upon settlement of vested PSUs, unless the Committee, in its sole discretion, elects not to cancel the PSUs and/or elects not to recover any income from settled and vested PSUs or unless applicable law prohibits such action.</w:t>
      </w:r>
    </w:p>
    <w:p>
      <w:pPr>
        <w:spacing w:after="0" w:line="237" w:lineRule="exact"/>
        <w:rPr>
          <w:sz w:val="20"/>
          <w:szCs w:val="20"/>
          <w:color w:val="auto"/>
        </w:rPr>
      </w:pPr>
    </w:p>
    <w:p>
      <w:pPr>
        <w:jc w:val="both"/>
        <w:ind w:left="648"/>
        <w:spacing w:after="0" w:line="251" w:lineRule="auto"/>
        <w:rPr>
          <w:sz w:val="20"/>
          <w:szCs w:val="20"/>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238" w:lineRule="exact"/>
        <w:rPr>
          <w:sz w:val="20"/>
          <w:szCs w:val="20"/>
          <w:color w:val="auto"/>
        </w:rPr>
      </w:pPr>
    </w:p>
    <w:p>
      <w:pPr>
        <w:jc w:val="both"/>
        <w:ind w:left="648" w:hanging="324"/>
        <w:spacing w:after="0" w:line="256" w:lineRule="auto"/>
        <w:tabs>
          <w:tab w:leader="none" w:pos="80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35" w:right="339" w:bottom="1440" w:gutter="0" w:footer="0" w:header="0"/>
        </w:sectPr>
      </w:pPr>
    </w:p>
    <w:bookmarkStart w:id="79" w:name="page80"/>
    <w:bookmarkEnd w:id="79"/>
    <w:p>
      <w:pPr>
        <w:jc w:val="both"/>
        <w:ind w:left="648"/>
        <w:spacing w:after="0" w:line="256" w:lineRule="auto"/>
        <w:rPr>
          <w:sz w:val="20"/>
          <w:szCs w:val="20"/>
          <w:color w:val="auto"/>
        </w:rPr>
      </w:pPr>
      <w:r>
        <w:rPr>
          <w:rFonts w:ascii="Arial" w:cs="Arial" w:eastAsia="Arial" w:hAnsi="Arial"/>
          <w:sz w:val="18"/>
          <w:szCs w:val="18"/>
          <w:color w:val="auto"/>
        </w:rPr>
        <w:t>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229" w:lineRule="exact"/>
        <w:rPr>
          <w:sz w:val="20"/>
          <w:szCs w:val="20"/>
          <w:color w:val="auto"/>
        </w:rPr>
      </w:pPr>
    </w:p>
    <w:p>
      <w:pPr>
        <w:jc w:val="both"/>
        <w:ind w:left="648" w:hanging="324"/>
        <w:spacing w:after="0" w:line="252" w:lineRule="auto"/>
        <w:tabs>
          <w:tab w:leader="none" w:pos="80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PSUs (to the extent such PSUs are not subject to Code Section 409A), or the Company may deduct funds equal to the amount of the obligation from other funds due to the Participant from the Company to the maximum extent permitted by Code Section 409A.</w:t>
      </w:r>
    </w:p>
    <w:p>
      <w:pPr>
        <w:spacing w:after="0" w:line="233" w:lineRule="exact"/>
        <w:rPr>
          <w:rFonts w:ascii="Arial" w:cs="Arial" w:eastAsia="Arial" w:hAnsi="Arial"/>
          <w:sz w:val="18"/>
          <w:szCs w:val="18"/>
          <w:color w:val="auto"/>
        </w:rPr>
      </w:pPr>
    </w:p>
    <w:p>
      <w:pPr>
        <w:jc w:val="both"/>
        <w:ind w:left="648" w:hanging="324"/>
        <w:spacing w:after="0" w:line="251" w:lineRule="auto"/>
        <w:tabs>
          <w:tab w:leader="none" w:pos="93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w:t>
      </w:r>
    </w:p>
    <w:p>
      <w:pPr>
        <w:spacing w:after="0" w:line="234" w:lineRule="exact"/>
        <w:rPr>
          <w:rFonts w:ascii="Arial" w:cs="Arial" w:eastAsia="Arial" w:hAnsi="Arial"/>
          <w:sz w:val="18"/>
          <w:szCs w:val="18"/>
          <w:color w:val="auto"/>
        </w:rPr>
      </w:pPr>
    </w:p>
    <w:p>
      <w:pPr>
        <w:ind w:left="648" w:hanging="324"/>
        <w:spacing w:after="0" w:line="261" w:lineRule="auto"/>
        <w:tabs>
          <w:tab w:leader="none" w:pos="85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If the Participant is or becomes subject to the Company’s Stock Ownership Guidelines and applicable retention requirements, the Participant may be limited in selling shares obtained upon settlement of the PSUs.</w:t>
      </w:r>
    </w:p>
    <w:p>
      <w:pPr>
        <w:spacing w:after="0" w:line="224" w:lineRule="exact"/>
        <w:rPr>
          <w:rFonts w:ascii="Arial" w:cs="Arial" w:eastAsia="Arial" w:hAnsi="Arial"/>
          <w:sz w:val="18"/>
          <w:szCs w:val="18"/>
          <w:color w:val="auto"/>
        </w:rPr>
      </w:pPr>
    </w:p>
    <w:p>
      <w:pPr>
        <w:jc w:val="both"/>
        <w:ind w:left="648" w:hanging="324"/>
        <w:spacing w:after="0" w:line="254" w:lineRule="auto"/>
        <w:tabs>
          <w:tab w:leader="none" w:pos="841"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If the Participant is covered by the Company’s Clawback Policy, the Participant agrees that the PSUs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208" w:lineRule="exact"/>
        <w:rPr>
          <w:rFonts w:ascii="Arial" w:cs="Arial" w:eastAsia="Arial" w:hAnsi="Arial"/>
          <w:sz w:val="18"/>
          <w:szCs w:val="18"/>
          <w:color w:val="auto"/>
        </w:rPr>
      </w:pPr>
    </w:p>
    <w:p>
      <w:pPr>
        <w:ind w:left="328" w:hanging="328"/>
        <w:spacing w:after="0" w:line="287" w:lineRule="auto"/>
        <w:tabs>
          <w:tab w:leader="none" w:pos="464"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will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35" w:right="339" w:bottom="1440" w:gutter="0" w:footer="0" w:header="0"/>
        </w:sectPr>
      </w:pPr>
    </w:p>
    <w:bookmarkStart w:id="80" w:name="page81"/>
    <w:bookmarkEnd w:id="80"/>
    <w:p>
      <w:pPr>
        <w:jc w:val="both"/>
        <w:ind w:left="980" w:hanging="324"/>
        <w:spacing w:after="0" w:line="252" w:lineRule="auto"/>
        <w:tabs>
          <w:tab w:leader="none" w:pos="105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Participant’s separation from service, then, to the extent required under Section 409A, any shares that would otherwise be distributed (along with the cash value of all dividend equivalents that would be payable) on the Participant’s separation from service, will instead be delivered (and, in the case of the dividend equivalents, paid) on the earlier of (x) the first business day of the seventh month following the date of the Participant’s separation from service or (y) the Participant’s death.</w:t>
      </w:r>
    </w:p>
    <w:p>
      <w:pPr>
        <w:spacing w:after="0" w:line="234" w:lineRule="exact"/>
        <w:rPr>
          <w:rFonts w:ascii="Arial" w:cs="Arial" w:eastAsia="Arial" w:hAnsi="Arial"/>
          <w:sz w:val="18"/>
          <w:szCs w:val="18"/>
          <w:color w:val="auto"/>
        </w:rPr>
      </w:pPr>
    </w:p>
    <w:p>
      <w:pPr>
        <w:jc w:val="both"/>
        <w:ind w:left="980" w:hanging="324"/>
        <w:spacing w:after="0" w:line="252" w:lineRule="auto"/>
        <w:tabs>
          <w:tab w:leader="none" w:pos="10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PSUs will vest at the time of the Change in Control, but distribution of any PSUs (or related dividend equivalents) that constitute deferred compensation for the purposes of Section 409A will not be accelerated (i.e., distribution will occur when it would have occurred absent the Change in Control).</w:t>
      </w:r>
    </w:p>
    <w:p>
      <w:pPr>
        <w:spacing w:after="0" w:line="213" w:lineRule="exact"/>
        <w:rPr>
          <w:rFonts w:ascii="Arial" w:cs="Arial" w:eastAsia="Arial" w:hAnsi="Arial"/>
          <w:sz w:val="18"/>
          <w:szCs w:val="18"/>
          <w:color w:val="auto"/>
        </w:rPr>
      </w:pPr>
    </w:p>
    <w:p>
      <w:pPr>
        <w:jc w:val="both"/>
        <w:ind w:left="660" w:hanging="328"/>
        <w:spacing w:after="0" w:line="268" w:lineRule="auto"/>
        <w:tabs>
          <w:tab w:leader="none" w:pos="696"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issued, and the PSUs are granted, in Rye Brook, New York, and will be governed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New York,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Agreed to:</w:t>
            </w: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XYLEM INC.</w:t>
            </w:r>
          </w:p>
        </w:tc>
      </w:tr>
      <w:tr>
        <w:trPr>
          <w:trHeight w:val="769"/>
        </w:trPr>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345"/>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Participant</w:t>
            </w:r>
          </w:p>
        </w:tc>
        <w:tc>
          <w:tcPr>
            <w:tcW w:w="4300" w:type="dxa"/>
            <w:vAlign w:val="bottom"/>
          </w:tcPr>
          <w:p>
            <w:pPr>
              <w:ind w:left="60"/>
              <w:spacing w:after="0"/>
              <w:rPr>
                <w:sz w:val="20"/>
                <w:szCs w:val="20"/>
                <w:color w:val="auto"/>
              </w:rPr>
            </w:pPr>
            <w:r>
              <w:rPr>
                <w:rFonts w:ascii="Arial" w:cs="Arial" w:eastAsia="Arial" w:hAnsi="Arial"/>
                <w:sz w:val="18"/>
                <w:szCs w:val="18"/>
                <w:color w:val="auto"/>
              </w:rPr>
              <w:t>Patrick K. Decker, President and CEO</w:t>
            </w:r>
          </w:p>
        </w:tc>
      </w:tr>
      <w:tr>
        <w:trPr>
          <w:trHeight w:val="338"/>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(Online Acceptance Constitutes Agreement)</w:t>
            </w:r>
          </w:p>
        </w:tc>
        <w:tc>
          <w:tcPr>
            <w:tcW w:w="4300" w:type="dxa"/>
            <w:vAlign w:val="bottom"/>
          </w:tcPr>
          <w:p>
            <w:pPr>
              <w:spacing w:after="0"/>
              <w:rPr>
                <w:sz w:val="24"/>
                <w:szCs w:val="24"/>
                <w:color w:val="auto"/>
              </w:rPr>
            </w:pPr>
          </w:p>
        </w:tc>
      </w:tr>
      <w:tr>
        <w:trPr>
          <w:trHeight w:val="351"/>
        </w:trPr>
        <w:tc>
          <w:tcPr>
            <w:tcW w:w="860" w:type="dxa"/>
            <w:vAlign w:val="bottom"/>
          </w:tcPr>
          <w:p>
            <w:pPr>
              <w:ind w:left="20"/>
              <w:spacing w:after="0"/>
              <w:rPr>
                <w:sz w:val="20"/>
                <w:szCs w:val="20"/>
                <w:color w:val="auto"/>
              </w:rPr>
            </w:pPr>
            <w:r>
              <w:rPr>
                <w:rFonts w:ascii="Arial" w:cs="Arial" w:eastAsia="Arial" w:hAnsi="Arial"/>
                <w:sz w:val="18"/>
                <w:szCs w:val="18"/>
                <w:color w:val="auto"/>
              </w:rPr>
              <w:t>Dated:</w:t>
            </w:r>
          </w:p>
        </w:tc>
        <w:tc>
          <w:tcPr>
            <w:tcW w:w="2380" w:type="dxa"/>
            <w:vAlign w:val="bottom"/>
            <w:tcBorders>
              <w:bottom w:val="single" w:sz="8" w:color="auto"/>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4300" w:type="dxa"/>
            <w:vAlign w:val="bottom"/>
          </w:tcPr>
          <w:p>
            <w:pPr>
              <w:ind w:left="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###GRANT_DATE###</w:t>
            </w:r>
          </w:p>
        </w:tc>
      </w:tr>
      <w:tr>
        <w:trPr>
          <w:trHeight w:val="790"/>
        </w:trPr>
        <w:tc>
          <w:tcPr>
            <w:tcW w:w="6940" w:type="dxa"/>
            <w:vAlign w:val="bottom"/>
            <w:gridSpan w:val="4"/>
          </w:tcPr>
          <w:p>
            <w:pPr>
              <w:spacing w:after="0"/>
              <w:rPr>
                <w:sz w:val="20"/>
                <w:szCs w:val="20"/>
                <w:color w:val="auto"/>
              </w:rPr>
            </w:pPr>
            <w:r>
              <w:rPr>
                <w:rFonts w:ascii="Arial" w:cs="Arial" w:eastAsia="Arial" w:hAnsi="Arial"/>
                <w:sz w:val="18"/>
                <w:szCs w:val="18"/>
                <w:color w:val="auto"/>
              </w:rPr>
              <w:t>Enclosures</w:t>
            </w: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3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2021-2025 Performance Targets and Payout Calculations</w:t>
      </w:r>
    </w:p>
    <w:p>
      <w:pPr>
        <w:spacing w:after="0" w:line="200" w:lineRule="exact"/>
        <w:rPr>
          <w:sz w:val="20"/>
          <w:szCs w:val="20"/>
          <w:color w:val="auto"/>
        </w:rPr>
      </w:pPr>
    </w:p>
    <w:p>
      <w:pPr>
        <w:spacing w:after="0" w:line="3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the 2021-2025 performance period, the LDCC has decided that the ESG PSUs will be granted at target (100%) with actual payout based on the following:</w:t>
      </w:r>
    </w:p>
    <w:p>
      <w:pPr>
        <w:spacing w:after="0" w:line="225" w:lineRule="exact"/>
        <w:rPr>
          <w:sz w:val="20"/>
          <w:szCs w:val="20"/>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5 equally-weighted targets (20% each of target)</w:t>
      </w:r>
    </w:p>
    <w:p>
      <w:pPr>
        <w:spacing w:after="0" w:line="252" w:lineRule="exact"/>
        <w:rPr>
          <w:rFonts w:ascii="Arial" w:cs="Arial" w:eastAsia="Arial" w:hAnsi="Arial"/>
          <w:sz w:val="18"/>
          <w:szCs w:val="18"/>
          <w:color w:val="auto"/>
        </w:rPr>
      </w:pPr>
    </w:p>
    <w:p>
      <w:pPr>
        <w:ind w:left="340" w:right="180" w:hanging="332"/>
        <w:spacing w:after="0" w:line="261" w:lineRule="auto"/>
        <w:tabs>
          <w:tab w:leader="none" w:pos="2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Discrete performance for each target; that is, simple “pass/fail” payout per target (i.e., 100% payout for achieving/ exceeding and 0% for missing the applicable PSU target)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20" w:type="dxa"/>
            <w:vAlign w:val="bottom"/>
            <w:shd w:val="clear" w:color="auto" w:fill="0072CE"/>
          </w:tcPr>
          <w:p>
            <w:pPr>
              <w:jc w:val="center"/>
              <w:ind w:right="210"/>
              <w:spacing w:after="0"/>
              <w:rPr>
                <w:sz w:val="20"/>
                <w:szCs w:val="20"/>
                <w:color w:val="auto"/>
              </w:rPr>
            </w:pPr>
            <w:r>
              <w:rPr>
                <w:rFonts w:ascii="Arial" w:cs="Arial" w:eastAsia="Arial" w:hAnsi="Arial"/>
                <w:sz w:val="18"/>
                <w:szCs w:val="18"/>
                <w:b w:val="1"/>
                <w:bCs w:val="1"/>
                <w:color w:val="FFFFFF"/>
                <w:w w:val="99"/>
              </w:rPr>
              <w:t>Category</w:t>
            </w:r>
          </w:p>
        </w:tc>
        <w:tc>
          <w:tcPr>
            <w:tcW w:w="100" w:type="dxa"/>
            <w:vAlign w:val="bottom"/>
          </w:tcPr>
          <w:p>
            <w:pPr>
              <w:spacing w:after="0"/>
              <w:rPr>
                <w:sz w:val="19"/>
                <w:szCs w:val="19"/>
                <w:color w:val="auto"/>
              </w:rPr>
            </w:pPr>
          </w:p>
        </w:tc>
        <w:tc>
          <w:tcPr>
            <w:tcW w:w="4040" w:type="dxa"/>
            <w:vAlign w:val="bottom"/>
            <w:shd w:val="clear" w:color="auto" w:fill="0072CE"/>
          </w:tcPr>
          <w:p>
            <w:pPr>
              <w:jc w:val="center"/>
              <w:ind w:right="250"/>
              <w:spacing w:after="0"/>
              <w:rPr>
                <w:sz w:val="20"/>
                <w:szCs w:val="20"/>
                <w:color w:val="auto"/>
              </w:rPr>
            </w:pPr>
            <w:r>
              <w:rPr>
                <w:rFonts w:ascii="Arial" w:cs="Arial" w:eastAsia="Arial" w:hAnsi="Arial"/>
                <w:sz w:val="18"/>
                <w:szCs w:val="18"/>
                <w:b w:val="1"/>
                <w:bCs w:val="1"/>
                <w:color w:val="FFFFFF"/>
                <w:w w:val="99"/>
              </w:rPr>
              <w:t>Goals</w:t>
            </w:r>
          </w:p>
        </w:tc>
        <w:tc>
          <w:tcPr>
            <w:tcW w:w="100" w:type="dxa"/>
            <w:vAlign w:val="bottom"/>
          </w:tcPr>
          <w:p>
            <w:pPr>
              <w:spacing w:after="0"/>
              <w:rPr>
                <w:sz w:val="19"/>
                <w:szCs w:val="19"/>
                <w:color w:val="auto"/>
              </w:rPr>
            </w:pPr>
          </w:p>
        </w:tc>
        <w:tc>
          <w:tcPr>
            <w:tcW w:w="4040" w:type="dxa"/>
            <w:vAlign w:val="bottom"/>
            <w:shd w:val="clear" w:color="auto" w:fill="0072CE"/>
          </w:tcPr>
          <w:p>
            <w:pPr>
              <w:jc w:val="center"/>
              <w:ind w:right="230"/>
              <w:spacing w:after="0"/>
              <w:rPr>
                <w:sz w:val="20"/>
                <w:szCs w:val="20"/>
                <w:color w:val="auto"/>
              </w:rPr>
            </w:pPr>
            <w:r>
              <w:rPr>
                <w:rFonts w:ascii="Arial" w:cs="Arial" w:eastAsia="Arial" w:hAnsi="Arial"/>
                <w:sz w:val="18"/>
                <w:szCs w:val="18"/>
                <w:b w:val="1"/>
                <w:bCs w:val="1"/>
                <w:color w:val="FFFFFF"/>
                <w:w w:val="97"/>
              </w:rPr>
              <w:t>PSU Targets</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BD5ED"/>
          </w:tcPr>
          <w:p>
            <w:pPr>
              <w:jc w:val="center"/>
              <w:ind w:right="210"/>
              <w:spacing w:after="0"/>
              <w:rPr>
                <w:sz w:val="20"/>
                <w:szCs w:val="20"/>
                <w:color w:val="auto"/>
              </w:rPr>
            </w:pPr>
            <w:r>
              <w:rPr>
                <w:rFonts w:ascii="Arial" w:cs="Arial" w:eastAsia="Arial" w:hAnsi="Arial"/>
                <w:sz w:val="18"/>
                <w:szCs w:val="18"/>
                <w:b w:val="1"/>
                <w:bCs w:val="1"/>
                <w:color w:val="auto"/>
                <w:w w:val="99"/>
              </w:rPr>
              <w:t>1. Company</w:t>
            </w:r>
          </w:p>
        </w:tc>
        <w:tc>
          <w:tcPr>
            <w:tcW w:w="100" w:type="dxa"/>
            <w:vAlign w:val="bottom"/>
          </w:tcPr>
          <w:p>
            <w:pPr>
              <w:spacing w:after="0"/>
              <w:rPr>
                <w:sz w:val="19"/>
                <w:szCs w:val="19"/>
                <w:color w:val="auto"/>
              </w:rPr>
            </w:pPr>
          </w:p>
        </w:tc>
        <w:tc>
          <w:tcPr>
            <w:tcW w:w="4040" w:type="dxa"/>
            <w:vAlign w:val="bottom"/>
            <w:shd w:val="clear" w:color="auto" w:fill="CBD5ED"/>
          </w:tcPr>
          <w:p>
            <w:pPr>
              <w:jc w:val="center"/>
              <w:ind w:right="250"/>
              <w:spacing w:after="0"/>
              <w:rPr>
                <w:sz w:val="20"/>
                <w:szCs w:val="20"/>
                <w:color w:val="auto"/>
              </w:rPr>
            </w:pPr>
            <w:r>
              <w:rPr>
                <w:rFonts w:ascii="Arial" w:cs="Arial" w:eastAsia="Arial" w:hAnsi="Arial"/>
                <w:sz w:val="18"/>
                <w:szCs w:val="18"/>
                <w:b w:val="1"/>
                <w:bCs w:val="1"/>
                <w:color w:val="auto"/>
                <w:w w:val="99"/>
              </w:rPr>
              <w:t>Women in Leadership</w:t>
            </w:r>
          </w:p>
        </w:tc>
        <w:tc>
          <w:tcPr>
            <w:tcW w:w="100" w:type="dxa"/>
            <w:vAlign w:val="bottom"/>
          </w:tcPr>
          <w:p>
            <w:pPr>
              <w:spacing w:after="0"/>
              <w:rPr>
                <w:sz w:val="19"/>
                <w:szCs w:val="19"/>
                <w:color w:val="auto"/>
              </w:rPr>
            </w:pPr>
          </w:p>
        </w:tc>
        <w:tc>
          <w:tcPr>
            <w:tcW w:w="4040" w:type="dxa"/>
            <w:vAlign w:val="bottom"/>
            <w:shd w:val="clear" w:color="auto" w:fill="CBD5ED"/>
          </w:tcPr>
          <w:p>
            <w:pPr>
              <w:jc w:val="center"/>
              <w:ind w:right="250"/>
              <w:spacing w:after="0"/>
              <w:rPr>
                <w:sz w:val="20"/>
                <w:szCs w:val="20"/>
                <w:color w:val="auto"/>
              </w:rPr>
            </w:pPr>
            <w:r>
              <w:rPr>
                <w:rFonts w:ascii="Arial" w:cs="Arial" w:eastAsia="Arial" w:hAnsi="Arial"/>
                <w:sz w:val="18"/>
                <w:szCs w:val="18"/>
                <w:b w:val="1"/>
                <w:bCs w:val="1"/>
                <w:color w:val="auto"/>
                <w:w w:val="99"/>
              </w:rPr>
              <w:t>Within at least x% of x%</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E7EBF6"/>
          </w:tcPr>
          <w:p>
            <w:pPr>
              <w:jc w:val="center"/>
              <w:ind w:right="210"/>
              <w:spacing w:after="0"/>
              <w:rPr>
                <w:sz w:val="20"/>
                <w:szCs w:val="20"/>
                <w:color w:val="auto"/>
              </w:rPr>
            </w:pPr>
            <w:r>
              <w:rPr>
                <w:rFonts w:ascii="Arial" w:cs="Arial" w:eastAsia="Arial" w:hAnsi="Arial"/>
                <w:sz w:val="18"/>
                <w:szCs w:val="18"/>
                <w:b w:val="1"/>
                <w:bCs w:val="1"/>
                <w:color w:val="auto"/>
                <w:w w:val="99"/>
              </w:rPr>
              <w:t>2. Company</w:t>
            </w:r>
          </w:p>
        </w:tc>
        <w:tc>
          <w:tcPr>
            <w:tcW w:w="100" w:type="dxa"/>
            <w:vAlign w:val="bottom"/>
          </w:tcPr>
          <w:p>
            <w:pPr>
              <w:spacing w:after="0"/>
              <w:rPr>
                <w:sz w:val="15"/>
                <w:szCs w:val="15"/>
                <w:color w:val="auto"/>
              </w:rPr>
            </w:pPr>
          </w:p>
        </w:tc>
        <w:tc>
          <w:tcPr>
            <w:tcW w:w="4040" w:type="dxa"/>
            <w:vAlign w:val="bottom"/>
            <w:shd w:val="clear" w:color="auto" w:fill="E7EBF6"/>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Process Water Recycling</w:t>
            </w:r>
          </w:p>
        </w:tc>
        <w:tc>
          <w:tcPr>
            <w:tcW w:w="100" w:type="dxa"/>
            <w:vAlign w:val="bottom"/>
          </w:tcPr>
          <w:p>
            <w:pPr>
              <w:spacing w:after="0"/>
              <w:rPr>
                <w:sz w:val="15"/>
                <w:szCs w:val="15"/>
                <w:color w:val="auto"/>
              </w:rPr>
            </w:pPr>
          </w:p>
        </w:tc>
        <w:tc>
          <w:tcPr>
            <w:tcW w:w="4040" w:type="dxa"/>
            <w:vAlign w:val="bottom"/>
            <w:shd w:val="clear" w:color="auto" w:fill="E7EBF6"/>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At least x using x% process</w:t>
            </w: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E7EBF6"/>
          </w:tcPr>
          <w:p>
            <w:pPr>
              <w:spacing w:after="0"/>
              <w:rPr>
                <w:sz w:val="11"/>
                <w:szCs w:val="11"/>
                <w:color w:val="auto"/>
              </w:rPr>
            </w:pPr>
          </w:p>
        </w:tc>
        <w:tc>
          <w:tcPr>
            <w:tcW w:w="100" w:type="dxa"/>
            <w:vAlign w:val="bottom"/>
          </w:tcPr>
          <w:p>
            <w:pPr>
              <w:spacing w:after="0"/>
              <w:rPr>
                <w:sz w:val="11"/>
                <w:szCs w:val="11"/>
                <w:color w:val="auto"/>
              </w:rPr>
            </w:pPr>
          </w:p>
        </w:tc>
        <w:tc>
          <w:tcPr>
            <w:tcW w:w="4040" w:type="dxa"/>
            <w:vAlign w:val="bottom"/>
            <w:vMerge w:val="restart"/>
            <w:shd w:val="clear" w:color="auto" w:fill="E7EBF6"/>
          </w:tcPr>
          <w:p>
            <w:pPr>
              <w:jc w:val="center"/>
              <w:ind w:right="230"/>
              <w:spacing w:after="0"/>
              <w:rPr>
                <w:sz w:val="20"/>
                <w:szCs w:val="20"/>
                <w:color w:val="auto"/>
              </w:rPr>
            </w:pPr>
            <w:r>
              <w:rPr>
                <w:rFonts w:ascii="Arial" w:cs="Arial" w:eastAsia="Arial" w:hAnsi="Arial"/>
                <w:sz w:val="18"/>
                <w:szCs w:val="18"/>
                <w:color w:val="auto"/>
                <w:w w:val="99"/>
              </w:rPr>
              <w:t>(at x major facilities)</w:t>
            </w:r>
          </w:p>
        </w:tc>
        <w:tc>
          <w:tcPr>
            <w:tcW w:w="100" w:type="dxa"/>
            <w:vAlign w:val="bottom"/>
          </w:tcPr>
          <w:p>
            <w:pPr>
              <w:spacing w:after="0"/>
              <w:rPr>
                <w:sz w:val="11"/>
                <w:szCs w:val="11"/>
                <w:color w:val="auto"/>
              </w:rPr>
            </w:pPr>
          </w:p>
        </w:tc>
        <w:tc>
          <w:tcPr>
            <w:tcW w:w="4040" w:type="dxa"/>
            <w:vAlign w:val="bottom"/>
            <w:vMerge w:val="restart"/>
            <w:shd w:val="clear" w:color="auto" w:fill="E7EBF6"/>
          </w:tcPr>
          <w:p>
            <w:pPr>
              <w:jc w:val="center"/>
              <w:spacing w:after="0"/>
              <w:rPr>
                <w:sz w:val="20"/>
                <w:szCs w:val="20"/>
                <w:color w:val="auto"/>
              </w:rPr>
            </w:pPr>
            <w:r>
              <w:rPr>
                <w:rFonts w:ascii="Arial" w:cs="Arial" w:eastAsia="Arial" w:hAnsi="Arial"/>
                <w:sz w:val="18"/>
                <w:szCs w:val="18"/>
                <w:b w:val="1"/>
                <w:bCs w:val="1"/>
                <w:color w:val="auto"/>
              </w:rPr>
              <w:t>water recycling</w:t>
            </w:r>
          </w:p>
        </w:tc>
        <w:tc>
          <w:tcPr>
            <w:tcW w:w="0" w:type="dxa"/>
            <w:vAlign w:val="bottom"/>
          </w:tcPr>
          <w:p>
            <w:pPr>
              <w:spacing w:after="0"/>
              <w:rPr>
                <w:sz w:val="1"/>
                <w:szCs w:val="1"/>
                <w:color w:val="auto"/>
              </w:rPr>
            </w:pPr>
          </w:p>
        </w:tc>
      </w:tr>
      <w:tr>
        <w:trPr>
          <w:trHeight w:val="94"/>
        </w:trPr>
        <w:tc>
          <w:tcPr>
            <w:tcW w:w="2320" w:type="dxa"/>
            <w:vAlign w:val="bottom"/>
            <w:shd w:val="clear" w:color="auto" w:fill="E7EBF6"/>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E7EBF6"/>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E7EBF6"/>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20" w:type="dxa"/>
            <w:vAlign w:val="bottom"/>
            <w:vMerge w:val="restart"/>
            <w:shd w:val="clear" w:color="auto" w:fill="CBD5ED"/>
          </w:tcPr>
          <w:p>
            <w:pPr>
              <w:jc w:val="center"/>
              <w:ind w:right="230"/>
              <w:spacing w:after="0"/>
              <w:rPr>
                <w:sz w:val="20"/>
                <w:szCs w:val="20"/>
                <w:color w:val="auto"/>
              </w:rPr>
            </w:pPr>
            <w:r>
              <w:rPr>
                <w:rFonts w:ascii="Arial" w:cs="Arial" w:eastAsia="Arial" w:hAnsi="Arial"/>
                <w:sz w:val="18"/>
                <w:szCs w:val="18"/>
                <w:b w:val="1"/>
                <w:bCs w:val="1"/>
                <w:color w:val="auto"/>
                <w:w w:val="99"/>
              </w:rPr>
              <w:t>3. Customer</w:t>
            </w:r>
          </w:p>
        </w:tc>
        <w:tc>
          <w:tcPr>
            <w:tcW w:w="100" w:type="dxa"/>
            <w:vAlign w:val="bottom"/>
          </w:tcPr>
          <w:p>
            <w:pPr>
              <w:spacing w:after="0"/>
              <w:rPr>
                <w:sz w:val="15"/>
                <w:szCs w:val="15"/>
                <w:color w:val="auto"/>
              </w:rPr>
            </w:pPr>
          </w:p>
        </w:tc>
        <w:tc>
          <w:tcPr>
            <w:tcW w:w="4040" w:type="dxa"/>
            <w:vAlign w:val="bottom"/>
            <w:shd w:val="clear" w:color="auto" w:fill="CBD5ED"/>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CO2 Footprint Reduction</w:t>
            </w:r>
          </w:p>
        </w:tc>
        <w:tc>
          <w:tcPr>
            <w:tcW w:w="100" w:type="dxa"/>
            <w:vAlign w:val="bottom"/>
          </w:tcPr>
          <w:p>
            <w:pPr>
              <w:spacing w:after="0"/>
              <w:rPr>
                <w:sz w:val="15"/>
                <w:szCs w:val="15"/>
                <w:color w:val="auto"/>
              </w:rPr>
            </w:pPr>
          </w:p>
        </w:tc>
        <w:tc>
          <w:tcPr>
            <w:tcW w:w="4040" w:type="dxa"/>
            <w:vAlign w:val="bottom"/>
            <w:shd w:val="clear" w:color="auto" w:fill="CBD5ED"/>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Within at least x% of x</w:t>
            </w: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CBD5ED"/>
          </w:tcPr>
          <w:p>
            <w:pPr>
              <w:spacing w:after="0"/>
              <w:rPr>
                <w:sz w:val="11"/>
                <w:szCs w:val="11"/>
                <w:color w:val="auto"/>
              </w:rPr>
            </w:pPr>
          </w:p>
        </w:tc>
        <w:tc>
          <w:tcPr>
            <w:tcW w:w="100" w:type="dxa"/>
            <w:vAlign w:val="bottom"/>
          </w:tcPr>
          <w:p>
            <w:pPr>
              <w:spacing w:after="0"/>
              <w:rPr>
                <w:sz w:val="11"/>
                <w:szCs w:val="11"/>
                <w:color w:val="auto"/>
              </w:rPr>
            </w:pPr>
          </w:p>
        </w:tc>
        <w:tc>
          <w:tcPr>
            <w:tcW w:w="4040" w:type="dxa"/>
            <w:vAlign w:val="bottom"/>
            <w:vMerge w:val="restart"/>
            <w:shd w:val="clear" w:color="auto" w:fill="CBD5ED"/>
          </w:tcPr>
          <w:p>
            <w:pPr>
              <w:jc w:val="center"/>
              <w:ind w:right="230"/>
              <w:spacing w:after="0"/>
              <w:rPr>
                <w:sz w:val="20"/>
                <w:szCs w:val="20"/>
                <w:color w:val="auto"/>
              </w:rPr>
            </w:pPr>
            <w:r>
              <w:rPr>
                <w:rFonts w:ascii="Arial" w:cs="Arial" w:eastAsia="Arial" w:hAnsi="Arial"/>
                <w:sz w:val="18"/>
                <w:szCs w:val="18"/>
                <w:color w:val="auto"/>
                <w:w w:val="99"/>
              </w:rPr>
              <w:t>(million metric tons; cumulative)</w:t>
            </w:r>
          </w:p>
        </w:tc>
        <w:tc>
          <w:tcPr>
            <w:tcW w:w="100" w:type="dxa"/>
            <w:vAlign w:val="bottom"/>
          </w:tcPr>
          <w:p>
            <w:pPr>
              <w:spacing w:after="0"/>
              <w:rPr>
                <w:sz w:val="11"/>
                <w:szCs w:val="11"/>
                <w:color w:val="auto"/>
              </w:rPr>
            </w:pPr>
          </w:p>
        </w:tc>
        <w:tc>
          <w:tcPr>
            <w:tcW w:w="4040" w:type="dxa"/>
            <w:vAlign w:val="bottom"/>
            <w:vMerge w:val="restart"/>
            <w:shd w:val="clear" w:color="auto" w:fill="CBD5ED"/>
          </w:tcPr>
          <w:p>
            <w:pPr>
              <w:jc w:val="center"/>
              <w:spacing w:after="0"/>
              <w:rPr>
                <w:sz w:val="20"/>
                <w:szCs w:val="20"/>
                <w:color w:val="auto"/>
              </w:rPr>
            </w:pPr>
            <w:r>
              <w:rPr>
                <w:rFonts w:ascii="Arial" w:cs="Arial" w:eastAsia="Arial" w:hAnsi="Arial"/>
                <w:sz w:val="18"/>
                <w:szCs w:val="18"/>
                <w:b w:val="1"/>
                <w:bCs w:val="1"/>
                <w:color w:val="auto"/>
              </w:rPr>
              <w:t>(i.e. x – 2020 actual achievement)</w:t>
            </w:r>
          </w:p>
        </w:tc>
        <w:tc>
          <w:tcPr>
            <w:tcW w:w="0" w:type="dxa"/>
            <w:vAlign w:val="bottom"/>
          </w:tcPr>
          <w:p>
            <w:pPr>
              <w:spacing w:after="0"/>
              <w:rPr>
                <w:sz w:val="1"/>
                <w:szCs w:val="1"/>
                <w:color w:val="auto"/>
              </w:rPr>
            </w:pPr>
          </w:p>
        </w:tc>
      </w:tr>
      <w:tr>
        <w:trPr>
          <w:trHeight w:val="94"/>
        </w:trPr>
        <w:tc>
          <w:tcPr>
            <w:tcW w:w="2320" w:type="dxa"/>
            <w:vAlign w:val="bottom"/>
            <w:shd w:val="clear" w:color="auto" w:fill="CBD5ED"/>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CBD5ED"/>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CBD5ED"/>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20" w:type="dxa"/>
            <w:vAlign w:val="bottom"/>
            <w:vMerge w:val="restart"/>
            <w:shd w:val="clear" w:color="auto" w:fill="E7EBF6"/>
          </w:tcPr>
          <w:p>
            <w:pPr>
              <w:jc w:val="center"/>
              <w:ind w:right="230"/>
              <w:spacing w:after="0"/>
              <w:rPr>
                <w:sz w:val="20"/>
                <w:szCs w:val="20"/>
                <w:color w:val="auto"/>
              </w:rPr>
            </w:pPr>
            <w:r>
              <w:rPr>
                <w:rFonts w:ascii="Arial" w:cs="Arial" w:eastAsia="Arial" w:hAnsi="Arial"/>
                <w:sz w:val="18"/>
                <w:szCs w:val="18"/>
                <w:b w:val="1"/>
                <w:bCs w:val="1"/>
                <w:color w:val="auto"/>
                <w:w w:val="99"/>
              </w:rPr>
              <w:t>4. Customer</w:t>
            </w:r>
          </w:p>
        </w:tc>
        <w:tc>
          <w:tcPr>
            <w:tcW w:w="100" w:type="dxa"/>
            <w:vAlign w:val="bottom"/>
          </w:tcPr>
          <w:p>
            <w:pPr>
              <w:spacing w:after="0"/>
              <w:rPr>
                <w:sz w:val="15"/>
                <w:szCs w:val="15"/>
                <w:color w:val="auto"/>
              </w:rPr>
            </w:pPr>
          </w:p>
        </w:tc>
        <w:tc>
          <w:tcPr>
            <w:tcW w:w="4040" w:type="dxa"/>
            <w:vAlign w:val="bottom"/>
            <w:shd w:val="clear" w:color="auto" w:fill="E7EBF6"/>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Pollution Prevention</w:t>
            </w:r>
          </w:p>
        </w:tc>
        <w:tc>
          <w:tcPr>
            <w:tcW w:w="100" w:type="dxa"/>
            <w:vAlign w:val="bottom"/>
          </w:tcPr>
          <w:p>
            <w:pPr>
              <w:spacing w:after="0"/>
              <w:rPr>
                <w:sz w:val="15"/>
                <w:szCs w:val="15"/>
                <w:color w:val="auto"/>
              </w:rPr>
            </w:pPr>
          </w:p>
        </w:tc>
        <w:tc>
          <w:tcPr>
            <w:tcW w:w="4040" w:type="dxa"/>
            <w:vAlign w:val="bottom"/>
            <w:shd w:val="clear" w:color="auto" w:fill="E7EBF6"/>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Within at least x% of x</w:t>
            </w: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E7EBF6"/>
          </w:tcPr>
          <w:p>
            <w:pPr>
              <w:spacing w:after="0"/>
              <w:rPr>
                <w:sz w:val="11"/>
                <w:szCs w:val="11"/>
                <w:color w:val="auto"/>
              </w:rPr>
            </w:pPr>
          </w:p>
        </w:tc>
        <w:tc>
          <w:tcPr>
            <w:tcW w:w="100" w:type="dxa"/>
            <w:vAlign w:val="bottom"/>
          </w:tcPr>
          <w:p>
            <w:pPr>
              <w:spacing w:after="0"/>
              <w:rPr>
                <w:sz w:val="11"/>
                <w:szCs w:val="11"/>
                <w:color w:val="auto"/>
              </w:rPr>
            </w:pPr>
          </w:p>
        </w:tc>
        <w:tc>
          <w:tcPr>
            <w:tcW w:w="4040" w:type="dxa"/>
            <w:vAlign w:val="bottom"/>
            <w:vMerge w:val="restart"/>
            <w:shd w:val="clear" w:color="auto" w:fill="E7EBF6"/>
          </w:tcPr>
          <w:p>
            <w:pPr>
              <w:jc w:val="center"/>
              <w:ind w:right="250"/>
              <w:spacing w:after="0"/>
              <w:rPr>
                <w:sz w:val="20"/>
                <w:szCs w:val="20"/>
                <w:color w:val="auto"/>
              </w:rPr>
            </w:pPr>
            <w:r>
              <w:rPr>
                <w:rFonts w:ascii="Arial" w:cs="Arial" w:eastAsia="Arial" w:hAnsi="Arial"/>
                <w:sz w:val="18"/>
                <w:szCs w:val="18"/>
                <w:color w:val="auto"/>
              </w:rPr>
              <w:t>(billion cubic meters; cumulative)</w:t>
            </w:r>
          </w:p>
        </w:tc>
        <w:tc>
          <w:tcPr>
            <w:tcW w:w="100" w:type="dxa"/>
            <w:vAlign w:val="bottom"/>
          </w:tcPr>
          <w:p>
            <w:pPr>
              <w:spacing w:after="0"/>
              <w:rPr>
                <w:sz w:val="11"/>
                <w:szCs w:val="11"/>
                <w:color w:val="auto"/>
              </w:rPr>
            </w:pPr>
          </w:p>
        </w:tc>
        <w:tc>
          <w:tcPr>
            <w:tcW w:w="4040" w:type="dxa"/>
            <w:vAlign w:val="bottom"/>
            <w:vMerge w:val="restart"/>
            <w:shd w:val="clear" w:color="auto" w:fill="E7EBF6"/>
          </w:tcPr>
          <w:p>
            <w:pPr>
              <w:jc w:val="center"/>
              <w:spacing w:after="0"/>
              <w:rPr>
                <w:sz w:val="20"/>
                <w:szCs w:val="20"/>
                <w:color w:val="auto"/>
              </w:rPr>
            </w:pPr>
            <w:r>
              <w:rPr>
                <w:rFonts w:ascii="Arial" w:cs="Arial" w:eastAsia="Arial" w:hAnsi="Arial"/>
                <w:sz w:val="18"/>
                <w:szCs w:val="18"/>
                <w:b w:val="1"/>
                <w:bCs w:val="1"/>
                <w:color w:val="auto"/>
              </w:rPr>
              <w:t>(i.e. x – 2020 actual achievement)</w:t>
            </w:r>
          </w:p>
        </w:tc>
        <w:tc>
          <w:tcPr>
            <w:tcW w:w="0" w:type="dxa"/>
            <w:vAlign w:val="bottom"/>
          </w:tcPr>
          <w:p>
            <w:pPr>
              <w:spacing w:after="0"/>
              <w:rPr>
                <w:sz w:val="1"/>
                <w:szCs w:val="1"/>
                <w:color w:val="auto"/>
              </w:rPr>
            </w:pPr>
          </w:p>
        </w:tc>
      </w:tr>
      <w:tr>
        <w:trPr>
          <w:trHeight w:val="95"/>
        </w:trPr>
        <w:tc>
          <w:tcPr>
            <w:tcW w:w="2320" w:type="dxa"/>
            <w:vAlign w:val="bottom"/>
            <w:shd w:val="clear" w:color="auto" w:fill="E7EBF6"/>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E7EBF6"/>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E7EBF6"/>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CBD5ED"/>
          </w:tcPr>
          <w:p>
            <w:pPr>
              <w:jc w:val="center"/>
              <w:ind w:right="230"/>
              <w:spacing w:after="0"/>
              <w:rPr>
                <w:sz w:val="20"/>
                <w:szCs w:val="20"/>
                <w:color w:val="auto"/>
              </w:rPr>
            </w:pPr>
            <w:r>
              <w:rPr>
                <w:rFonts w:ascii="Arial" w:cs="Arial" w:eastAsia="Arial" w:hAnsi="Arial"/>
                <w:sz w:val="18"/>
                <w:szCs w:val="18"/>
                <w:b w:val="1"/>
                <w:bCs w:val="1"/>
                <w:color w:val="auto"/>
                <w:w w:val="99"/>
              </w:rPr>
              <w:t>5. Customer</w:t>
            </w:r>
          </w:p>
        </w:tc>
        <w:tc>
          <w:tcPr>
            <w:tcW w:w="100" w:type="dxa"/>
            <w:vAlign w:val="bottom"/>
          </w:tcPr>
          <w:p>
            <w:pPr>
              <w:spacing w:after="0"/>
              <w:rPr>
                <w:sz w:val="15"/>
                <w:szCs w:val="15"/>
                <w:color w:val="auto"/>
              </w:rPr>
            </w:pPr>
          </w:p>
        </w:tc>
        <w:tc>
          <w:tcPr>
            <w:tcW w:w="4040" w:type="dxa"/>
            <w:vAlign w:val="bottom"/>
            <w:shd w:val="clear" w:color="auto" w:fill="CBD5ED"/>
          </w:tcPr>
          <w:p>
            <w:pPr>
              <w:jc w:val="center"/>
              <w:ind w:right="230"/>
              <w:spacing w:after="0" w:line="176" w:lineRule="exact"/>
              <w:rPr>
                <w:sz w:val="20"/>
                <w:szCs w:val="20"/>
                <w:color w:val="auto"/>
              </w:rPr>
            </w:pPr>
            <w:r>
              <w:rPr>
                <w:rFonts w:ascii="Arial" w:cs="Arial" w:eastAsia="Arial" w:hAnsi="Arial"/>
                <w:sz w:val="18"/>
                <w:szCs w:val="18"/>
                <w:b w:val="1"/>
                <w:bCs w:val="1"/>
                <w:color w:val="auto"/>
                <w:w w:val="99"/>
              </w:rPr>
              <w:t>Non-Revenue Water Reduction</w:t>
            </w:r>
          </w:p>
        </w:tc>
        <w:tc>
          <w:tcPr>
            <w:tcW w:w="100" w:type="dxa"/>
            <w:vAlign w:val="bottom"/>
          </w:tcPr>
          <w:p>
            <w:pPr>
              <w:spacing w:after="0"/>
              <w:rPr>
                <w:sz w:val="15"/>
                <w:szCs w:val="15"/>
                <w:color w:val="auto"/>
              </w:rPr>
            </w:pPr>
          </w:p>
        </w:tc>
        <w:tc>
          <w:tcPr>
            <w:tcW w:w="4040" w:type="dxa"/>
            <w:vAlign w:val="bottom"/>
            <w:shd w:val="clear" w:color="auto" w:fill="CBD5ED"/>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Within at least x% of x</w:t>
            </w: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CBD5ED"/>
          </w:tcPr>
          <w:p>
            <w:pPr>
              <w:spacing w:after="0"/>
              <w:rPr>
                <w:sz w:val="11"/>
                <w:szCs w:val="11"/>
                <w:color w:val="auto"/>
              </w:rPr>
            </w:pPr>
          </w:p>
        </w:tc>
        <w:tc>
          <w:tcPr>
            <w:tcW w:w="100" w:type="dxa"/>
            <w:vAlign w:val="bottom"/>
          </w:tcPr>
          <w:p>
            <w:pPr>
              <w:spacing w:after="0"/>
              <w:rPr>
                <w:sz w:val="11"/>
                <w:szCs w:val="11"/>
                <w:color w:val="auto"/>
              </w:rPr>
            </w:pPr>
          </w:p>
        </w:tc>
        <w:tc>
          <w:tcPr>
            <w:tcW w:w="4040" w:type="dxa"/>
            <w:vAlign w:val="bottom"/>
            <w:vMerge w:val="restart"/>
            <w:shd w:val="clear" w:color="auto" w:fill="CBD5ED"/>
          </w:tcPr>
          <w:p>
            <w:pPr>
              <w:jc w:val="center"/>
              <w:ind w:right="250"/>
              <w:spacing w:after="0"/>
              <w:rPr>
                <w:sz w:val="20"/>
                <w:szCs w:val="20"/>
                <w:color w:val="auto"/>
              </w:rPr>
            </w:pPr>
            <w:r>
              <w:rPr>
                <w:rFonts w:ascii="Arial" w:cs="Arial" w:eastAsia="Arial" w:hAnsi="Arial"/>
                <w:sz w:val="18"/>
                <w:szCs w:val="18"/>
                <w:color w:val="auto"/>
              </w:rPr>
              <w:t>(billion cubic meters; cumulative)</w:t>
            </w:r>
          </w:p>
        </w:tc>
        <w:tc>
          <w:tcPr>
            <w:tcW w:w="100" w:type="dxa"/>
            <w:vAlign w:val="bottom"/>
          </w:tcPr>
          <w:p>
            <w:pPr>
              <w:spacing w:after="0"/>
              <w:rPr>
                <w:sz w:val="11"/>
                <w:szCs w:val="11"/>
                <w:color w:val="auto"/>
              </w:rPr>
            </w:pPr>
          </w:p>
        </w:tc>
        <w:tc>
          <w:tcPr>
            <w:tcW w:w="4040" w:type="dxa"/>
            <w:vAlign w:val="bottom"/>
            <w:vMerge w:val="restart"/>
            <w:shd w:val="clear" w:color="auto" w:fill="CBD5ED"/>
          </w:tcPr>
          <w:p>
            <w:pPr>
              <w:jc w:val="center"/>
              <w:spacing w:after="0"/>
              <w:rPr>
                <w:sz w:val="20"/>
                <w:szCs w:val="20"/>
                <w:color w:val="auto"/>
              </w:rPr>
            </w:pPr>
            <w:r>
              <w:rPr>
                <w:rFonts w:ascii="Arial" w:cs="Arial" w:eastAsia="Arial" w:hAnsi="Arial"/>
                <w:sz w:val="18"/>
                <w:szCs w:val="18"/>
                <w:b w:val="1"/>
                <w:bCs w:val="1"/>
                <w:color w:val="auto"/>
              </w:rPr>
              <w:t>(i.e. x – 2020 actual achievement)</w:t>
            </w:r>
          </w:p>
        </w:tc>
        <w:tc>
          <w:tcPr>
            <w:tcW w:w="0" w:type="dxa"/>
            <w:vAlign w:val="bottom"/>
          </w:tcPr>
          <w:p>
            <w:pPr>
              <w:spacing w:after="0"/>
              <w:rPr>
                <w:sz w:val="1"/>
                <w:szCs w:val="1"/>
                <w:color w:val="auto"/>
              </w:rPr>
            </w:pPr>
          </w:p>
        </w:tc>
      </w:tr>
      <w:tr>
        <w:trPr>
          <w:trHeight w:val="95"/>
        </w:trPr>
        <w:tc>
          <w:tcPr>
            <w:tcW w:w="2320" w:type="dxa"/>
            <w:vAlign w:val="bottom"/>
            <w:shd w:val="clear" w:color="auto" w:fill="CBD5ED"/>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CBD5ED"/>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vMerge w:val="continue"/>
            <w:shd w:val="clear" w:color="auto" w:fill="CBD5ED"/>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3"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2021;</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Patrick K. Decker</w:t>
      </w: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2021;</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Sandra E. Rowland</w:t>
      </w: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2021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94"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2021</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2021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2021</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lowerLetter"/>
      <w:start w:val="1"/>
    </w:lvl>
  </w:abstractNum>
  <w:abstractNum w:abstractNumId="3">
    <w:nsid w:val="5C482A97"/>
    <w:multiLevelType w:val="hybridMultilevel"/>
    <w:lvl w:ilvl="0">
      <w:lvlJc w:val="left"/>
      <w:lvlText w:val="(%1)"/>
      <w:numFmt w:val="lowerLetter"/>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4"/>
    </w:lvl>
  </w:abstractNum>
  <w:abstractNum w:abstractNumId="24">
    <w:nsid w:val="32FFF902"/>
    <w:multiLevelType w:val="hybridMultilevel"/>
    <w:lvl w:ilvl="0">
      <w:lvlJc w:val="left"/>
      <w:lvlText w:val="%1."/>
      <w:numFmt w:val="decimal"/>
      <w:start w:val="6"/>
    </w:lvl>
  </w:abstractNum>
  <w:abstractNum w:abstractNumId="25">
    <w:nsid w:val="684A481A"/>
    <w:multiLevelType w:val="hybridMultilevel"/>
    <w:lvl w:ilvl="0">
      <w:lvlJc w:val="left"/>
      <w:lvlText w:val="%1."/>
      <w:numFmt w:val="decimal"/>
      <w:start w:val="12"/>
    </w:lvl>
  </w:abstractNum>
  <w:abstractNum w:abstractNumId="26">
    <w:nsid w:val="579478FE"/>
    <w:multiLevelType w:val="hybridMultilevel"/>
    <w:lvl w:ilvl="0">
      <w:lvlJc w:val="left"/>
      <w:lvlText w:val="%1."/>
      <w:numFmt w:val="decimal"/>
      <w:start w:val="17"/>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lvl w:ilvl="1">
      <w:lvlJc w:val="left"/>
      <w:lvlText w:val="(%2)"/>
      <w:numFmt w:val="lowerLetter"/>
      <w:start w:val="1"/>
    </w:lvl>
  </w:abstractNum>
  <w:abstractNum w:abstractNumId="29">
    <w:nsid w:val="1BA026FA"/>
    <w:multiLevelType w:val="hybridMultilevel"/>
    <w:lvl w:ilvl="0">
      <w:lvlJc w:val="left"/>
      <w:lvlText w:val="(%1)"/>
      <w:numFmt w:val="lowerLetter"/>
      <w:start w:val="3"/>
    </w:lvl>
  </w:abstractNum>
  <w:abstractNum w:abstractNumId="30">
    <w:nsid w:val="79A1DEAA"/>
    <w:multiLevelType w:val="hybridMultilevel"/>
    <w:lvl w:ilvl="0">
      <w:lvlJc w:val="left"/>
      <w:lvlText w:val="(%1)"/>
      <w:numFmt w:val="lowerLetter"/>
      <w:start w:val="4"/>
    </w:lvl>
  </w:abstractNum>
  <w:abstractNum w:abstractNumId="31">
    <w:nsid w:val="75C6C33A"/>
    <w:multiLevelType w:val="hybridMultilevel"/>
    <w:lvl w:ilvl="0">
      <w:lvlJc w:val="left"/>
      <w:lvlText w:val="(%1)"/>
      <w:numFmt w:val="lowerLetter"/>
      <w:start w:val="5"/>
    </w:lvl>
    <w:lvl w:ilvl="1">
      <w:lvlJc w:val="left"/>
      <w:lvlText w:val="(%2)"/>
      <w:numFmt w:val="lowerLetter"/>
      <w:start w:val="9"/>
    </w:lvl>
  </w:abstractNum>
  <w:abstractNum w:abstractNumId="32">
    <w:nsid w:val="12E685FB"/>
    <w:multiLevelType w:val="hybridMultilevel"/>
    <w:lvl w:ilvl="0">
      <w:lvlJc w:val="left"/>
      <w:lvlText w:val="(%1)"/>
      <w:numFmt w:val="lowerRoman"/>
      <w:start w:val="2"/>
    </w:lvl>
  </w:abstractNum>
  <w:abstractNum w:abstractNumId="33">
    <w:nsid w:val="70C6A529"/>
    <w:multiLevelType w:val="hybridMultilevel"/>
    <w:lvl w:ilvl="0">
      <w:lvlJc w:val="left"/>
      <w:lvlText w:val="(%1)"/>
      <w:numFmt w:val="lowerLetter"/>
      <w:start w:val="6"/>
    </w:lvl>
  </w:abstractNum>
  <w:abstractNum w:abstractNumId="34">
    <w:nsid w:val="520EEDD1"/>
    <w:multiLevelType w:val="hybridMultilevel"/>
    <w:lvl w:ilvl="0">
      <w:lvlJc w:val="left"/>
      <w:lvlText w:val="(%1)"/>
      <w:numFmt w:val="lowerLetter"/>
      <w:start w:val="9"/>
    </w:lvl>
    <w:lvl w:ilvl="1">
      <w:lvlJc w:val="left"/>
      <w:lvlText w:val="(%2)"/>
      <w:numFmt w:val="lowerLetter"/>
      <w:start w:val="9"/>
    </w:lvl>
  </w:abstractNum>
  <w:abstractNum w:abstractNumId="35">
    <w:nsid w:val="374A3FE6"/>
    <w:multiLevelType w:val="hybridMultilevel"/>
    <w:lvl w:ilvl="0">
      <w:lvlJc w:val="left"/>
      <w:lvlText w:val="%1"/>
      <w:numFmt w:val="lowerLetter"/>
      <w:start w:val="1"/>
    </w:lvl>
    <w:lvl w:ilvl="1">
      <w:lvlJc w:val="left"/>
      <w:lvlText w:val="(%2)"/>
      <w:numFmt w:val="lowerRoman"/>
      <w:start w:val="2"/>
    </w:lvl>
  </w:abstractNum>
  <w:abstractNum w:abstractNumId="36">
    <w:nsid w:val="4F4EF005"/>
    <w:multiLevelType w:val="hybridMultilevel"/>
    <w:lvl w:ilvl="0">
      <w:lvlJc w:val="left"/>
      <w:lvlText w:val="(%1)"/>
      <w:numFmt w:val="lowerLetter"/>
      <w:start w:val="11"/>
    </w:lvl>
    <w:lvl w:ilvl="1">
      <w:lvlJc w:val="left"/>
      <w:lvlText w:val="%2"/>
      <w:numFmt w:val="lowerRoman"/>
      <w:start w:val="1"/>
    </w:lvl>
  </w:abstractNum>
  <w:abstractNum w:abstractNumId="37">
    <w:nsid w:val="23F9C13C"/>
    <w:multiLevelType w:val="hybridMultilevel"/>
    <w:lvl w:ilvl="0">
      <w:lvlJc w:val="left"/>
      <w:lvlText w:val="%1."/>
      <w:numFmt w:val="decimal"/>
      <w:start w:val="1"/>
    </w:lvl>
    <w:lvl w:ilvl="1">
      <w:lvlJc w:val="left"/>
      <w:lvlText w:val="(%2)"/>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4"/>
    </w:lvl>
  </w:abstractNum>
  <w:abstractNum w:abstractNumId="40">
    <w:nsid w:val="39386575"/>
    <w:multiLevelType w:val="hybridMultilevel"/>
    <w:lvl w:ilvl="0">
      <w:lvlJc w:val="left"/>
      <w:lvlText w:val="(%1)"/>
      <w:numFmt w:val="lowerLetter"/>
      <w:start w:val="5"/>
    </w:lvl>
    <w:lvl w:ilvl="1">
      <w:lvlJc w:val="left"/>
      <w:lvlText w:val="(%2)"/>
      <w:numFmt w:val="lowerRoman"/>
      <w:start w:val="1"/>
    </w:lvl>
  </w:abstractNum>
  <w:abstractNum w:abstractNumId="41">
    <w:nsid w:val="1CF10FD8"/>
    <w:multiLevelType w:val="hybridMultilevel"/>
    <w:lvl w:ilvl="0">
      <w:lvlJc w:val="left"/>
      <w:lvlText w:val="(%1)"/>
      <w:numFmt w:val="lowerLetter"/>
      <w:start w:val="6"/>
    </w:lvl>
    <w:lvl w:ilvl="1">
      <w:lvlJc w:val="left"/>
      <w:lvlText w:val="(%2)"/>
      <w:numFmt w:val="lowerLetter"/>
      <w:start w:val="9"/>
    </w:lvl>
  </w:abstractNum>
  <w:abstractNum w:abstractNumId="42">
    <w:nsid w:val="180115BE"/>
    <w:multiLevelType w:val="hybridMultilevel"/>
    <w:lvl w:ilvl="0">
      <w:lvlJc w:val="left"/>
      <w:lvlText w:val="(%1)"/>
      <w:numFmt w:val="lowerRoman"/>
      <w:start w:val="2"/>
    </w:lvl>
  </w:abstractNum>
  <w:abstractNum w:abstractNumId="43">
    <w:nsid w:val="235BA861"/>
    <w:multiLevelType w:val="hybridMultilevel"/>
    <w:lvl w:ilvl="0">
      <w:lvlJc w:val="left"/>
      <w:lvlText w:val="(%1)"/>
      <w:numFmt w:val="lowerLetter"/>
      <w:start w:val="8"/>
    </w:lvl>
    <w:lvl w:ilvl="1">
      <w:lvlJc w:val="left"/>
      <w:lvlText w:val="(%2)"/>
      <w:numFmt w:val="lowerRoman"/>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lvl w:ilvl="1">
      <w:lvlJc w:val="left"/>
      <w:lvlText w:val="(%2)"/>
      <w:numFmt w:val="lowerLetter"/>
      <w:start w:val="1"/>
    </w:lvl>
  </w:abstractNum>
  <w:abstractNum w:abstractNumId="46">
    <w:nsid w:val="15B5AF5C"/>
    <w:multiLevelType w:val="hybridMultilevel"/>
    <w:lvl w:ilvl="0">
      <w:lvlJc w:val="left"/>
      <w:lvlText w:val="%1."/>
      <w:numFmt w:val="decimal"/>
      <w:start w:val="2"/>
    </w:lvl>
    <w:lvl w:ilvl="1">
      <w:lvlJc w:val="left"/>
      <w:lvlText w:val="%2"/>
      <w:numFmt w:val="lowerLetter"/>
      <w:start w:val="1"/>
    </w:lvl>
  </w:abstractNum>
  <w:abstractNum w:abstractNumId="47">
    <w:nsid w:val="741226BB"/>
    <w:multiLevelType w:val="hybridMultilevel"/>
    <w:lvl w:ilvl="0">
      <w:lvlJc w:val="left"/>
      <w:lvlText w:val="(%1)"/>
      <w:numFmt w:val="lowerLetter"/>
      <w:start w:val="1"/>
    </w:lvl>
    <w:lvl w:ilvl="1">
      <w:lvlJc w:val="left"/>
      <w:lvlText w:val="•"/>
      <w:numFmt w:val="bullet"/>
      <w:start w:val="1"/>
    </w:lvl>
  </w:abstractNum>
  <w:abstractNum w:abstractNumId="48">
    <w:nsid w:val="D34B6A8"/>
    <w:multiLevelType w:val="hybridMultilevel"/>
    <w:lvl w:ilvl="0">
      <w:lvlJc w:val="left"/>
      <w:lvlText w:val="(%1)"/>
      <w:numFmt w:val="lowerLetter"/>
      <w:start w:val="4"/>
    </w:lvl>
  </w:abstractNum>
  <w:abstractNum w:abstractNumId="49">
    <w:nsid w:val="10233C99"/>
    <w:multiLevelType w:val="hybridMultilevel"/>
    <w:lvl w:ilvl="0">
      <w:lvlJc w:val="left"/>
      <w:lvlText w:val="(%1)"/>
      <w:numFmt w:val="lowerLetter"/>
      <w:start w:val="5"/>
    </w:lvl>
    <w:lvl w:ilvl="1">
      <w:lvlJc w:val="left"/>
      <w:lvlText w:val="(%2)"/>
      <w:numFmt w:val="lowerRoman"/>
      <w:start w:val="1"/>
    </w:lvl>
  </w:abstractNum>
  <w:abstractNum w:abstractNumId="50">
    <w:nsid w:val="3F6AB60F"/>
    <w:multiLevelType w:val="hybridMultilevel"/>
    <w:lvl w:ilvl="0">
      <w:lvlJc w:val="left"/>
      <w:lvlText w:val="(%1)"/>
      <w:numFmt w:val="lowerLetter"/>
      <w:start w:val="6"/>
    </w:lvl>
    <w:lvl w:ilvl="1">
      <w:lvlJc w:val="left"/>
      <w:lvlText w:val="(%2)"/>
      <w:numFmt w:val="lowerLetter"/>
      <w:start w:val="9"/>
    </w:lvl>
  </w:abstractNum>
  <w:abstractNum w:abstractNumId="51">
    <w:nsid w:val="61574095"/>
    <w:multiLevelType w:val="hybridMultilevel"/>
    <w:lvl w:ilvl="0">
      <w:lvlJc w:val="left"/>
      <w:lvlText w:val="(%1)"/>
      <w:numFmt w:val="lowerRoman"/>
      <w:start w:val="2"/>
    </w:lvl>
  </w:abstractNum>
  <w:abstractNum w:abstractNumId="52">
    <w:nsid w:val="7E0C57B1"/>
    <w:multiLevelType w:val="hybridMultilevel"/>
    <w:lvl w:ilvl="0">
      <w:lvlJc w:val="left"/>
      <w:lvlText w:val="(%1)"/>
      <w:numFmt w:val="lowerRoman"/>
      <w:start w:val="3"/>
    </w:lvl>
  </w:abstractNum>
  <w:abstractNum w:abstractNumId="53">
    <w:nsid w:val="77AE35EB"/>
    <w:multiLevelType w:val="hybridMultilevel"/>
    <w:lvl w:ilvl="0">
      <w:lvlJc w:val="left"/>
      <w:lvlText w:val="(%1)"/>
      <w:numFmt w:val="lowerLetter"/>
      <w:start w:val="8"/>
    </w:lvl>
    <w:lvl w:ilvl="1">
      <w:lvlJc w:val="left"/>
      <w:lvlText w:val="(%2)"/>
      <w:numFmt w:val="lowerRoman"/>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lvl w:ilvl="1">
      <w:lvlJc w:val="left"/>
      <w:lvlText w:val="(%2)"/>
      <w:numFmt w:val="lowerLetter"/>
      <w:start w:val="1"/>
    </w:lvl>
  </w:abstractNum>
  <w:abstractNum w:abstractNumId="56">
    <w:nsid w:val="5FF87E05"/>
    <w:multiLevelType w:val="hybridMultilevel"/>
    <w:lvl w:ilvl="0">
      <w:lvlJc w:val="left"/>
      <w:lvlText w:val="%1."/>
      <w:numFmt w:val="decimal"/>
      <w:start w:val="2"/>
    </w:lvl>
    <w:lvl w:ilvl="1">
      <w:lvlJc w:val="left"/>
      <w:lvlText w:val="%2"/>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4"/>
    </w:lvl>
  </w:abstractNum>
  <w:abstractNum w:abstractNumId="59">
    <w:nsid w:val="1DBABF00"/>
    <w:multiLevelType w:val="hybridMultilevel"/>
    <w:lvl w:ilvl="0">
      <w:lvlJc w:val="left"/>
      <w:lvlText w:val="(%1)"/>
      <w:numFmt w:val="lowerLetter"/>
      <w:start w:val="5"/>
    </w:lvl>
    <w:lvl w:ilvl="1">
      <w:lvlJc w:val="left"/>
      <w:lvlText w:val="(%2)"/>
      <w:numFmt w:val="lowerRoman"/>
      <w:start w:val="1"/>
    </w:lvl>
  </w:abstractNum>
  <w:abstractNum w:abstractNumId="60">
    <w:nsid w:val="4AD084E9"/>
    <w:multiLevelType w:val="hybridMultilevel"/>
    <w:lvl w:ilvl="0">
      <w:lvlJc w:val="left"/>
      <w:lvlText w:val="(%1)"/>
      <w:numFmt w:val="lowerLetter"/>
      <w:start w:val="6"/>
    </w:lvl>
  </w:abstractNum>
  <w:abstractNum w:abstractNumId="61">
    <w:nsid w:val="1F48EAA1"/>
    <w:multiLevelType w:val="hybridMultilevel"/>
    <w:lvl w:ilvl="0">
      <w:lvlJc w:val="left"/>
      <w:lvlText w:val="(%1)"/>
      <w:numFmt w:val="lowerLetter"/>
      <w:start w:val="7"/>
    </w:lvl>
    <w:lvl w:ilvl="1">
      <w:lvlJc w:val="left"/>
      <w:lvlText w:val="(%2)"/>
      <w:numFmt w:val="lowerLetter"/>
      <w:start w:val="9"/>
    </w:lvl>
  </w:abstractNum>
  <w:abstractNum w:abstractNumId="62">
    <w:nsid w:val="1381823A"/>
    <w:multiLevelType w:val="hybridMultilevel"/>
    <w:lvl w:ilvl="0">
      <w:lvlJc w:val="left"/>
      <w:lvlText w:val="(%1)"/>
      <w:numFmt w:val="lowerRoman"/>
      <w:start w:val="2"/>
    </w:lvl>
  </w:abstractNum>
  <w:abstractNum w:abstractNumId="63">
    <w:nsid w:val="5DB70AE5"/>
    <w:multiLevelType w:val="hybridMultilevel"/>
    <w:lvl w:ilvl="0">
      <w:lvlJc w:val="left"/>
      <w:lvlText w:val="%1"/>
      <w:numFmt w:val="lowerLetter"/>
      <w:start w:val="1"/>
    </w:lvl>
    <w:lvl w:ilvl="1">
      <w:lvlJc w:val="left"/>
      <w:lvlText w:val="(%2)"/>
      <w:numFmt w:val="lowerRoman"/>
      <w:start w:val="3"/>
    </w:lvl>
  </w:abstractNum>
  <w:abstractNum w:abstractNumId="64">
    <w:nsid w:val="100F8FCA"/>
    <w:multiLevelType w:val="hybridMultilevel"/>
    <w:lvl w:ilvl="0">
      <w:lvlJc w:val="left"/>
      <w:lvlText w:val="(%1)"/>
      <w:numFmt w:val="lowerLetter"/>
      <w:start w:val="8"/>
    </w:lvl>
    <w:lvl w:ilvl="1">
      <w:lvlJc w:val="left"/>
      <w:lvlText w:val="%2"/>
      <w:numFmt w:val="lowerRoman"/>
      <w:start w:val="1"/>
    </w:lvl>
  </w:abstractNum>
  <w:abstractNum w:abstractNumId="65">
    <w:nsid w:val="6590700B"/>
    <w:multiLevelType w:val="hybridMultilevel"/>
    <w:lvl w:ilvl="0">
      <w:lvlJc w:val="left"/>
      <w:lvlText w:val="%1"/>
      <w:numFmt w:val="lowerRoman"/>
      <w:start w:val="1"/>
    </w:lvl>
    <w:lvl w:ilvl="1">
      <w:lvlJc w:val="left"/>
      <w:lvlText w:val="(%2)"/>
      <w:numFmt w:val="lowerRoman"/>
      <w:start w:val="1"/>
    </w:lvl>
  </w:abstractNum>
  <w:abstractNum w:abstractNumId="66">
    <w:nsid w:val="15014ACB"/>
    <w:multiLevelType w:val="hybridMultilevel"/>
    <w:lvl w:ilvl="0">
      <w:lvlJc w:val="left"/>
      <w:lvlText w:val="(%1)"/>
      <w:numFmt w:val="lowerRoman"/>
      <w:start w:val="1"/>
    </w:lvl>
    <w:lvl w:ilvl="1">
      <w:lvlJc w:val="left"/>
      <w:lvlText w:val="%2"/>
      <w:numFmt w:val="lowerRoman"/>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58" Type="http://schemas.openxmlformats.org/officeDocument/2006/relationships/hyperlink" Target="http://www.sec.gov/Archives/edgar/data/1524472/000152447217000027/a8-k31xcharter.htm" TargetMode="External"/><Relationship Id="rId59"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2021-05-04T15:53:02Z</dcterms:created>
  <dcterms:modified xsi:type="dcterms:W3CDTF">2021-05-04T15:53:02Z</dcterms:modified>
</cp:coreProperties>
</file>