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5598ds3asr.htm"/>
        <w:bookmarkStart w:id="1" w:name="ksd125598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August 3,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0"/>
        </w:rPr>
      </w:pPr>
      <w:r>
        <w:rPr>
          <w:rFonts w:ascii="Times New Roman" w:hAnsi="Times New Roman"/>
          <w:b/>
          <w:sz w:val="30"/>
        </w:rPr>
        <w:t xml:space="preserve">FORM S-3 </w:t>
      </w:r>
    </w:p>
    <w:p>
      <w:pPr>
        <w:pStyle w:val="TextBody"/>
        <w:bidi w:val="0"/>
        <w:spacing w:before="8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4"/>
        </w:rPr>
      </w:pPr>
      <w:r>
        <w:rPr>
          <w:rFonts w:ascii="Times New Roman" w:hAnsi="Times New Roman"/>
          <w:b/>
          <w:sz w:val="44"/>
        </w:rPr>
        <w:t xml:space="preserve">XYLEM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Indiana </w:t>
      </w:r>
    </w:p>
    <w:p>
      <w:pPr>
        <w:pStyle w:val="TextBody"/>
        <w:bidi w:val="0"/>
        <w:spacing w:before="0" w:after="0"/>
        <w:jc w:val="center"/>
        <w:rPr>
          <w:rFonts w:ascii="Times New Roman" w:hAnsi="Times New Roman"/>
          <w:b/>
          <w:sz w:val="14"/>
        </w:rPr>
      </w:pPr>
      <w:r>
        <w:rPr>
          <w:rFonts w:ascii="Times New Roman" w:hAnsi="Times New Roman"/>
          <w:b/>
          <w:sz w:val="14"/>
        </w:rPr>
        <w:t xml:space="preserve">(State or other jurisdiction of incorporation or organization) </w:t>
      </w:r>
    </w:p>
    <w:p>
      <w:pPr>
        <w:pStyle w:val="TextBody"/>
        <w:bidi w:val="0"/>
        <w:spacing w:before="80" w:after="0"/>
        <w:jc w:val="center"/>
        <w:rPr>
          <w:rFonts w:ascii="Times New Roman" w:hAnsi="Times New Roman"/>
          <w:b/>
          <w:sz w:val="16"/>
        </w:rPr>
      </w:pPr>
      <w:r>
        <w:rPr>
          <w:rFonts w:ascii="Times New Roman" w:hAnsi="Times New Roman"/>
          <w:b/>
          <w:sz w:val="16"/>
        </w:rPr>
        <w:t xml:space="preserve">45-2080495 </w:t>
      </w:r>
    </w:p>
    <w:p>
      <w:pPr>
        <w:pStyle w:val="TextBody"/>
        <w:bidi w:val="0"/>
        <w:spacing w:before="0" w:after="0"/>
        <w:jc w:val="center"/>
        <w:rPr>
          <w:rFonts w:ascii="Times New Roman" w:hAnsi="Times New Roman"/>
          <w:b/>
          <w:sz w:val="14"/>
        </w:rPr>
      </w:pPr>
      <w:r>
        <w:rPr>
          <w:rFonts w:ascii="Times New Roman" w:hAnsi="Times New Roman"/>
          <w:b/>
          <w:sz w:val="14"/>
        </w:rPr>
        <w:t xml:space="preserve">(IRS Employer Identification Number) </w:t>
      </w:r>
    </w:p>
    <w:p>
      <w:pPr>
        <w:pStyle w:val="TextBody"/>
        <w:bidi w:val="0"/>
        <w:spacing w:before="80" w:after="0"/>
        <w:jc w:val="center"/>
        <w:rPr>
          <w:rFonts w:ascii="Times New Roman" w:hAnsi="Times New Roman"/>
          <w:b/>
          <w:sz w:val="16"/>
        </w:rPr>
      </w:pPr>
      <w:r>
        <w:rPr>
          <w:rFonts w:ascii="Times New Roman" w:hAnsi="Times New Roman"/>
          <w:b/>
          <w:sz w:val="16"/>
        </w:rPr>
        <w:t xml:space="preserve">301 Water Street SE </w:t>
      </w:r>
    </w:p>
    <w:p>
      <w:pPr>
        <w:pStyle w:val="TextBody"/>
        <w:bidi w:val="0"/>
        <w:spacing w:before="0" w:after="0"/>
        <w:jc w:val="center"/>
        <w:rPr>
          <w:rFonts w:ascii="Times New Roman" w:hAnsi="Times New Roman"/>
          <w:b/>
          <w:sz w:val="16"/>
        </w:rPr>
      </w:pPr>
      <w:r>
        <w:rPr>
          <w:rFonts w:ascii="Times New Roman" w:hAnsi="Times New Roman"/>
          <w:b/>
          <w:sz w:val="16"/>
        </w:rPr>
        <w:t xml:space="preserve">Washington, DC 20003 </w:t>
      </w:r>
    </w:p>
    <w:p>
      <w:pPr>
        <w:pStyle w:val="TextBody"/>
        <w:bidi w:val="0"/>
        <w:spacing w:before="0" w:after="0"/>
        <w:jc w:val="center"/>
        <w:rPr>
          <w:rFonts w:ascii="Times New Roman" w:hAnsi="Times New Roman"/>
          <w:b/>
          <w:sz w:val="16"/>
        </w:rPr>
      </w:pPr>
      <w:r>
        <w:rPr>
          <w:rFonts w:ascii="Times New Roman" w:hAnsi="Times New Roman"/>
          <w:b/>
          <w:sz w:val="16"/>
        </w:rPr>
        <w:t>(202) 869-9150</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Stacy Cozad </w:t>
      </w:r>
    </w:p>
    <w:p>
      <w:pPr>
        <w:pStyle w:val="TextBody"/>
        <w:bidi w:val="0"/>
        <w:spacing w:before="0" w:after="0"/>
        <w:jc w:val="center"/>
        <w:rPr>
          <w:rFonts w:ascii="Times New Roman" w:hAnsi="Times New Roman"/>
          <w:b/>
          <w:sz w:val="16"/>
        </w:rPr>
      </w:pPr>
      <w:r>
        <w:rPr>
          <w:rFonts w:ascii="Times New Roman" w:hAnsi="Times New Roman"/>
          <w:b/>
          <w:sz w:val="16"/>
        </w:rPr>
        <w:t xml:space="preserve">Executive Vice President and Chief Legal Officer </w:t>
      </w:r>
    </w:p>
    <w:p>
      <w:pPr>
        <w:pStyle w:val="TextBody"/>
        <w:bidi w:val="0"/>
        <w:spacing w:before="0" w:after="0"/>
        <w:jc w:val="center"/>
        <w:rPr>
          <w:rFonts w:ascii="Times New Roman" w:hAnsi="Times New Roman"/>
          <w:b/>
          <w:sz w:val="16"/>
        </w:rPr>
      </w:pPr>
      <w:r>
        <w:rPr>
          <w:rFonts w:ascii="Times New Roman" w:hAnsi="Times New Roman"/>
          <w:b/>
          <w:sz w:val="16"/>
        </w:rPr>
        <w:t xml:space="preserve">Xylem Inc. </w:t>
      </w:r>
    </w:p>
    <w:p>
      <w:pPr>
        <w:pStyle w:val="TextBody"/>
        <w:bidi w:val="0"/>
        <w:spacing w:before="0" w:after="0"/>
        <w:jc w:val="center"/>
        <w:rPr>
          <w:rFonts w:ascii="Times New Roman" w:hAnsi="Times New Roman"/>
          <w:b/>
          <w:sz w:val="16"/>
        </w:rPr>
      </w:pPr>
      <w:r>
        <w:rPr>
          <w:rFonts w:ascii="Times New Roman" w:hAnsi="Times New Roman"/>
          <w:b/>
          <w:sz w:val="16"/>
        </w:rPr>
        <w:t xml:space="preserve">301 Water Street SE </w:t>
      </w:r>
    </w:p>
    <w:p>
      <w:pPr>
        <w:pStyle w:val="TextBody"/>
        <w:bidi w:val="0"/>
        <w:spacing w:before="0" w:after="0"/>
        <w:jc w:val="center"/>
        <w:rPr>
          <w:rFonts w:ascii="Times New Roman" w:hAnsi="Times New Roman"/>
          <w:b/>
          <w:sz w:val="16"/>
        </w:rPr>
      </w:pPr>
      <w:r>
        <w:rPr>
          <w:rFonts w:ascii="Times New Roman" w:hAnsi="Times New Roman"/>
          <w:b/>
          <w:sz w:val="16"/>
        </w:rPr>
        <w:t xml:space="preserve">Washington, DC 20003 </w:t>
      </w:r>
    </w:p>
    <w:p>
      <w:pPr>
        <w:pStyle w:val="TextBody"/>
        <w:bidi w:val="0"/>
        <w:spacing w:before="0" w:after="0"/>
        <w:jc w:val="center"/>
        <w:rPr>
          <w:rFonts w:ascii="Times New Roman" w:hAnsi="Times New Roman"/>
          <w:b/>
          <w:sz w:val="16"/>
        </w:rPr>
      </w:pPr>
      <w:r>
        <w:rPr>
          <w:rFonts w:ascii="Times New Roman" w:hAnsi="Times New Roman"/>
          <w:b/>
          <w:sz w:val="16"/>
        </w:rPr>
        <w:t>(202) 869-9150</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Copy to: </w:t>
      </w:r>
    </w:p>
    <w:p>
      <w:pPr>
        <w:pStyle w:val="TextBody"/>
        <w:bidi w:val="0"/>
        <w:spacing w:before="80" w:after="0"/>
        <w:jc w:val="center"/>
        <w:rPr>
          <w:rFonts w:ascii="Times New Roman" w:hAnsi="Times New Roman"/>
          <w:b/>
          <w:sz w:val="16"/>
        </w:rPr>
      </w:pPr>
      <w:r>
        <w:rPr>
          <w:rFonts w:ascii="Times New Roman" w:hAnsi="Times New Roman"/>
          <w:b/>
          <w:sz w:val="16"/>
        </w:rPr>
        <w:t xml:space="preserve">Stewart McDowell </w:t>
      </w:r>
    </w:p>
    <w:p>
      <w:pPr>
        <w:pStyle w:val="TextBody"/>
        <w:bidi w:val="0"/>
        <w:spacing w:before="0" w:after="0"/>
        <w:jc w:val="center"/>
        <w:rPr>
          <w:rFonts w:ascii="Times New Roman" w:hAnsi="Times New Roman"/>
          <w:b/>
          <w:sz w:val="16"/>
        </w:rPr>
      </w:pPr>
      <w:r>
        <w:rPr>
          <w:rFonts w:ascii="Times New Roman" w:hAnsi="Times New Roman"/>
          <w:b/>
          <w:sz w:val="16"/>
        </w:rPr>
        <w:t xml:space="preserve">Gibson, Dunn &amp; Crutcher LLP </w:t>
      </w:r>
    </w:p>
    <w:p>
      <w:pPr>
        <w:pStyle w:val="TextBody"/>
        <w:bidi w:val="0"/>
        <w:spacing w:before="0" w:after="0"/>
        <w:jc w:val="center"/>
        <w:rPr>
          <w:rFonts w:ascii="Times New Roman" w:hAnsi="Times New Roman"/>
          <w:b/>
          <w:sz w:val="16"/>
        </w:rPr>
      </w:pPr>
      <w:r>
        <w:rPr>
          <w:rFonts w:ascii="Times New Roman" w:hAnsi="Times New Roman"/>
          <w:b/>
          <w:sz w:val="16"/>
        </w:rPr>
        <w:t xml:space="preserve">200 Park Avenue </w:t>
      </w:r>
    </w:p>
    <w:p>
      <w:pPr>
        <w:pStyle w:val="TextBody"/>
        <w:bidi w:val="0"/>
        <w:spacing w:before="0" w:after="0"/>
        <w:jc w:val="center"/>
        <w:rPr>
          <w:rFonts w:ascii="Times New Roman" w:hAnsi="Times New Roman"/>
          <w:b/>
          <w:sz w:val="16"/>
        </w:rPr>
      </w:pPr>
      <w:r>
        <w:rPr>
          <w:rFonts w:ascii="Times New Roman" w:hAnsi="Times New Roman"/>
          <w:b/>
          <w:sz w:val="16"/>
        </w:rPr>
        <w:t xml:space="preserve">New York, New York 10166 </w:t>
      </w:r>
    </w:p>
    <w:p>
      <w:pPr>
        <w:pStyle w:val="TextBody"/>
        <w:bidi w:val="0"/>
        <w:spacing w:before="0" w:after="0"/>
        <w:jc w:val="center"/>
        <w:rPr>
          <w:rFonts w:ascii="Times New Roman" w:hAnsi="Times New Roman"/>
          <w:b/>
          <w:sz w:val="16"/>
        </w:rPr>
      </w:pPr>
      <w:r>
        <w:rPr>
          <w:rFonts w:ascii="Times New Roman" w:hAnsi="Times New Roman"/>
          <w:b/>
          <w:sz w:val="16"/>
        </w:rPr>
        <w:t xml:space="preserve">(212) 351-3914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the effective date of this Registration Statement. </w:t>
      </w:r>
    </w:p>
    <w:p>
      <w:pPr>
        <w:pStyle w:val="TextBody"/>
        <w:bidi w:val="0"/>
        <w:spacing w:before="8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74"/>
        <w:gridCol w:w="104"/>
        <w:gridCol w:w="4822"/>
        <w:gridCol w:w="130"/>
        <w:gridCol w:w="2612"/>
        <w:gridCol w:w="104"/>
        <w:gridCol w:w="259"/>
      </w:tblGrid>
      <w:tr>
        <w:trPr/>
        <w:tc>
          <w:tcPr>
            <w:tcW w:w="217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2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17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22"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1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r>
      <w:tr>
        <w:trPr>
          <w:trHeight w:val="120" w:hRule="atLeast"/>
        </w:trPr>
        <w:tc>
          <w:tcPr>
            <w:tcW w:w="2174" w:type="dxa"/>
            <w:tcBorders/>
            <w:vAlign w:val="center"/>
          </w:tcPr>
          <w:p>
            <w:pPr>
              <w:pStyle w:val="TableContents"/>
              <w:bidi w:val="0"/>
              <w:spacing w:before="0" w:after="283"/>
              <w:jc w:val="left"/>
              <w:rPr>
                <w:sz w:val="4"/>
                <w:szCs w:val="4"/>
              </w:rPr>
            </w:pPr>
            <w:r>
              <w:rPr>
                <w:sz w:val="4"/>
                <w:szCs w:val="4"/>
              </w:rPr>
            </w:r>
          </w:p>
        </w:tc>
        <w:tc>
          <w:tcPr>
            <w:tcW w:w="4926"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63" w:type="dxa"/>
            <w:gridSpan w:val="2"/>
            <w:tcBorders/>
            <w:vAlign w:val="center"/>
          </w:tcPr>
          <w:p>
            <w:pPr>
              <w:pStyle w:val="TableContents"/>
              <w:bidi w:val="0"/>
              <w:spacing w:before="0" w:after="283"/>
              <w:jc w:val="left"/>
              <w:rPr>
                <w:sz w:val="4"/>
                <w:szCs w:val="4"/>
              </w:rPr>
            </w:pPr>
            <w:r>
              <w:rPr>
                <w:sz w:val="4"/>
                <w:szCs w:val="4"/>
              </w:rPr>
            </w:r>
          </w:p>
        </w:tc>
      </w:tr>
      <w:tr>
        <w:trPr/>
        <w:tc>
          <w:tcPr>
            <w:tcW w:w="217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22"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1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r>
      <w:tr>
        <w:trPr>
          <w:trHeight w:val="120" w:hRule="atLeast"/>
        </w:trPr>
        <w:tc>
          <w:tcPr>
            <w:tcW w:w="7100" w:type="dxa"/>
            <w:gridSpan w:val="3"/>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63" w:type="dxa"/>
            <w:gridSpan w:val="2"/>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bottom"/>
          </w:tcPr>
          <w:p>
            <w:pPr>
              <w:pStyle w:val="TableContents"/>
              <w:bidi w:val="0"/>
              <w:spacing w:before="0" w:after="283"/>
              <w:jc w:val="left"/>
              <w:rPr/>
            </w:pPr>
            <w:r>
              <w:rPr/>
              <w:t>(Do not check if a smaller reporting company)</w:t>
            </w:r>
          </w:p>
        </w:tc>
        <w:tc>
          <w:tcPr>
            <w:tcW w:w="130" w:type="dxa"/>
            <w:tcBorders/>
            <w:vAlign w:val="bottom"/>
          </w:tcPr>
          <w:p>
            <w:pPr>
              <w:pStyle w:val="TableContents"/>
              <w:bidi w:val="0"/>
              <w:spacing w:before="0" w:after="283"/>
              <w:jc w:val="left"/>
              <w:rPr/>
            </w:pPr>
            <w:r>
              <w:rPr/>
              <w:t>  </w:t>
            </w:r>
          </w:p>
        </w:tc>
        <w:tc>
          <w:tcPr>
            <w:tcW w:w="261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73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w:t>
      </w:r>
    </w:p>
    <w:p>
      <w:pPr>
        <w:pStyle w:val="TextBody"/>
        <w:bidi w:val="0"/>
        <w:spacing w:before="0" w:after="0"/>
        <w:jc w:val="center"/>
        <w:rPr>
          <w:rFonts w:ascii="Times New Roman" w:hAnsi="Times New Roman"/>
          <w:b/>
          <w:sz w:val="20"/>
        </w:rPr>
      </w:pPr>
      <w:r>
        <w:rPr>
          <w:rFonts w:ascii="Times New Roman" w:hAnsi="Times New Roman"/>
          <w:b/>
          <w:sz w:val="20"/>
        </w:rPr>
        <w:t xml:space="preserve">DEPOSITARY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CONTRACTS </w:t>
      </w:r>
    </w:p>
    <w:p>
      <w:pPr>
        <w:pStyle w:val="TextBody"/>
        <w:bidi w:val="0"/>
        <w:spacing w:before="0" w:after="0"/>
        <w:jc w:val="center"/>
        <w:rPr>
          <w:rFonts w:ascii="Times New Roman" w:hAnsi="Times New Roman"/>
          <w:b/>
          <w:sz w:val="20"/>
        </w:rPr>
      </w:pPr>
      <w:r>
        <w:rPr>
          <w:rFonts w:ascii="Times New Roman" w:hAnsi="Times New Roman"/>
          <w:b/>
          <w:sz w:val="20"/>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and any applicable prospectus supplement that we file with the Securities and Exchange Commission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of Xylem Inc. trades on The New York Stock Exchange under the symbol “XYL.” </w:t>
      </w:r>
    </w:p>
    <w:p>
      <w:pPr>
        <w:pStyle w:val="TextBody"/>
        <w:bidi w:val="0"/>
        <w:spacing w:before="240" w:after="0"/>
        <w:jc w:val="left"/>
        <w:rPr/>
      </w:pPr>
      <w:r>
        <w:rPr>
          <w:rFonts w:ascii="Times New Roman" w:hAnsi="Times New Roman"/>
          <w:b/>
          <w:sz w:val="20"/>
        </w:rPr>
        <w:t>Investing in our securities involves certain risks. See the “Risk Factors” section of our filings with the Securities and Exchange Commission and the applicable prospectus supplement. Also see “</w:t>
      </w:r>
      <w:hyperlink w:anchor="tx125598_6">
        <w:r>
          <w:rPr>
            <w:rStyle w:val="InternetLink"/>
            <w:rFonts w:ascii="Times New Roman" w:hAnsi="Times New Roman"/>
            <w:b/>
            <w:sz w:val="20"/>
          </w:rPr>
          <w:t>Risk Factors</w:t>
        </w:r>
      </w:hyperlink>
      <w:r>
        <w:rPr>
          <w:rFonts w:ascii="Times New Roman" w:hAnsi="Times New Roman"/>
          <w:b/>
          <w:sz w:val="20"/>
        </w:rPr>
        <w:t xml:space="preserve">” on page 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2"/>
        <w:gridCol w:w="350"/>
        <w:gridCol w:w="96"/>
        <w:gridCol w:w="424"/>
        <w:gridCol w:w="63"/>
      </w:tblGrid>
      <w:tr>
        <w:trPr/>
        <w:tc>
          <w:tcPr>
            <w:tcW w:w="9272"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2"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1">
              <w:r>
                <w:rPr>
                  <w:rStyle w:val="InternetLink"/>
                  <w:rFonts w:ascii="Times New Roman" w:hAnsi="Times New Roman"/>
                  <w:b/>
                  <w:sz w:val="20"/>
                </w:rPr>
                <w:t>About This Prospectus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2">
              <w:r>
                <w:rPr>
                  <w:rStyle w:val="InternetLink"/>
                  <w:rFonts w:ascii="Times New Roman" w:hAnsi="Times New Roman"/>
                  <w:b/>
                  <w:sz w:val="20"/>
                </w:rPr>
                <w:t>Where You Can Find More Information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3">
              <w:r>
                <w:rPr>
                  <w:rStyle w:val="InternetLink"/>
                  <w:rFonts w:ascii="Times New Roman" w:hAnsi="Times New Roman"/>
                  <w:b/>
                  <w:sz w:val="20"/>
                </w:rPr>
                <w:t>Incorporation by Reference</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4">
              <w:r>
                <w:rPr>
                  <w:rStyle w:val="InternetLink"/>
                  <w:rFonts w:ascii="Times New Roman" w:hAnsi="Times New Roman"/>
                  <w:b/>
                  <w:sz w:val="20"/>
                </w:rPr>
                <w:t>Special Note Regarding Forward-Looking Statements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3</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5">
              <w:r>
                <w:rPr>
                  <w:rStyle w:val="InternetLink"/>
                  <w:rFonts w:ascii="Times New Roman" w:hAnsi="Times New Roman"/>
                  <w:b/>
                  <w:sz w:val="20"/>
                </w:rPr>
                <w:t>About the Registrant</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4</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6">
              <w:r>
                <w:rPr>
                  <w:rStyle w:val="InternetLink"/>
                  <w:rFonts w:ascii="Times New Roman" w:hAnsi="Times New Roman"/>
                  <w:b/>
                  <w:sz w:val="20"/>
                </w:rPr>
                <w:t>Risk Factors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5</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7">
              <w:r>
                <w:rPr>
                  <w:rStyle w:val="InternetLink"/>
                  <w:rFonts w:ascii="Times New Roman" w:hAnsi="Times New Roman"/>
                  <w:b/>
                  <w:sz w:val="20"/>
                </w:rPr>
                <w:t>Use of Proceeds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6</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8">
              <w:r>
                <w:rPr>
                  <w:rStyle w:val="InternetLink"/>
                  <w:rFonts w:ascii="Times New Roman" w:hAnsi="Times New Roman"/>
                  <w:b/>
                  <w:sz w:val="20"/>
                </w:rPr>
                <w:t>Description of Debt Securities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9">
              <w:r>
                <w:rPr>
                  <w:rStyle w:val="InternetLink"/>
                  <w:rFonts w:ascii="Times New Roman" w:hAnsi="Times New Roman"/>
                  <w:b/>
                  <w:sz w:val="20"/>
                </w:rPr>
                <w:t>Description of Capital Stock</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25</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10">
              <w:r>
                <w:rPr>
                  <w:rStyle w:val="InternetLink"/>
                  <w:rFonts w:ascii="Times New Roman" w:hAnsi="Times New Roman"/>
                  <w:b/>
                  <w:sz w:val="20"/>
                </w:rPr>
                <w:t>Description of Other Securities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26</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11">
              <w:r>
                <w:rPr>
                  <w:rStyle w:val="InternetLink"/>
                  <w:rFonts w:ascii="Times New Roman" w:hAnsi="Times New Roman"/>
                  <w:b/>
                  <w:sz w:val="20"/>
                </w:rPr>
                <w:t>Plan of Distribution</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27</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20"/>
              <w:jc w:val="left"/>
              <w:rPr/>
            </w:pPr>
            <w:hyperlink w:anchor="tx125598_12">
              <w:r>
                <w:rPr>
                  <w:rStyle w:val="InternetLink"/>
                  <w:rFonts w:ascii="Times New Roman" w:hAnsi="Times New Roman"/>
                  <w:b/>
                  <w:sz w:val="20"/>
                </w:rPr>
                <w:t>Legal Matters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28</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pPr>
            <w:hyperlink w:anchor="tx125598_13">
              <w:r>
                <w:rPr>
                  <w:rStyle w:val="InternetLink"/>
                  <w:rFonts w:ascii="Times New Roman" w:hAnsi="Times New Roman"/>
                  <w:b/>
                  <w:sz w:val="20"/>
                </w:rPr>
                <w:t>Experts</w:t>
              </w:r>
            </w:hyperlink>
          </w:p>
        </w:tc>
        <w:tc>
          <w:tcPr>
            <w:tcW w:w="35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2559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utilizing a “shelf” registration process. By using a shelf registration statement, Xylem Inc. may sell, at any time and from time to time in one or more offerings, any combination of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“Xylem,” “Company,” “we,” “us” and “our” refer to Xylem Inc.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different information. We are not making an offer of these securities in any jurisdiction where the offer is not permitted. You should not assume that the information in this prospectus or a prospectus supplement is accurate as of any date other than the date on the front of the document.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containing specific information about the terms of that offering. That prospectus supplement may include a discussion of any risk factors or other special considerations applicable to those securities. The prospectus supplement also may add, update or change information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containing this prospectus, including the exhibits to the registration statement, provides additional information about us and the securities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exhibits to the registration statement contain the full text of certain contracts and other important documents we have summarized in this prospectus. You should review the full text of these documents because these summaries may not contain all the information that you may find important in deciding whether to purchase the securities we offer. The registration statement, including the exhibits, can be read at the SEC’s website or at the SEC’s offices mentioned under the heading “Where You Can Find More Information.” </w:t>
      </w:r>
    </w:p>
    <w:p>
      <w:pPr>
        <w:pStyle w:val="TextBody"/>
        <w:bidi w:val="0"/>
        <w:spacing w:before="480" w:after="0"/>
        <w:jc w:val="center"/>
        <w:rPr>
          <w:rFonts w:ascii="Times New Roman" w:hAnsi="Times New Roman"/>
          <w:b/>
          <w:sz w:val="20"/>
        </w:rPr>
      </w:pPr>
      <w:bookmarkStart w:id="4" w:name="tx125598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reports on Form 10-K, quarterly reports on Form 10-Q, current reports on Form 8-K, proxy and information statements and amendments to reports filed or furnished pursuant to Sections 13(a), 14 and 15(d) of the Securities Exchange Act of 1934, as amended (the “Exchange Act”). The SEC maintains a website at www.sec.gov that contains reports, proxy and information statements and other information regarding Xylem Inc. and other companies that file materials with the SEC electronically. Copies of our periodic and current reports and proxy statements may be obtained, free of charge, on the “Investors” section of our website at http://www.xylem.com. This reference to our Internet address is for informational purposes only and shall not, under any circumstances, be deemed to incorporate the information available at or through such Internet address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25598_3"/>
      <w:bookmarkEnd w:id="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to those documents. We hereby incorporate by reference the documents listed below.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(including the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March 30, 2026,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Quarterly Report on Form 10-Q for the quarterly periods ended March 31, 2026 filed with the SEC on </w:t>
            </w:r>
            <w:hyperlink r:id="rId5">
              <w:r>
                <w:rPr>
                  <w:rStyle w:val="InternetLink"/>
                  <w:rFonts w:ascii="Times New Roman" w:hAnsi="Times New Roman"/>
                  <w:sz w:val="20"/>
                </w:rPr>
                <w:t>April  28, 2026</w:t>
              </w:r>
            </w:hyperlink>
            <w:r>
              <w:rPr>
                <w:rFonts w:ascii="Times New Roman" w:hAnsi="Times New Roman"/>
                <w:sz w:val="20"/>
              </w:rPr>
              <w:t xml:space="preserve"> and June 30, 2026 filed with the SEC on </w:t>
            </w:r>
            <w:hyperlink r:id="rId6">
              <w:r>
                <w:rPr>
                  <w:rStyle w:val="InternetLink"/>
                  <w:rFonts w:ascii="Times New Roman" w:hAnsi="Times New Roman"/>
                  <w:sz w:val="20"/>
                </w:rPr>
                <w:t>July 28,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February 25, 2026</w:t>
              </w:r>
            </w:hyperlink>
            <w:r>
              <w:rPr>
                <w:rFonts w:ascii="Times New Roman" w:hAnsi="Times New Roman"/>
                <w:sz w:val="20"/>
              </w:rPr>
              <w:t xml:space="preserve">, </w:t>
            </w:r>
            <w:hyperlink r:id="rId8">
              <w:r>
                <w:rPr>
                  <w:rStyle w:val="InternetLink"/>
                  <w:rFonts w:ascii="Times New Roman" w:hAnsi="Times New Roman"/>
                  <w:sz w:val="20"/>
                </w:rPr>
                <w:t>May 18, 2026</w:t>
              </w:r>
            </w:hyperlink>
            <w:r>
              <w:rPr>
                <w:rFonts w:ascii="Times New Roman" w:hAnsi="Times New Roman"/>
                <w:sz w:val="20"/>
              </w:rPr>
              <w:t xml:space="preserve"> and </w:t>
            </w:r>
            <w:hyperlink r:id="rId9">
              <w:r>
                <w:rPr>
                  <w:rStyle w:val="InternetLink"/>
                  <w:rFonts w:ascii="Times New Roman" w:hAnsi="Times New Roman"/>
                  <w:sz w:val="20"/>
                </w:rPr>
                <w:t>May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par value $0.01 per share, contained in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2025, including any amendment or report filed for the purposes of updating such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Exchange Act after the date of this prospectus and before the termination of the offering of the securities made under this prospectus; provided, however, that we are not incorporating by reference any documents or information, including parts of documents that we file with the SEC, that are deemed to be furnished and not filed with the SEC. Unless specifically stated to the contrary, none of the information we disclose under Items 2.02 or 7.01 of any Current Report on Form 8-K that we may from time to time furnish to the SEC will be incorporated by reference into, or otherwise included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has been delivered, including any beneficial owner, a copy of any and all of the documents referred to herein that are summarized in and incorporated by reference into this prospectus, if such person makes a written or oral request directed to: </w:t>
      </w:r>
    </w:p>
    <w:p>
      <w:pPr>
        <w:pStyle w:val="TextBody"/>
        <w:bidi w:val="0"/>
        <w:spacing w:before="240" w:after="0"/>
        <w:jc w:val="center"/>
        <w:rPr>
          <w:rFonts w:ascii="Times New Roman" w:hAnsi="Times New Roman"/>
          <w:sz w:val="20"/>
        </w:rPr>
      </w:pPr>
      <w:r>
        <w:rPr>
          <w:rFonts w:ascii="Times New Roman" w:hAnsi="Times New Roman"/>
          <w:sz w:val="20"/>
        </w:rPr>
        <w:t xml:space="preserve">Xylem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301 Water Street SE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20003 </w:t>
      </w:r>
    </w:p>
    <w:p>
      <w:pPr>
        <w:pStyle w:val="TextBody"/>
        <w:bidi w:val="0"/>
        <w:spacing w:before="0" w:after="0"/>
        <w:jc w:val="center"/>
        <w:rPr>
          <w:rFonts w:ascii="Times New Roman" w:hAnsi="Times New Roman"/>
          <w:sz w:val="20"/>
        </w:rPr>
      </w:pPr>
      <w:r>
        <w:rPr>
          <w:rFonts w:ascii="Times New Roman" w:hAnsi="Times New Roman"/>
          <w:sz w:val="20"/>
        </w:rPr>
        <w:t>(202) 869-9150</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ADDITIONAL INFORMATION OR ANY INFORMATION THAT IS DIFFERENT FROM THAT CONTAINED IN OR INCORPORATED BY REFERENCE INTO THIS PROSPECTUS, ANY ACCOMPANYING PROSPECTUS SUPPLEMENT OR ANY FREE WRITING PROSPECTUS PROVIDED IN CONNECTION WITH AN OFFERING. WE TAKE NO RESPONSIBILITY FOR, AND CAN PROVIDE NO ASSURANCE AS TO THE RELIABILITY OF, ANY OTHER INFORMATION THAT OTHERS MAY GIVE YOU. YOU SHOULD NOT ASSUME THAT THE INFORMATION CONTAINED IN THIS PROSPECTUS IS ACCURATE AS OF ANY DATE OTHER THAN THAT DATE, UNLESS WE OTHERWISE NOTE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25598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documents incorporated herein by reference, contains “forward-looking statements” within the meaning of Section 27A of the Securities Act of 1933, as amended (the “Securities Act”) and Section 21E of the Exchange Act. Generally, the words “anticipate,” “estimate,” “expect,” “project,” “intend,” “plan,” “contemplate,” “predict,” “outlook,”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expectations reflected in any of our forward-looking statements are reasonable, actual results could differ materially from those projected or assumed in any of our forward-looking statements. Our future financial condition, results of operations, and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for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below under “Risk Factors” and those described from time to time in reports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made herein are based on information currently available to us as of the date of this prospectus. We undertake no obligation to publicly update or revise any forward-looking statements, whether as a result of new information, future events or otherwise, except as required by law. You are advised to consult any additional disclosures we make in our Annual Reports on Form 10-K, Quarterly Reports on Form 10-Q and current reports on Form 8-K filed with the SEC.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25598_5"/>
      <w:bookmarkEnd w:id="7"/>
      <w:r>
        <w:rPr>
          <w:rFonts w:ascii="Times New Roman" w:hAnsi="Times New Roman"/>
          <w:b/>
          <w:sz w:val="20"/>
        </w:rPr>
        <w:t xml:space="preserve">ABOUT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Xylem is a leading global water technology company. We design, manufacture and service engineered products and solutions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Infrastructure </w:t>
            </w:r>
            <w:r>
              <w:rPr>
                <w:rFonts w:ascii="Times New Roman" w:hAnsi="Times New Roman"/>
                <w:sz w:val="20"/>
              </w:rPr>
              <w:t xml:space="preserve">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and wastewater solutions, for municipal and industrial applications. In the Water Infrastructure segment we reach customers indirectly, through channel partners and distributors, directly and through our service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Applied Water </w:t>
            </w:r>
            <w:r>
              <w:rPr>
                <w:rFonts w:ascii="Times New Roman" w:hAnsi="Times New Roman"/>
                <w:sz w:val="20"/>
              </w:rPr>
              <w:t xml:space="preserve">serves the water usage applications sector with water pressure boosting systems for heating, ventilation and air conditioning, and for fire protection systems to the residential and commercial building solutions markets. In addition, our pumps, heat exchangers and controls provide cooling to power plants and manufacturing facilities, circulation for food and beverage processing, and boosting systems for agricultural irrigation. In the Applied Water segment, we provide the majority of our sales through long-standing relationships with many of the leading independent distributors in the markets we serve, with the remainder going directly to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Measurement and Control Solutions</w:t>
            </w:r>
            <w:r>
              <w:rPr>
                <w:rFonts w:ascii="Times New Roman" w:hAnsi="Times New Roman"/>
                <w:sz w:val="20"/>
              </w:rPr>
              <w:t xml:space="preserve"> primarily serves the utility infrastructure solutions and services sector by delivering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which have been further enhanced by our Xylem Vue platform to enable a holistic view of the water cycle for our customers through cloud-based analytics, remote monitoring and data management with the purpose of optimizing their operating efficiency.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Water Solutions and Services </w:t>
            </w:r>
            <w:r>
              <w:rPr>
                <w:rFonts w:ascii="Times New Roman" w:hAnsi="Times New Roman"/>
                <w:sz w:val="20"/>
              </w:rPr>
              <w:t xml:space="preserve">provides tailored services and solutions, in collaboration with customers, including on-demand water, outsourced water, recycle/reuse, pipeline assessment services,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 In the Water Solutions and Services segment, we leverage our internal and external partners, and extensive service branch networks across the globe, including a rental fleet of transfer and treatment assets to serve our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Xylem Inc. was incorporated under the laws of the State of Indiana on May 4, 2011. Our principal executive offices are located at 301 Water Street SE, Washington, DC 20003 and our telephone number is (202) 869-9150.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25598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Before you decide whether to purchase any of our securities, in addition to the other information, documents or reports included in or incorporated by reference into this prospectus and any accompanying prospectus supplement or other offering materials, you should carefully consider the risk factors in the section entitled “Risk Factors” in any prospectus supplement as well as our Annual Report on Form 10-K for the fiscal year ended December 31, 2025 which is incorporated by reference into this prospectus and any prospectus supplement in their entirety, as the same may be amended, supplemented or superseded from time to time by our filings under the Exchange Act. For more information, see the section entitled “Where You Can Find More Information.” These risks could materially and adversely affect our business, results of operations and financial condition and could result in a partial or complete loss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25598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the applicable prospectus supplement, we will use the proceeds of any offering for general corporate purposes, which may include repayment of debt, repurchases of outstanding shares of common stock, payment of dividends, acquisitions of companies or businesses, investments, working capital and capital expenditures. We have not determined the amount of net proceeds to be used specifically for such purposes. As a result, management will retain broad discretion over the allocation of net proceeds. Net proceeds may be temporarily invested prior to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25598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 </w:t>
      </w:r>
    </w:p>
    <w:p>
      <w:pPr>
        <w:pStyle w:val="TextBody"/>
        <w:bidi w:val="0"/>
        <w:spacing w:before="240" w:after="0"/>
        <w:jc w:val="left"/>
        <w:rPr>
          <w:rFonts w:ascii="Times New Roman" w:hAnsi="Times New Roman"/>
          <w:sz w:val="20"/>
        </w:rPr>
      </w:pPr>
      <w:r>
        <w:rPr>
          <w:rFonts w:ascii="Times New Roman" w:hAnsi="Times New Roman"/>
          <w:sz w:val="20"/>
        </w:rPr>
        <w:t xml:space="preserve">Xylem will be the issuer of any debt securities we may offer and references to “we,” “our” or “us” in this description do not, unless the context otherwise indicates, include any of its subsidiaries. Capitalized terms used but not defined in this section have the respective meanings set forth in the applicable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that we may offer will be either senior debt securities or subordinated debt securities. Any senior debt securities will be issued under an indenture, which we refer to as the senior indenture, dated as of March 11, 2016, between us and Deutsche Bank Trust Company Americas, as trustee, as supplemented and amended from time to time.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The terms of each series of debt securities will be set forth in a resolution of the board of directors of the Registrant, an officers’ certificate or by a supplemental indenture. You should read the indentures, including any amendments or supplements or any officers’ certificate setting forth the terms of any series of notes, carefully to fully understand the terms of the debt securities. The forms of the indentures have been filed as exhibits to the registration statement of which this prospectus is a part. The indentures are subject to, and are governed by,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prospectus supplement for the following and other possible terms of each series of the debt securities with respect to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of the series that may be authenticated and delivered under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date or issue dates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premium, if any, and additional amounts, if any, payable with respect to the debt securities of the series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will be issued at par of, at a premium over or a discount from their face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debt securities of the series shall bear interest, if any, and, if applicable, the manner of calculation of such rate or rates, if any, including any procedures to vary or reset such rate or rates,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shall accrue, the dates on which such interest will be payable or the manner of determination of such dates, and the record date for the determination of holders to whom interest is payable on any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or defer the payment of interest and the duration of such extension or deferral;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repay or purchase any of the debt securities of the series pursuant to any sinking fund, mandatory redemption, purchase obligation or analogous provisions, including payments made in cash in anticipation of future sinking fund obligations at the option of a holder thereof and the period or periods within which, the price or prices at which, and the terms and conditions upon which debt securities of the series shall be redeemed, repaid,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series shall be issued in whole or in part in the form of a global security or securities, the type of global security to be issued, the identity of the depositary for such global security and the terms and conditions, if any, upon which interests in the debt securities of the series represented by such global security may be exchanged, in whole or in part, for other individual securities represented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debt securities, the subordination terms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or any multiple of $1,000 in excess thereof, the denominations in which the debt securities of the series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additional amounts of the debt securities of the series shall be payable in respect of any taxes, assessments, or other governmental charges withheld or deducted and, if so, whether we will have the option to redeem the debt securities of such series rather than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series are to be issuable in definitive form (whether upon original issue or upon exchange of a temporary debt security for a definitive security of such series) only upon receipt of certain certificates or other documents or upon satisfaction of other conditions, then the form and terms of such certificates, documents and/or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or conversion of the debt securities of such series, whether or not at the option of the holders thereof, for or into new debt securities of a different series or for or into any other securities which may include shares of our capital stock or any of our subsidiaries or securities directly or indirectly convertible into or exchangeable for any such shares or securities unaffiliated with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payment of the principal of, premium, if any, and interest on debt securities of the series shall be payable and the period or periods within which and the terms and conditions upon which such election may be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principal or any premium or interest on debt securities of a series may be determined with reference to an index or pursuant to a formula,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 debt securities of a series, at the option of the holders thereof, for other debt securities of the same series of the same aggregate principal amount of a different authorized kind or different authorized denomination or denominations,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guarantees on the debt securities and the identity of any guarantor thereof, the conditions of such guarantee and, if applicable, the terms and conditions upon which such guarantees may be subordinated to other indebtedness of the respective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by a trustee of an authenticating agent in one or more places other than the corporate trust office of such trustee, with power to act on behalf of such trustee, and subject to its direction, in the authentication and delivery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depositaries, paying agents, transfer agents, exchange agents, conversion agents, registrars or other agents with respect to such series, if different from those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amount of the debt securities of the series, if other than the principal amount thereof, that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restrictive covenants or events of default that will apply to the debt securities of the series, or any changes to the restrictive covenants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debt securities of a series may be defeased if different from the provisions set forth in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and conditions, if any, upon which any series of subordinated debt securities is subordinated to debt securities of another series or to our other indebtedness. The terms will include a description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indebtedness ranking senior to the debt securities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if any, on payments to the holders of the debt securities being offered while a default with respect to the senior indebtedness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requiring holders of the debt securities being offered to remit some payments to the holders of senior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bidi w:val="0"/>
        <w:spacing w:before="120" w:after="0"/>
        <w:jc w:val="left"/>
        <w:rPr>
          <w:rFonts w:ascii="Times New Roman" w:hAnsi="Times New Roman"/>
          <w:sz w:val="20"/>
        </w:rPr>
      </w:pPr>
      <w:r>
        <w:rPr>
          <w:rFonts w:ascii="Times New Roman" w:hAnsi="Times New Roman"/>
          <w:sz w:val="20"/>
        </w:rPr>
        <w:t xml:space="preserve">If less than all of the debt securities of a series are to be redeemed at any time, the trustee will select the debt securities of such series for redemption by lot, based on the applicable procedures of The Depository Trust Company (“DTC”). </w:t>
      </w:r>
    </w:p>
    <w:p>
      <w:pPr>
        <w:pStyle w:val="TextBody"/>
        <w:bidi w:val="0"/>
        <w:spacing w:before="240" w:after="0"/>
        <w:jc w:val="left"/>
        <w:rPr>
          <w:rFonts w:ascii="Times New Roman" w:hAnsi="Times New Roman"/>
          <w:sz w:val="20"/>
        </w:rPr>
      </w:pPr>
      <w:r>
        <w:rPr>
          <w:rFonts w:ascii="Times New Roman" w:hAnsi="Times New Roman"/>
          <w:sz w:val="20"/>
        </w:rPr>
        <w:t xml:space="preserve">No debt securities in principal amount of $1,000 or less can be redeemed in part. Notices of redemption will be mailed by first-class mail (in case of notes held in book-entry form, by electronic transmission) at least 10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any debt security is to be redeemed in part only, the notice of redemption that relates to that debt security will state the portion of the principal amount of that debt security that is to be redeemed. For debt securities issued in certificated form, a new certificate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Unless we default in payment of the redemption price, on and after the redemption date, interest will cease to accrue on the debt securities or portions of the debt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be liable for selections made by it as contemplated in this section. For any debt securities which are represented by global securities held on behalf of DTC, the Euroclear System (“Euroclear”) or Clearstream Banking S.A. (“Clearstream”), notices may be given by delivery of the relevant notices to DTC, Euroclear or Clearstream for communication to entitled account holders in substitution for the aforesaid mailing. </w:t>
      </w:r>
    </w:p>
    <w:p>
      <w:pPr>
        <w:pStyle w:val="TextBody"/>
        <w:bidi w:val="0"/>
        <w:spacing w:before="360" w:after="0"/>
        <w:jc w:val="left"/>
        <w:rPr>
          <w:rFonts w:ascii="Times New Roman" w:hAnsi="Times New Roman"/>
          <w:b/>
          <w:sz w:val="20"/>
        </w:rPr>
      </w:pPr>
      <w:r>
        <w:rPr>
          <w:rFonts w:ascii="Times New Roman" w:hAnsi="Times New Roman"/>
          <w:b/>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required by the rules and regulations of the SEC, so long as any debt securities are outstanding, we shall file with the trustee, within 15 days after we are required to file the same with the SEC, copies of the annual reports and of the information, documents and other reports (or copies of such portions of any of the foregoing as the SEC may from time to time by rules and regulations prescribe) that we would be required to file with the SEC pursuant to Section 13 or Section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shall be deemed to have complied with the previous sentence to the extent that such information, documents and reports are filed with the SEC via EDGAR or any successor electronic delivery procedure. Delivery of such reports, information and documents to the trustee is for informational purposes only, and the trustee’s receipt of such shall not constitute constructive notice of any information contained therein or determinable from information contained therein, including our compliance with any covenants under the indenture (as to which the trustee is entitled to rely exclusively on officers’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will be “Events of Default” with respect to debt securities of a particular series, except to the extent provided in the supplemental indenture, officers’ certificate or resolution of our board of directors pursuant to which a series of debt securities is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interest on any of the debt securities of such series when it becomes due and the default continues for a period of 30 days or more;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principal, or premium, if any, on any of the debt securities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sinking or purchase fund or analogous obligation when the same becomes due, and such default continues for 30 days or more;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covenant in the indenture (other than defaults specified above) and the default or breach continues for a period of 90 days or more after we receive written notice from the trustee or we and the trustee receive notice from the holders of at least 25% in aggregate principal amount of the outstanding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reorganization, administration or similar proceedings;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in the supplemental indenture, officers’ certificate or resolution of our board of directors under which such series of debt securities is issued or in the form of security for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fifth bullet point above) under the indenture occurs with respect to the notes and is continuing, then the trustee or the holders of at least 25% in principal amount of the outstanding debt securities of the affected series may by written notice require us to repay immediately the entire principal amount of the outstanding notes of that series, together with all accrued and unpaid interest and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under the indenture specified in the fifth bullet point above occurs and is continuing, then the entire principal amount of the outstanding debt securities of the affected series will automatically become due and payable immediately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After a declaration of acceleration, the holders of a majority in principal amount of outstanding debt securities of the affected series may rescind this accelerated payment requirement if (i) all existing Events of Default, except for nonpayment of the principal and interest on the debt securities of that series that has become due solely as a result of the accelerated payment requirement, have been cured or waived, (ii) the rescission of acceleration would not conflict with any judgment or decree and (iii) we have paid or deposited with the trustee a sum sufficient to pay all sums paid or advanced by the trustee and the reasonable and duly documented compensation, expenses, disbursements and advances of the trustee, its agents and counsel. The holders of a majority in principal amount of the outstanding debt securities of the affected series also have the right to waive past defaults, except a default in paying principal or interest on any outstanding note of that series, and except in respect of a covenant or a provision that cannot be modified or amended without the consent of all holders of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Holders of at least 25% in principal amount of the outstanding debt securities of the affected series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notes of that series. These limitations do not apply, however, to a suit instituted by a holder of a note for the enforcement of the payment of principal, interest or any premium on or after the due dates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existence of an Event of Default, the trustee is required to exercise the rights and powers vested in it under the indenture and to use the same degree of care and skill in its exercise as a prudent person would use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principal amount of the outstanding debt securities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affected series have the right to direct the time, method and place of conducting any proceeding for any remedy available to the trustee, or exercising any trust or power conferred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any default occurs, give notice of the default to the holders of the notes of the affected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to be charged with knowledge of any Event of Default or knowledge of any cure of any Event of Default unless either (i) an authorized officer or agent of the trustee with direct responsibility for the administration of the indenture has actual knowledge of such Event of Default or (ii) written notice of such Event of Default has been given to such authorized officer of the trustee by the Issuer or any holder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Although the indentures generally do not contain financial or similar restrictive covenants, unless otherwise specified in the applicable prospectus supplement, the debt securities will contain the additional covenants described below that are not contained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Upon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A change of control requiring us to repurchase all, or part, of the debt securities as described below will be triggered in the event that the debt securities notes cease to be rated equal to or higher than BBB- (or the equivalent) by Fitch Inc. (“Fitch”), Baa3 (or the equivalent) by Moody’s Investors Service, Inc. (“Moody’s”) or BBB- (or the equivalent) by Standard &amp; Poor’s Rating Services (“S&amp;P”), and the equivalent investment grade credit rating from any replacement rating agency or rating agencies selected by us on any date during the 60-day period commencing upon the earlier of (1) the first public announcement of the Change of Control or our intention to effect a Change of Control and (2) the consummation of such Change of Control, which period will be extended following consummation of a Change of Control for so long as the rating of the debt securities is under publicly announced consideration for possible downgrade by any of the rating agencies. Unless at least one rating agency is providing a rating for the notes at the commencement of any such period, the notes will be deemed to have ceased to be rated as described above during such period. Notwithstanding the foregoing, no event triggering a change of control will be deemed to have occurred in connection with any particular Change of Control unless and until such Change of Control has actually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triggering a change of control occurs, unless we have exercised our right to redeem the debt securities of a series pursuant to the terms of such series, we will be required to make an offer to repurchase all or, at the holder’s option, any part (equal to $2,000 or any multiple of $1,000 in excess thereof) of each holder’s debt securities on the terms set forth in the debt securities. In such offer, we will be required to offer payment in cash equal to 101% of the aggregate principal amount of the debt securities repurchased plus accrued and unpaid interest, if any, on the debt securities repurchased, to, but not including,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any event triggering a change of control or, at our option, prior to any change of control, but after public announcement of the transaction that constitutes or may constitute the change of control, a notice will be mailed to holders of the notes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such payment date, we will be required, to the extent lawful,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debt securities or portions of debt securities properly tendered pursuant to the offer described in the first paragraph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required payment in respect of all debt securities or portions of notes debt securities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debt securities properly accepted together with an officer’s certificate stating the aggregate principal amount of debt securities or portions of debt securities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be required to promptly mail to each holder who properly tendered debt securities the purchase price for such debt securities, and the trustee will be required to promptly authenticate and mail (or cause to be transferred by book entry) to each such holder a new debt security equal in principal amount to any unpurchased portion of the debt securities surrendered, if any; provided that each new debt security will be in a principal amount of $2,000 or a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upon an event triggering a change of control if a third party makes such an offer in the manner, at the times and otherwise in compliance with the requirements for an offer made by us and such third party purchases all debt securities properly tendered and not withdrawn under its offer. In the event that such third party terminates or defaults its offer, we will be required to make an offer treating the date of such termination or default as though it were the date of such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repurchase any debt securities if there has occurred and is continuing on the relevant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are required to offer to repurchase the debt securities upon the occurrence of a change of control triggering event, we may not have sufficient funds to repurchase the debt securities in cash at such time. In addition, our ability to repurchase the debt securities for cash may be limited by law or the terms of other agreements relating to our indebtedness outstanding at the time. The failure to make such repurchase would result in a default under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those laws and regulations are applicable in connection with the repurchase of the debt securities as a result of a change of control triggering event. To the extent that the provision of any such securities laws or regulations conflicts with the offer provisions in respect of a change of control of the debt securities, we will comply with those securities laws and regulations and will not be deemed to have breached our obligations under such offer provisions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lease,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our assets and those of our subsidiaries, taken as a whole, to another person or group may be uncertain. In such case, holders of the notes may not be able to resolve this uncertainty without resorting to legal 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following term will be applicable: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one of the following: (1) the direct or indirect sale, lease, transfer, conveyance or other disposition (other than by way of merger, amalgamation, arrangement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consolidation), in one or a series of related transactions, of all or substantially all of our properties or assets and those of our subsidiaries, taken as a whole, to one or more persons, other than to us or one of our subsidiaries; (2) the first day on which a majority of the members of our board of directors is not composed of directors who (a) were members of our board of directors on the issue date or (b) were nominated for election, elected or appointed to our board of directors with the approval of a majority of the directors who were members of our board of directors at the time of such nomination, election or appointment (either by a specific vote or by approval by such directors of our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our voting stock; (4) we consolidate with, or merge with or into, any person, or 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(5) the adoption of a plan relating to our liquidation or dissolution (other than our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 (2)(A)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the debt securities will not contain any financial covenants or other restrictive provisions designed to protect holders of the debt securities in the event of a highly leveraged transaction. The indentures contain the following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We will not, and we will not permit any of our restricted subsidiaries to, incur, suffer to exist or guarantee any debt secured by a lien on any principal property or on any shares of stock of (or other interests in) any of our restricted subsidiaries unless we or such restricted subsidiary secures or we cause such restricted subsidiary to secure the debt securities (and any of its or such restricted subsidiary’s other debt, at its option or such restricted subsidiary’s option, as the case may be, not subordinate to the debt securities), equally and ratably with (or prior to) such secured debt, for as long as such secured debt will be so secured. </w:t>
      </w:r>
    </w:p>
    <w:p>
      <w:pPr>
        <w:pStyle w:val="TextBody"/>
        <w:bidi w:val="0"/>
        <w:spacing w:before="240" w:after="0"/>
        <w:jc w:val="left"/>
        <w:rPr>
          <w:rFonts w:ascii="Times New Roman" w:hAnsi="Times New Roman"/>
          <w:sz w:val="20"/>
        </w:rPr>
      </w:pPr>
      <w:r>
        <w:rPr>
          <w:rFonts w:ascii="Times New Roman" w:hAnsi="Times New Roman"/>
          <w:sz w:val="20"/>
        </w:rPr>
        <w:t xml:space="preserve">These restrictions will not, however, apply to debt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existing prior to the issuance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on property of or shares of stock of (or other interests in) or debt of any entity existing at the time such entity becomes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on property, shares of stock (or other interests in) or debt of any entity (i) existing at the time of acquisition of such property or shares (or other interests) (including acquisition through merger or consolidation), (ii) to secure the payment of all or any part of the purchase price of such property or shares (or other interests) or the costs of construction or improvement of such property or (iii) to secure any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incurred prior to, at the time of, or within 180 days after the later of the acquisition, the completion of construction or the commencement of full operation of such property or within 180 days after the acquisition of such shares (or other interests) for the purpose of financing all or any part of the purchase price of such property or shares (or other interests) or the costs of construction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in favor of us or any of our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in favor of, or required by contracts with, governmental entities;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refunding of liens referred to in any of the preceding clauses.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we or any of our restricted subsidiaries may incur, suffer to exist or guarantee any debt secured by a lien on any principal property or on any shares of stock of (or other interests in) any of our restricted subsidiaries if, after giving effect thereto and together with the value of attributable debt outstanding pursuant to the second paragraph of the “—Limitation on Sale and Lease-Back Transactions” covenant below, the aggregate amount of such debt does not exceed 15% of our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restrict the transfer by us of a principal property to any of our unrestricted subsidiaries or our ability to change the designation of a subsidiary owning principal property from a restricted subsidiary to an unrestricted subsidiary and, if we were to do so, any such unrestricted subsidiary would not be restricted from incurring secured debt nor would we be required, upon such incurrence, to secure the debt securities equally and ratably with such secured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will not enter into any sale and lease-back transaction with respect to any principal property, other than any such sale and lease-back transaction involving a lease for a term of not more than three years or any such sale and lease-back transaction between us and one of our restricted subsidiaries or between our restricted subsidiaries, unless: (i) we or such restricted subsidiary would be entitled to incur debt secured by a lien on the principal property involved in such sale and lease-back transaction at least equal in amount to the attributable debt with respect to such sale and lease-back transaction, without equally and ratably securing the debt securities, pursuant to the covenant described above under the caption “—Limitation on Liens”; or (ii) the proceeds of such sale and lease-back transaction are at least equal to the fair market value of the affected principal property (as determined in good faith by our board of directors) and we apply an amount equal to the net proceeds of such sale and lease-back transaction within 180 days of such sale and lease-back transaction to any (or a combination) of (a) the prepayment or retirement of the debt securities, (b) the prepayment or retirement (other than any mandatory retirement, mandatory prepayment or sinking fund payment or by payment at maturity) of other debt of us or of one of our restricted subsidiaries (other than debt that is subordinated to the debt securities or debt owed to us or one of our restricted subsidiaries) that matures more than 12 months after its creation or matures less than 12 months after its creation but by its terms being renewable or extendible, at the option of the obligor in respect thereof, beyond 12 months from its creation or (c) the purchase, construction, development, expansion or improvement of other comparable property.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in the preceding paragraph, we will be permitted to enter into sale and lease-back transactions otherwise prohibited by this covenant, the attributable debt with respect to which, together with all debt outstanding pursuant to the third paragraph of the “—Limitation on Liens” covenant above, without duplication, do not exceed 15% of consolidated net tangible assets measured at the closing date of the sale and lease-back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definitions of some terms used in the above description. We refer you to the indenture for a full description of all of these terms, as well as any other terms used herein for which no definition is provided. </w:t>
      </w:r>
    </w:p>
    <w:p>
      <w:pPr>
        <w:pStyle w:val="TextBody"/>
        <w:bidi w:val="0"/>
        <w:spacing w:before="240" w:after="0"/>
        <w:jc w:val="left"/>
        <w:rPr/>
      </w:pPr>
      <w:r>
        <w:rPr/>
        <w:t>“</w:t>
      </w:r>
      <w:r>
        <w:rPr>
          <w:rFonts w:ascii="Times New Roman" w:hAnsi="Times New Roman"/>
          <w:i/>
          <w:sz w:val="20"/>
        </w:rPr>
        <w:t>attributable debt</w:t>
      </w:r>
      <w:r>
        <w:rPr>
          <w:rFonts w:ascii="Times New Roman" w:hAnsi="Times New Roman"/>
          <w:sz w:val="20"/>
        </w:rPr>
        <w:t xml:space="preserve">” with regard to a sale and lease-back transaction with respect to any principal property means, at the time of determination, the present value of the total net amount of rent required to be paid under such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notes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the total amount of our assets and our restricted subsidiaries’ assets 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applicable depreciation, amortization and other valuation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liabilities of ours and our restricted subsidiaries (excluding any intercompany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goodwill, trade names, trademarks, patents, unamortized debt discount and expenses and other like intangibles, all as set forth on our and our restricted subsidiaries’ latest consolidated balance sheets prepared in accordance with U.S. GAAP. </w:t>
            </w:r>
          </w:p>
        </w:tc>
      </w:tr>
    </w:tbl>
    <w:p>
      <w:pPr>
        <w:pStyle w:val="TextBody"/>
        <w:bidi w:val="0"/>
        <w:spacing w:before="240" w:after="0"/>
        <w:jc w:val="left"/>
        <w:rPr/>
      </w:pPr>
      <w:r>
        <w:rPr/>
        <w:t>“</w:t>
      </w:r>
      <w:r>
        <w:rPr>
          <w:rFonts w:ascii="Times New Roman" w:hAnsi="Times New Roman"/>
          <w:i/>
          <w:sz w:val="20"/>
        </w:rPr>
        <w:t>debt</w:t>
      </w:r>
      <w:r>
        <w:rPr>
          <w:rFonts w:ascii="Times New Roman" w:hAnsi="Times New Roman"/>
          <w:sz w:val="20"/>
        </w:rPr>
        <w:t xml:space="preserve">” means any indebtedness for borrowed money. </w:t>
      </w:r>
    </w:p>
    <w:p>
      <w:pPr>
        <w:pStyle w:val="TextBody"/>
        <w:bidi w:val="0"/>
        <w:spacing w:before="240" w:after="0"/>
        <w:jc w:val="left"/>
        <w:rPr/>
      </w:pPr>
      <w:r>
        <w:rPr/>
        <w:t>“</w:t>
      </w:r>
      <w:r>
        <w:rPr>
          <w:rFonts w:ascii="Times New Roman" w:hAnsi="Times New Roman"/>
          <w:i/>
          <w:sz w:val="20"/>
        </w:rPr>
        <w:t>principal property</w:t>
      </w:r>
      <w:r>
        <w:rPr>
          <w:rFonts w:ascii="Times New Roman" w:hAnsi="Times New Roman"/>
          <w:sz w:val="20"/>
        </w:rPr>
        <w:t xml:space="preserve">” means any single manufacturing or processing plant, office building or warehouse owned or leased by us or any of our restricted subsidiaries which has a gross book value in excess of 2% of our consolidated net tangible assets other than a plant, warehouse, office building or portion thereof which, in the opinion of our Board of Directors, is not of material importance to the business conducted by the Company and its restricted subsidiaries as an entirety.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at any time, any subsidiary which at the time is not an unrestricted subsidiary of ours.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entity, at least a majority of the outstanding voting stock of which shall at the time be owned, directly or indirectly, by us or by one or more of our subsidiaries, or both.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any subsidiary of ours (not at the time designated as our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our Board of Directors and which, in the opinion of our Board of Directors, is not of material importance to the business conducted by the Company and its restricted subsidiaries as an entity.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consolidate or merge with or into, or convey or transfer all or substantially all of our assets to, any entity (including, without limitation, a limited partnership or a limited liability company);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the surviving corporation or, if not, that the successor will be a corporation that is organized and validly existing under the laws of any state of the United States of America or the District of Columbia and will expressly assume by a supplemental indenture our obligations under the indenture and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event of default, and no default or other event which, after notice or lapse of time, or both, would become an event of default, will have happened and be continuing;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delivered to the trustee an opinion of counsel, stating that such consolidation, merger, conveyance or transfer and such supplemental indenture, if any, complies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any such consolidation, merger, conveyance, transfer or lease, any such successor will succeed to and be substituted for us as obligor on the notes with the same effect as if it had been named in the indenture as obligor.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entitled to conclusively rely on and will accept such opinion as sufficient evidence of the satisfaction of the conditions precedent set forth in the third clause above, in which event it shall be conclusive and binding on the holders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indenture may be amended or modified without the consent of any holder of the debt securities of any series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 succession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ambiguities, defects or inconsistencies or make any other change that does not adversely affect in any material respect the interests of any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of our obligations in the case of a merger or consolidation or transfer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guarantors with respect to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forms of the debt securities of any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to and modifications of the indenture or the debt securities of any series issued may be made with the consent of the holders of not less than a majority of the aggregate principal amount of the outstanding series affected by the amendment or modification. However, no modification or amendment may, without the consent of the holder of each affected outstanding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extend the fixed maturity,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 or waive the redemption provisions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principal, any premium or interest is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outstanding of the debt securities of any series which must consent to an amendment, supplement or waiver or consent to take any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payment default with respect to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interest rate or extend the time for payment of interest on the debt securities of any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ranking of the debt securities of any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occurs and is continuing, the trustee will be required to use the degree of care and skill of a prudent person in the conduct of his or her own affairs. The trustee will become obligated to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its powers under the indenture at the request of any of the holders of any debt securities issued under the indenture only after those holders have furnished the trustee reasonable security or indemnity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becomes a creditor of ours,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 </w:t>
      </w:r>
    </w:p>
    <w:p>
      <w:pPr>
        <w:pStyle w:val="TextBody"/>
        <w:bidi w:val="0"/>
        <w:spacing w:before="360" w:after="0"/>
        <w:jc w:val="left"/>
        <w:rPr>
          <w:rFonts w:ascii="Times New Roman" w:hAnsi="Times New Roman"/>
          <w:b/>
          <w:sz w:val="20"/>
        </w:rPr>
      </w:pPr>
      <w:r>
        <w:rPr>
          <w:rFonts w:ascii="Times New Roman" w:hAnsi="Times New Roman"/>
          <w:b/>
          <w:sz w:val="20"/>
        </w:rPr>
        <w:t xml:space="preserve">Paying Agent and Security Registrar </w:t>
      </w:r>
    </w:p>
    <w:p>
      <w:pPr>
        <w:pStyle w:val="TextBody"/>
        <w:bidi w:val="0"/>
        <w:spacing w:before="120" w:after="0"/>
        <w:jc w:val="left"/>
        <w:rPr>
          <w:rFonts w:ascii="Times New Roman" w:hAnsi="Times New Roman"/>
          <w:sz w:val="20"/>
        </w:rPr>
      </w:pPr>
      <w:r>
        <w:rPr>
          <w:rFonts w:ascii="Times New Roman" w:hAnsi="Times New Roman"/>
          <w:sz w:val="20"/>
        </w:rPr>
        <w:t xml:space="preserve">We will maintain one or more paying agents (each, a “Paying Agent”) for any debt securities we issue in New York, New York. We, upon written notice to the trustee accompanied by an officers’ certificate, may appoint one or more Paying Agents, other than the trustee, for all or any series of such debt securities. If we fail to appoint or maintain another entity as Paying Agent, the trustee shall act as such. We or any of our subsidiaries, upon notice to the trustee, may act as Paying Agent. </w:t>
      </w:r>
    </w:p>
    <w:p>
      <w:pPr>
        <w:pStyle w:val="TextBody"/>
        <w:bidi w:val="0"/>
        <w:spacing w:before="240" w:after="0"/>
        <w:jc w:val="left"/>
        <w:rPr>
          <w:rFonts w:ascii="Times New Roman" w:hAnsi="Times New Roman"/>
          <w:sz w:val="20"/>
        </w:rPr>
      </w:pPr>
      <w:r>
        <w:rPr>
          <w:rFonts w:ascii="Times New Roman" w:hAnsi="Times New Roman"/>
          <w:sz w:val="20"/>
        </w:rPr>
        <w:t xml:space="preserve">We will also maintain one or more security registrars (each, a “Security Registrar”) with an office in New York, New York. We, upon written notice to the trustee accompanied by an officers’ certificate, may appoint one or more registrars, other than the trustee, for all or any series of debt securities. If we fail to appoint or maintain another entity as registrar, the trustee shall act as such. We or any of our subsidiaries, upon notice to the trustee, may act as registrar. </w:t>
      </w:r>
    </w:p>
    <w:p>
      <w:pPr>
        <w:pStyle w:val="TextBody"/>
        <w:bidi w:val="0"/>
        <w:spacing w:before="240" w:after="0"/>
        <w:jc w:val="left"/>
        <w:rPr>
          <w:rFonts w:ascii="Times New Roman" w:hAnsi="Times New Roman"/>
          <w:sz w:val="20"/>
        </w:rPr>
      </w:pPr>
      <w:r>
        <w:rPr>
          <w:rFonts w:ascii="Times New Roman" w:hAnsi="Times New Roman"/>
          <w:sz w:val="20"/>
        </w:rPr>
        <w:t xml:space="preserve">The Security Registrar will maintain a register reflecting ownership of debt securities outstanding from time to time, and the Paying Agents will make payments on and facilitate transfer of debt securities on our behalf. We may change any Paying Agents or Security Registrars without prior notice to the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any debt securities issued thereunder shall be deemed to be a contract made under the internal laws of the State of New York, and for all purposes shall be construed in accordance with the laws of the State of New York without regard to conflicts of laws principles that would require the application of any other law. The indenture is subject to the provisions of the Trust Indenture Act that are required to be part of the indenture and shall, to the extent applicable, be governed by such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our obligations with respect to the debt securities of any series under the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debt securities of any series issued that have been authenticated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debt securities of any series issued that have not been delivered to the trustee for cancellation have become due and payable, will become due and payable within one year, or are to be called for redemption within one year and we have made arrangements satisfactory to the trustee for the giving of notice of redemption by such trustee in our name and at our expense, and in each case, we have irrevocably deposited or caused to be deposited with the trustee sufficient funds to pay and discharge the entire indebtedness on the notes to pay principal, interest and any premium;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the indenture relating to the satisfaction and discharge of the indenture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elect to have our obligations under the indenture discharged with respect to the outstanding debt securities of any series (“legal defeasance”). Legal defeasance means that we will be deemed to have paid and discharged the entire indebtedness represented by the outstanding debt securities of such series under the indenture,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 of the debt securities to receive principal, interest and any premium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mutilated, destroyed, lost or stolen debt securities and the maintenance of an office or agency for payment for security payments held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have our obligations released with respect to certain covenants in the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“—Events of Default” will no longer constitute an event of default for that series.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the outstanding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for the purpose of making the following payments, specifically pledged as security for, and dedicated solely to the benefits of the holders of the debt securities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in an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that will provide, not later than one day before the due date of any payment, money in an amount;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money and U.S. government obligations (or equivalent government obligations,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sufficient, in the written opinion of a nationally recognized firm of independent registered public accountants to pay and discharge, and which shall be applied by the trustee to pay and discharge, all of the principal (including mandatory sinking fund payments), interest and any premium at due date or maturity;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have delivered to the trustee an opinion of counsel stating that (i) we have received from, or there has been published by, the U.S. Internal Revenue Service, a ruling, or (ii) since the issuance of the debt securities, there has been a change in applicable U.S. federal income tax law, in either case to the effect that the holders of the debt securities of that series will not recognize income, gain or loss for U.S. federal income tax purposes as a result of the deposit, defeasance and discharge to be effected and will be subject to the same U.S. federal income tax as would be the case if the deposit, defeasance and discharge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have delivered to the trustee an opinion of counsel to the effect that the holders of the debt securities of that series will not recognize income, gain or loss for U.S. federal income tax purposes as a result of the deposit and covenant defeasance to be effected and will be subject to the same U.S. federal income tax as would be the case if the deposit and covenant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default with respect to the outstanding debt securities of that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it being understood that this condition is not deemed satisfied until after the 91st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cause the trustee to have a conflicting interest within the meaning of the Trust Indenture Act, assuming all debt securities of that series were in default within the meaning of such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a breach or violation of, or constitute a default under, any other agreement or instrument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with respect to the defeasance or covenant defeasance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whole or in part in the form of one or more global securities that will be deposited with, or on behalf of, a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denominations of $2,000 or any integral multiple of $1,000 in excess thereof and will be issued in registered form only, without coupons.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any global securities will be deposited with, or on behalf of,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the global securities will be represented through book-entry accounts of financial institutions acting on behalf of beneficial owners as direct or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Investors may elect to hold their interests in the global securities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denominations of $2,000 and multiples of $1,000 in excess thereof. Except as set forth below, the global securities may be transferred, in whole and not in part, only to another nominee of DTC or to a successor of DTC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represented by a global security can be exchanged for definitive securities in registered form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depositary for that global security, and we do not appoint a successor depositary within 90 days after receiving that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DTC ceases to be a clearing agency registered or in good standing under the Exchange Act, as amended, or other applicable statute or regulation, and we do not appoint a successor depositary within 90 days after becoming aware that DTC has ceased to be registered as a clearing agency;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that that global security will be exchangeable for definitive securities in registered form and we notify the trustee of our decision.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 </w:t>
      </w:r>
    </w:p>
    <w:p>
      <w:pPr>
        <w:pStyle w:val="TextBody"/>
        <w:bidi w:val="0"/>
        <w:spacing w:before="240" w:after="0"/>
        <w:jc w:val="left"/>
        <w:rPr>
          <w:rFonts w:ascii="Times New Roman" w:hAnsi="Times New Roman"/>
          <w:sz w:val="20"/>
        </w:rPr>
      </w:pPr>
      <w:r>
        <w:rPr>
          <w:rFonts w:ascii="Times New Roman" w:hAnsi="Times New Roman"/>
          <w:sz w:val="20"/>
        </w:rPr>
        <w:t xml:space="preserve">We will make principal and interest payments on all debt securities represented by a global security to the Paying Agent which in turn will make payment to DTC or its nominee, as the case may be, as the sole registered owner and the sole holder of the debt securities represented by a global security for all purposes under the indenture. Accordingly, we, the trustee and any Paying Agent will have no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relating to, or payments made on account of, beneficial ownership interests in a debt security represented by a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 So long as DTC or its nominee is the registered owner of a global security, DTC or its nominee, as the case may be, will be considered the sole owner and holder of the debt securities represented by that global security for all purposes of the debt securities.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Clearstream </w:t>
      </w:r>
    </w:p>
    <w:p>
      <w:pPr>
        <w:pStyle w:val="TextBody"/>
        <w:bidi w:val="0"/>
        <w:spacing w:before="120" w:after="0"/>
        <w:jc w:val="left"/>
        <w:rPr>
          <w:rFonts w:ascii="Times New Roman" w:hAnsi="Times New Roman"/>
          <w:sz w:val="20"/>
        </w:rPr>
      </w:pPr>
      <w:r>
        <w:rPr>
          <w:rFonts w:ascii="Times New Roman" w:hAnsi="Times New Roman"/>
          <w:sz w:val="20"/>
        </w:rPr>
        <w:t xml:space="preserve">Clearstream has advised us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debt securities held beneficially through Clearstream will be credited to cash accounts of Clearstream Participants in accordance with its rules and procedures, to the extent received by the U.S. Depositary for Clearstream.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w:t>
      </w:r>
    </w:p>
    <w:p>
      <w:pPr>
        <w:pStyle w:val="TextBody"/>
        <w:bidi w:val="0"/>
        <w:spacing w:before="120" w:after="0"/>
        <w:jc w:val="left"/>
        <w:rPr>
          <w:rFonts w:ascii="Times New Roman" w:hAnsi="Times New Roman"/>
          <w:sz w:val="20"/>
        </w:rPr>
      </w:pPr>
      <w:r>
        <w:rPr>
          <w:rFonts w:ascii="Times New Roman" w:hAnsi="Times New Roman"/>
          <w:sz w:val="20"/>
        </w:rPr>
        <w:t xml:space="preserve">Euroclear has advised us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(the “Euroclear Operator”), a bank incorporated under the laws of the Kingdom of Belgium,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Euroclear Operator advises us that it is regulated and examined by the Belgian banking and Finance Commission and the National Bank of Belgium. </w:t>
      </w:r>
    </w:p>
    <w:p>
      <w:pPr>
        <w:pStyle w:val="TextBody"/>
        <w:bidi w:val="0"/>
        <w:spacing w:before="240" w:after="0"/>
        <w:jc w:val="left"/>
        <w:rPr>
          <w:rFonts w:ascii="Times New Roman" w:hAnsi="Times New Roman"/>
          <w:sz w:val="20"/>
        </w:rPr>
      </w:pPr>
      <w:r>
        <w:rPr>
          <w:rFonts w:ascii="Times New Roman" w:hAnsi="Times New Roman"/>
          <w:sz w:val="20"/>
        </w:rPr>
        <w:t xml:space="preserve">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debt securities held beneficially through Euroclear will be credited to the cash accounts of Euroclear Participants in accordance with the Terms and Conditions, to the extent received by the U.S. Depositary for Euroclear. </w:t>
      </w:r>
    </w:p>
    <w:p>
      <w:pPr>
        <w:pStyle w:val="TextBody"/>
        <w:bidi w:val="0"/>
        <w:spacing w:before="240" w:after="0"/>
        <w:jc w:val="left"/>
        <w:rPr>
          <w:rFonts w:ascii="Times New Roman" w:hAnsi="Times New Roman"/>
          <w:sz w:val="20"/>
        </w:rPr>
      </w:pPr>
      <w:r>
        <w:rPr>
          <w:rFonts w:ascii="Times New Roman" w:hAnsi="Times New Roman"/>
          <w:sz w:val="20"/>
        </w:rPr>
        <w:t xml:space="preserve">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Global 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Neither we nor any paying agent will have any responsibility for the performance by DTC, Euroclear or Clearstream or their respective direct or indirect participants of their obligations under the rules and procedures governing their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25598_9"/>
      <w:bookmarkEnd w:id="1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We are authorized to issue 750,000,000 shares of common stock, par value $0.01 per share, and 50,000,000 shares of preferred stock, having no stated par value. No shares of preferred stock are currently outstanding. All outstanding shares of common stock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terms of our common stock is not complete and is qualified in its entirety by reference to our fourth amended and restated articles of incorporation and our fourth amended and restated by-laws, each of which is incorporated by reference into this prospectus as exhibits.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per share on all matters to be voted on by shareholders. There is no provision for cumulative voting with regard to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and 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all the rights of the holders of the preferred stock, the holders of shares of common stock shall be entitled to receive, when, as and if declared by the board of directors, out of funds legally available for the payment thereof, dividends payable in cash, stock or otherwise. Upon any liquidation, dissolution or winding up, whether voluntary or involuntary, and subject to the rights of the holders of the preferred stock, the remaining assets of Xylem Inc. available for distribution shall be distributed to the holders of the common stock ratably according to the number of shares of common stock held by such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have no preemptive rights and no rights to convert their common stock into any other securities, and our common stock is not subject to any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of our Articles of Incorporation, our By-laws and Indiana Law </w:t>
      </w:r>
    </w:p>
    <w:p>
      <w:pPr>
        <w:pStyle w:val="TextBody"/>
        <w:bidi w:val="0"/>
        <w:spacing w:before="120" w:after="0"/>
        <w:jc w:val="left"/>
        <w:rPr>
          <w:rFonts w:ascii="Times New Roman" w:hAnsi="Times New Roman"/>
          <w:sz w:val="20"/>
        </w:rPr>
      </w:pPr>
      <w:r>
        <w:rPr>
          <w:rFonts w:ascii="Times New Roman" w:hAnsi="Times New Roman"/>
          <w:sz w:val="20"/>
        </w:rPr>
        <w:t xml:space="preserve">Various provisions contained in our articles of incorporation, our by-laws and Indiana law could delay or discourage some transactions involving an actual or potential change in control of Xylem Inc. and may limit the ability of our shareholders to remove current management or approve transactions that our shareholders may deem to be in their best interests. Provisions in our articles of incorporation and our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establish one or more series of undesignated preferred stock, the terms of which can be determined by the board of directors at the time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authorize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board of directors to supplement, amend, or repeal the by-laws and to adopt new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 special meeting of the shareholders may be called by (i) the board of directors, (ii) the chair of the board of directors, or (iii) the secretary upon the request of at least 25 percent of the outstanding shares of common stock entitled to vote on the matter or matters to be brought before the proposed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shareholder meetings, provide an advance written notice procedure with respect to shareholder nomination for directors and bringing other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directors may fill any vacancies on our board of directors, including newly created board seats resulting from an increase in the authorized number of directors and vacancies resulting from death, retirement, resignation, or removal.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25598_10"/>
      <w:bookmarkEnd w:id="12"/>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preferred stock, depositary shares, purchase contracts, warrants or units that may be offered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25598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through agents, through underwriters or dealers, directly to one or more purchasers, through a combination of any of these methods of sale or through any other methods described in a prospectus supplement. 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dealers may be paid compensation for offering and selling the securities. That compensation may be in the form of discounts, concessions or commissions to be received from us or from the purchasers of the securities. We will identify the specific plan of distribution, including any underwriters, dealers, agents or direct purchasers and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whether or not an underwriter may engage in stabilizing transactions, over-allotment transactions, syndicate covering transactions and penalty bids.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the guidelines of the Financial Industry Regulatory Authority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25598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Gibson, Dunn &amp; Crutcher LLP will pass upon the validity of any securities issued under this prospectus as to matters governed by the laws of the State of New York; Barnes &amp; Thornburg LLP will pass upon the validity of any securities issued under this prospectus as to all matters governed by the laws of the State of Indiana. Any underwriters will be represented by their own legal counsel. </w:t>
      </w:r>
    </w:p>
    <w:p>
      <w:pPr>
        <w:pStyle w:val="TextBody"/>
        <w:bidi w:val="0"/>
        <w:spacing w:before="480" w:after="0"/>
        <w:jc w:val="center"/>
        <w:rPr>
          <w:rFonts w:ascii="Times New Roman" w:hAnsi="Times New Roman"/>
          <w:b/>
          <w:sz w:val="20"/>
        </w:rPr>
      </w:pPr>
      <w:bookmarkStart w:id="15" w:name="tx125598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Xylem Inc. incorporated by reference in this Prospectus, and the effectiveness of Xylem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713"/>
        <w:gridCol w:w="8370"/>
      </w:tblGrid>
      <w:tr>
        <w:trPr/>
        <w:tc>
          <w:tcPr>
            <w:tcW w:w="1122"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b/>
              </w:rPr>
            </w:pPr>
            <w:r>
              <w:rPr>
                <w:b/>
              </w:rPr>
              <w:t>Item 14.</w:t>
            </w:r>
          </w:p>
        </w:tc>
        <w:tc>
          <w:tcPr>
            <w:tcW w:w="837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statement sets forth our expenses in connection with the offering described in this Registration Statement (all of which will be borne by us). All amounts shown are estimated.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98"/>
        <w:gridCol w:w="412"/>
        <w:gridCol w:w="141"/>
        <w:gridCol w:w="725"/>
        <w:gridCol w:w="63"/>
      </w:tblGrid>
      <w:tr>
        <w:trPr/>
        <w:tc>
          <w:tcPr>
            <w:tcW w:w="5598"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98"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1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98"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1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98" w:type="dxa"/>
            <w:tcBorders/>
          </w:tcPr>
          <w:p>
            <w:pPr>
              <w:pStyle w:val="TableContents"/>
              <w:bidi w:val="0"/>
              <w:spacing w:before="0" w:after="0"/>
              <w:jc w:val="left"/>
              <w:rPr>
                <w:rFonts w:ascii="Times New Roman" w:hAnsi="Times New Roman"/>
                <w:sz w:val="20"/>
              </w:rPr>
            </w:pPr>
            <w:r>
              <w:rPr>
                <w:rFonts w:ascii="Times New Roman" w:hAnsi="Times New Roman"/>
                <w:sz w:val="20"/>
              </w:rPr>
              <w:t>Trustee fees and expenses</w:t>
            </w:r>
          </w:p>
        </w:tc>
        <w:tc>
          <w:tcPr>
            <w:tcW w:w="41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5598"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Rules 456(b) and 457(r), we are deferring payment of the registration fee for the securities offered by this prospectus.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expenses are not presently known and will be reflected in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713"/>
        <w:gridCol w:w="8370"/>
      </w:tblGrid>
      <w:tr>
        <w:trPr/>
        <w:tc>
          <w:tcPr>
            <w:tcW w:w="1122"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b/>
              </w:rPr>
            </w:pPr>
            <w:r>
              <w:rPr>
                <w:b/>
              </w:rPr>
              <w:t>Item 15.</w:t>
            </w:r>
          </w:p>
        </w:tc>
        <w:tc>
          <w:tcPr>
            <w:tcW w:w="837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and controlling persons pursuant to the following provisions, or otherwise, we have been advised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Indiana Business Corporation Law (“IBCL”), the provisions of which we are governed by, empowers an Indiana corporation to indemnify present and former directors, officers, employees, or agents or any person who may have served at the request of the corporation as a director, officer, employee, or agent of another corporation (“Eligible Persons”) against liability incurred in any proceeding, civil or criminal, in which the Eligible Person is made a party by reason of being or having been in any such capacity, or arising out of his status as such, if the individual acted in good faith and reasonably believed that (a) the individual was acting in the best interests of the corporation, or (b) if the challenged action was taken other than in the individual’s official capacity as an officer, director, employee or agent, the individual’s conduct was at least not opposed to the corporation’s best interests, or (c) if in a criminal proceeding, either the individual had reasonable cause to believe his conduct was lawful or no reasonable cause to believe his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The IBCL further empowers a corporation to pay or reimburse the reasonable expenses incurred by an Eligible Person in connection with the defense of any such claim, including counsel fees; and, unless limited by its articles of incorporation, the corporation is required to indemnify an Eligible Person against reasonable expenses if he is wholly successful in any such proceeding, on the merits or otherwise. Under certain circumstances, a corporation may pay or reimburse an Eligible Person for reasonable expenses prior to final disposition of the matter. Unless a corporation’s articles of incorporation provide otherwise, an Eligible Person may apply for indemnification to a court which may order indemnification upon a determination that the Eligible Person is entitled to mandatory indemnification for reasonable expenses or that the Eligible Person is fairly and reasonably entitled to indemnification in view of all the relevant circumstances without regard to whether his actions satisfied the appropriate standard of conduct. </w:t>
      </w:r>
    </w:p>
    <w:p>
      <w:pPr>
        <w:pStyle w:val="TextBody"/>
        <w:bidi w:val="0"/>
        <w:spacing w:before="240" w:after="0"/>
        <w:jc w:val="left"/>
        <w:rPr>
          <w:rFonts w:ascii="Times New Roman" w:hAnsi="Times New Roman"/>
          <w:sz w:val="20"/>
        </w:rPr>
      </w:pPr>
      <w:r>
        <w:rPr>
          <w:rFonts w:ascii="Times New Roman" w:hAnsi="Times New Roman"/>
          <w:sz w:val="20"/>
        </w:rPr>
        <w:t xml:space="preserve">Before a corporation may indemnify any Eligible Person against liability or reasonable expenses under the IBCL, a quorum consisting of directors who are not parties to the proceeding must (1) determine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indemnification is permissible in the specific circumstances because the Eligible Person met the requisite standard of conduct, (2) authorize the corporation to indemnify the Eligible Person and (3) if appropriate, evaluate the reasonableness of expenses for which indemnification is sought. If it is not possible to obtain a quorum of uninvolved directors, a committee of the board consisting of at least two uninvolved directors, the special legal counsel selected by the Board or such a committee, or the shareholders of the corporation shall make such determinations, authorizations and evaluations.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the IBCL states that the indemnification it provides shall not be deemed exclusive of any other rights to which those indemnified may be entitled under any provision of a corporation’s articles of incorporation or by-laws, resolution of the board of directors or shareholders, or any other authorization adopted after notice by a majority vote of all the voting shares then issued and outstanding. The IBCL also empowers an Indiana corporation to purchase and maintain insurance on behalf of any Eligible Person against any liability asserted against or incurred by him in any capacity as such, or arising out of his status as such, whether or not the corporation would have had the power to indemnify him against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Our Articles of Incorporation provide that no director or officer shall be personally liable to the Company or any of our shareholders for damages for breach of fiduciary duty as a director or officer, except for liability for breach of duty if such breach constitutes willful misconduct or recklessness.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for mandatory indemnification, to the fullest extent permitted by law, of our directors and officers against all expenses (including attorneys’ fees), judgments, fines and amounts paid in settlement actually and reasonably incurred by such person in connection with any threatened, pending or completed investigation, claim, action, suit or proceeding, whether civil, criminal, administrative or investigative, including any action, suit or proceeding by or in the right of the Company, in which such person is or was involved in any manner (including as a party or witness) by reason of the fact that such person is or was a director, officer, employee or agent of the Company or is or was serving at the request of the Company as a director, officer, employee, fiduciary or agent of another corporation, partnership, joint venture, trust or other enterprise (including any employee benefit plan). The right to indemnification is a contract right and includes the right to advancement of expenses in accordance with specified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provided by our Articles of Incorporation and By-laws are not exclusive of any other rights to which any indemnified person may otherwise be entitled.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our directors, pursuant to which we have agreed to indemnify and hold harmless, to the fullest extent permitted by applicable law and our By-laws, each such director against any and all expenses (including attorney’s fees and related disbursements, appeal bonds and other out-of-pocket costs), judgments, amounts paid on settlement, liabilities or actually and reasonably incurred by such director by reason of the fact that such person is or was a director (or, at the request of the Company, as a director, officer, employee, fiduciary or other agent of another corporation, partnership, limited liability company, joint venture, trust or other enterprise), or by reason of any actual or alleged action or omission to act taken or omitted in any such capacity. The indemnification agreements set forth certain procedures that will apply in the event of a claim for indemnification thereunder. In addition, the agreements provide for the advancement of expenses incurred by a director, subject to certain exceptions, in connection with any action, suit or proceeding covered by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directors’ and officers’ liability insurance, the effect of which is to indemnify our directors and officers and the directors and officers of our subsidiaries against certain losses caused by errors, misstatement or misleading statements, wrongful acts, omissions, neglect or breach of duty by them or similar matters claimed against them in their capacities as directors or officers. This insurance is subject to various deductibles and exclusions from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22"/>
        <w:gridCol w:w="714"/>
        <w:gridCol w:w="8369"/>
      </w:tblGrid>
      <w:tr>
        <w:trPr/>
        <w:tc>
          <w:tcPr>
            <w:tcW w:w="1122"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b/>
              </w:rPr>
            </w:pPr>
            <w:r>
              <w:rPr>
                <w:b/>
              </w:rPr>
              <w:t>Item 16.</w:t>
            </w:r>
          </w:p>
        </w:tc>
        <w:tc>
          <w:tcPr>
            <w:tcW w:w="836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Set forth below is a list of exhibits included as part of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
        <w:gridCol w:w="372"/>
        <w:gridCol w:w="4563"/>
        <w:gridCol w:w="220"/>
        <w:gridCol w:w="4176"/>
      </w:tblGrid>
      <w:tr>
        <w:trPr/>
        <w:tc>
          <w:tcPr>
            <w:tcW w:w="874"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456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4176" w:type="dxa"/>
            <w:tcBorders/>
            <w:vAlign w:val="center"/>
          </w:tcPr>
          <w:p>
            <w:pPr>
              <w:pStyle w:val="TableContents"/>
              <w:bidi w:val="0"/>
              <w:spacing w:before="0" w:after="283"/>
              <w:jc w:val="left"/>
              <w:rPr>
                <w:sz w:val="4"/>
                <w:szCs w:val="4"/>
              </w:rPr>
            </w:pPr>
            <w:r>
              <w:rPr>
                <w:sz w:val="4"/>
                <w:szCs w:val="4"/>
              </w:rPr>
            </w:r>
          </w:p>
        </w:tc>
      </w:tr>
      <w:tr>
        <w:trPr/>
        <w:tc>
          <w:tcPr>
            <w:tcW w:w="874" w:type="dxa"/>
            <w:tcBorders/>
            <w:vAlign w:val="bottom"/>
          </w:tcPr>
          <w:p>
            <w:pPr>
              <w:pStyle w:val="TableContents"/>
              <w:bidi w:val="0"/>
              <w:spacing w:before="0" w:after="283"/>
              <w:jc w:val="left"/>
              <w:rPr>
                <w:b/>
              </w:rPr>
            </w:pPr>
            <w:r>
              <w:rPr>
                <w:b/>
              </w:rPr>
              <w:t xml:space="preserve">Exhibit </w:t>
              <w:br/>
              <w:t>Number</w:t>
            </w:r>
          </w:p>
        </w:tc>
        <w:tc>
          <w:tcPr>
            <w:tcW w:w="372" w:type="dxa"/>
            <w:tcBorders/>
            <w:vAlign w:val="bottom"/>
          </w:tcPr>
          <w:p>
            <w:pPr>
              <w:pStyle w:val="TableContents"/>
              <w:bidi w:val="0"/>
              <w:spacing w:before="0" w:after="283"/>
              <w:jc w:val="left"/>
              <w:rPr/>
            </w:pPr>
            <w:r>
              <w:rPr/>
              <w:t>  </w:t>
            </w:r>
          </w:p>
        </w:tc>
        <w:tc>
          <w:tcPr>
            <w:tcW w:w="4563" w:type="dxa"/>
            <w:tcBorders/>
            <w:vAlign w:val="bottom"/>
          </w:tcPr>
          <w:p>
            <w:pPr>
              <w:pStyle w:val="TableContents"/>
              <w:bidi w:val="0"/>
              <w:spacing w:before="0" w:after="283"/>
              <w:jc w:val="center"/>
              <w:rPr>
                <w:b/>
              </w:rPr>
            </w:pPr>
            <w:r>
              <w:rPr>
                <w:b/>
              </w:rPr>
              <w:t>Description</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center"/>
              <w:rPr>
                <w:b/>
              </w:rPr>
            </w:pPr>
            <w:r>
              <w:rPr>
                <w:b/>
              </w:rPr>
              <w:t xml:space="preserve">Incorporation by Reference (where a </w:t>
              <w:br/>
              <w:t xml:space="preserve">report or </w:t>
              <w:br/>
              <w:t xml:space="preserve">registration statement is indicated </w:t>
              <w:br/>
              <w:t xml:space="preserve">below, that document </w:t>
              <w:br/>
              <w:t xml:space="preserve">has been previously filed with the SEC </w:t>
              <w:br/>
              <w:t xml:space="preserve">and the applicable </w:t>
              <w:br/>
              <w:t xml:space="preserve">exhibit is incorporated by reference </w:t>
              <w:br/>
              <w:t>thereto)</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1.1</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Form of Underwriting Agreement.</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i/>
              </w:rPr>
            </w:pPr>
            <w:r>
              <w:rPr>
                <w:i/>
              </w:rPr>
              <w:t>To be filed by amendment or via Form 8-K.</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4.1</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Fourth Amended and Restated Articles of Incorporation of the Xylem Inc.</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r:id="rId11">
              <w:r>
                <w:rPr>
                  <w:rStyle w:val="InternetLink"/>
                </w:rPr>
                <w:t xml:space="preserve">Exhibit 3.1 to Xylem Inc.’s </w:t>
                <w:br/>
                <w:t xml:space="preserve">Current Report on Form 8-K filed on May  15, 2017 (File No. 1-35229).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4.2</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Fifth Amended and Restated By-laws of Xylem Inc.</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r:id="rId12">
              <w:r>
                <w:rPr>
                  <w:rStyle w:val="InternetLink"/>
                </w:rPr>
                <w:t xml:space="preserve">Exhibit 3.1 to Xylem Inc.’s </w:t>
                <w:br/>
                <w:t xml:space="preserve">Current Report on Form 8-K filed on November  15, 2022 (File No. 1-35229).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4.3</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Senior Indenture, dated March 11, 2016, by and between Xylem Inc. and Deutsche Bank Trust Company Americas, as trustee.</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r:id="rId13">
              <w:r>
                <w:rPr>
                  <w:rStyle w:val="InternetLink"/>
                </w:rPr>
                <w:t xml:space="preserve">Exhibit 4.1 to Xylem Inc.’s </w:t>
                <w:br/>
                <w:t xml:space="preserve">Current Report on Form 8-K filed on March  11, 2016 (File No. 1-35229).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4.4</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First Supplemental Indenture, dated March 11, 2016, by and between Xylem Inc. and Deutsche Bank Trust Company Americas, as trustee.</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r:id="rId14">
              <w:r>
                <w:rPr>
                  <w:rStyle w:val="InternetLink"/>
                </w:rPr>
                <w:t xml:space="preserve">Exhibit 4.2 to Xylem Inc.’s Form 8-K filed on March 11, 2016 (File No. 1-35229).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4.5</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Form of Subordinated Indenture of Xylem Inc.</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r:id="rId15">
              <w:r>
                <w:rPr>
                  <w:rStyle w:val="InternetLink"/>
                </w:rPr>
                <w:t xml:space="preserve">Exhibit 4.4 to Xylem Inc.’s </w:t>
                <w:br/>
                <w:t xml:space="preserve">Registration Statement on Form S-3 filed on October  29, 2015 (File No. 333-207672).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5.1</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Opinion of Gibson, Dunn &amp; Crutcher LLP.</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w:anchor="d125598dex51.htm">
              <w:r>
                <w:rPr>
                  <w:rStyle w:val="InternetLink"/>
                  <w:i/>
                </w:rPr>
                <w:t xml:space="preserve">Filed herewith.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5.2</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Opinion of Barnes &amp; Thornburg LLP.</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w:anchor="d125598dex52.htm">
              <w:r>
                <w:rPr>
                  <w:rStyle w:val="InternetLink"/>
                  <w:i/>
                </w:rPr>
                <w:t>Filed herewith.</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23.1</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Consent of Deloitte &amp; Touche LLP.</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w:anchor="d125598dex231.htm">
              <w:r>
                <w:rPr>
                  <w:rStyle w:val="InternetLink"/>
                  <w:i/>
                </w:rPr>
                <w:t xml:space="preserve">Filed herewith.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23.2</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Consent of Gibson, Dunn &amp; Crutcher LLP.</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w:anchor="d125598dex51.htm">
              <w:r>
                <w:rPr>
                  <w:rStyle w:val="InternetLink"/>
                  <w:i/>
                </w:rPr>
                <w:t xml:space="preserve">Included in Exhibit 5.1 filed herewith.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23.3</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Consent of Barnes &amp; Thornburg LLP.</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w:anchor="d125598dex52.htm">
              <w:r>
                <w:rPr>
                  <w:rStyle w:val="InternetLink"/>
                  <w:i/>
                </w:rPr>
                <w:t xml:space="preserve">Included in Exhibit 5.2 filed herewith.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24.1</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Powers of Attorney of Xylem Inc.</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w:anchor="ii125598_sig">
              <w:r>
                <w:rPr>
                  <w:rStyle w:val="InternetLink"/>
                  <w:i/>
                </w:rPr>
                <w:t xml:space="preserve">Included on the signature pages hereto.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25.1</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Statement of Eligibility of Trustee in Respect of Senior Indenture of Xylem Inc.</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w:anchor="d125598dex251.htm">
              <w:r>
                <w:rPr>
                  <w:rStyle w:val="InternetLink"/>
                  <w:i/>
                </w:rPr>
                <w:t xml:space="preserve">Filed herewith.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25.2</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Statement of Eligibility of Trustee in Respect of Subordinated Indenture of Xylem Inc.</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w:anchor="d125598dex252.htm">
              <w:r>
                <w:rPr>
                  <w:rStyle w:val="InternetLink"/>
                  <w:i/>
                </w:rPr>
                <w:t xml:space="preserve">Filed herewith.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35" w:type="dxa"/>
            <w:gridSpan w:val="2"/>
            <w:tcBorders/>
            <w:vAlign w:val="center"/>
          </w:tcPr>
          <w:p>
            <w:pPr>
              <w:pStyle w:val="TableContents"/>
              <w:bidi w:val="0"/>
              <w:spacing w:before="0" w:after="283"/>
              <w:jc w:val="left"/>
              <w:rPr>
                <w:sz w:val="4"/>
                <w:szCs w:val="4"/>
              </w:rPr>
            </w:pPr>
            <w:r>
              <w:rPr>
                <w:sz w:val="4"/>
                <w:szCs w:val="4"/>
              </w:rPr>
            </w:r>
          </w:p>
        </w:tc>
        <w:tc>
          <w:tcPr>
            <w:tcW w:w="4396"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107</w:t>
            </w:r>
          </w:p>
        </w:tc>
        <w:tc>
          <w:tcPr>
            <w:tcW w:w="372" w:type="dxa"/>
            <w:tcBorders/>
            <w:vAlign w:val="bottom"/>
          </w:tcPr>
          <w:p>
            <w:pPr>
              <w:pStyle w:val="TableContents"/>
              <w:bidi w:val="0"/>
              <w:spacing w:before="0" w:after="283"/>
              <w:jc w:val="left"/>
              <w:rPr/>
            </w:pPr>
            <w:r>
              <w:rPr/>
              <w:t>  </w:t>
            </w:r>
          </w:p>
        </w:tc>
        <w:tc>
          <w:tcPr>
            <w:tcW w:w="4563" w:type="dxa"/>
            <w:tcBorders/>
          </w:tcPr>
          <w:p>
            <w:pPr>
              <w:pStyle w:val="TableContents"/>
              <w:bidi w:val="0"/>
              <w:spacing w:before="0" w:after="283"/>
              <w:jc w:val="left"/>
              <w:rPr/>
            </w:pPr>
            <w:r>
              <w:rPr/>
              <w:t>Filing Fee Table</w:t>
            </w:r>
          </w:p>
        </w:tc>
        <w:tc>
          <w:tcPr>
            <w:tcW w:w="22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hyperlink w:anchor="d125598dexfilingfees.htm">
              <w:r>
                <w:rPr>
                  <w:rStyle w:val="InternetLink"/>
                  <w:i/>
                </w:rPr>
                <w:t xml:space="preserve">Filed herewith.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714"/>
        <w:gridCol w:w="8369"/>
      </w:tblGrid>
      <w:tr>
        <w:trPr/>
        <w:tc>
          <w:tcPr>
            <w:tcW w:w="1122"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b/>
              </w:rPr>
            </w:pPr>
            <w:r>
              <w:rPr>
                <w:b/>
              </w:rPr>
              <w:t>Item 17.</w:t>
            </w:r>
          </w:p>
        </w:tc>
        <w:tc>
          <w:tcPr>
            <w:tcW w:w="836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(i), (ii) and (iii)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(7)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ii125598_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Washington, District of Columbia, on August 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0"/>
        <w:gridCol w:w="60"/>
        <w:gridCol w:w="3612"/>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XYLEM INC.</w:t>
            </w:r>
          </w:p>
        </w:tc>
      </w:tr>
      <w:tr>
        <w:trPr>
          <w:trHeight w:val="240" w:hRule="atLeast"/>
        </w:trPr>
        <w:tc>
          <w:tcPr>
            <w:tcW w:w="410" w:type="dxa"/>
            <w:tcBorders/>
            <w:vAlign w:val="center"/>
          </w:tcPr>
          <w:p>
            <w:pPr>
              <w:pStyle w:val="TableContents"/>
              <w:bidi w:val="0"/>
              <w:spacing w:before="0" w:after="283"/>
              <w:jc w:val="left"/>
              <w:rPr>
                <w:sz w:val="4"/>
                <w:szCs w:val="4"/>
              </w:rPr>
            </w:pPr>
            <w:r>
              <w:rPr>
                <w:sz w:val="4"/>
                <w:szCs w:val="4"/>
              </w:rPr>
            </w:r>
          </w:p>
        </w:tc>
        <w:tc>
          <w:tcPr>
            <w:tcW w:w="3672" w:type="dxa"/>
            <w:gridSpan w:val="2"/>
            <w:tcBorders/>
            <w:vAlign w:val="center"/>
          </w:tcPr>
          <w:p>
            <w:pPr>
              <w:pStyle w:val="TableContents"/>
              <w:bidi w:val="0"/>
              <w:spacing w:before="0" w:after="283"/>
              <w:jc w:val="left"/>
              <w:rPr>
                <w:sz w:val="4"/>
                <w:szCs w:val="4"/>
              </w:rPr>
            </w:pPr>
            <w:r>
              <w:rPr>
                <w:sz w:val="4"/>
                <w:szCs w:val="4"/>
              </w:rPr>
            </w:r>
          </w:p>
        </w:tc>
      </w:tr>
      <w:tr>
        <w:trPr/>
        <w:tc>
          <w:tcPr>
            <w:tcW w:w="41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1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F. Pine</w:t>
            </w:r>
          </w:p>
        </w:tc>
      </w:tr>
      <w:tr>
        <w:trPr/>
        <w:tc>
          <w:tcPr>
            <w:tcW w:w="4082" w:type="dxa"/>
            <w:gridSpan w:val="3"/>
            <w:tcBorders/>
          </w:tcPr>
          <w:p>
            <w:pPr>
              <w:pStyle w:val="TableContents"/>
              <w:bidi w:val="0"/>
              <w:spacing w:before="0" w:after="283"/>
              <w:jc w:val="left"/>
              <w:rPr/>
            </w:pPr>
            <w:r>
              <w:rPr/>
              <w:t>Name: Matthew F. Pine</w:t>
            </w:r>
          </w:p>
        </w:tc>
      </w:tr>
      <w:tr>
        <w:trPr/>
        <w:tc>
          <w:tcPr>
            <w:tcW w:w="4082" w:type="dxa"/>
            <w:gridSpan w:val="3"/>
            <w:tcBorders/>
          </w:tcPr>
          <w:p>
            <w:pPr>
              <w:pStyle w:val="TableContents"/>
              <w:bidi w:val="0"/>
              <w:spacing w:before="0" w:after="283"/>
              <w:jc w:val="left"/>
              <w:rPr/>
            </w:pPr>
            <w:r>
              <w:rPr/>
              <w:t>Title: 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Matthew F. Pine and Stacy Cozad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76"/>
        <w:gridCol w:w="120"/>
        <w:gridCol w:w="3599"/>
        <w:gridCol w:w="195"/>
        <w:gridCol w:w="1915"/>
      </w:tblGrid>
      <w:tr>
        <w:trPr/>
        <w:tc>
          <w:tcPr>
            <w:tcW w:w="43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9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43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5" w:type="dxa"/>
            <w:tcBorders/>
            <w:vAlign w:val="bottom"/>
          </w:tcPr>
          <w:p>
            <w:pPr>
              <w:pStyle w:val="TableContents"/>
              <w:bidi w:val="0"/>
              <w:spacing w:before="0" w:after="283"/>
              <w:jc w:val="left"/>
              <w:rPr/>
            </w:pPr>
            <w:r>
              <w:rPr/>
              <w:t> </w:t>
            </w:r>
          </w:p>
        </w:tc>
        <w:tc>
          <w:tcPr>
            <w:tcW w:w="19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376"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r>
      <w:tr>
        <w:trPr/>
        <w:tc>
          <w:tcPr>
            <w:tcW w:w="43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Matthew F. Pine</w:t>
            </w:r>
          </w:p>
          <w:p>
            <w:pPr>
              <w:pStyle w:val="TableContents"/>
              <w:bidi w:val="0"/>
              <w:spacing w:before="0" w:after="20"/>
              <w:jc w:val="center"/>
              <w:rPr>
                <w:rFonts w:ascii="Times New Roman" w:hAnsi="Times New Roman"/>
                <w:b/>
                <w:sz w:val="20"/>
              </w:rPr>
            </w:pPr>
            <w:r>
              <w:rPr>
                <w:rFonts w:ascii="Times New Roman" w:hAnsi="Times New Roman"/>
                <w:b/>
                <w:sz w:val="20"/>
              </w:rPr>
              <w:t>Matthew F. Pine</w:t>
            </w:r>
          </w:p>
        </w:tc>
        <w:tc>
          <w:tcPr>
            <w:tcW w:w="120" w:type="dxa"/>
            <w:tcBorders/>
            <w:vAlign w:val="bottom"/>
          </w:tcPr>
          <w:p>
            <w:pPr>
              <w:pStyle w:val="TableContents"/>
              <w:bidi w:val="0"/>
              <w:spacing w:before="0" w:after="283"/>
              <w:jc w:val="left"/>
              <w:rPr/>
            </w:pPr>
            <w:r>
              <w:rPr/>
              <w:t>  </w:t>
            </w:r>
          </w:p>
        </w:tc>
        <w:tc>
          <w:tcPr>
            <w:tcW w:w="3599" w:type="dxa"/>
            <w:tcBorders/>
          </w:tcPr>
          <w:p>
            <w:pPr>
              <w:pStyle w:val="TableContents"/>
              <w:bidi w:val="0"/>
              <w:spacing w:before="0" w:after="283"/>
              <w:jc w:val="center"/>
              <w:rPr/>
            </w:pPr>
            <w:r>
              <w:rPr/>
              <w:t>President, Chief Executive Officer and Director</w:t>
              <w:br/>
              <w:t>(Principal Executive Officer)</w:t>
            </w:r>
          </w:p>
        </w:tc>
        <w:tc>
          <w:tcPr>
            <w:tcW w:w="195"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283"/>
              <w:jc w:val="center"/>
              <w:rPr/>
            </w:pPr>
            <w:r>
              <w:rPr/>
              <w:t>August 3, 2026</w:t>
            </w:r>
          </w:p>
        </w:tc>
      </w:tr>
      <w:tr>
        <w:trPr>
          <w:trHeight w:val="240" w:hRule="atLeast"/>
        </w:trPr>
        <w:tc>
          <w:tcPr>
            <w:tcW w:w="4376"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r>
      <w:tr>
        <w:trPr/>
        <w:tc>
          <w:tcPr>
            <w:tcW w:w="43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William K. Grogan</w:t>
            </w:r>
          </w:p>
          <w:p>
            <w:pPr>
              <w:pStyle w:val="TableContents"/>
              <w:bidi w:val="0"/>
              <w:spacing w:before="0" w:after="20"/>
              <w:jc w:val="center"/>
              <w:rPr>
                <w:rFonts w:ascii="Times New Roman" w:hAnsi="Times New Roman"/>
                <w:b/>
                <w:sz w:val="20"/>
              </w:rPr>
            </w:pPr>
            <w:r>
              <w:rPr>
                <w:rFonts w:ascii="Times New Roman" w:hAnsi="Times New Roman"/>
                <w:b/>
                <w:sz w:val="20"/>
              </w:rPr>
              <w:t>William K. Grogan</w:t>
            </w:r>
          </w:p>
        </w:tc>
        <w:tc>
          <w:tcPr>
            <w:tcW w:w="120" w:type="dxa"/>
            <w:tcBorders/>
            <w:vAlign w:val="bottom"/>
          </w:tcPr>
          <w:p>
            <w:pPr>
              <w:pStyle w:val="TableContents"/>
              <w:bidi w:val="0"/>
              <w:spacing w:before="0" w:after="283"/>
              <w:jc w:val="left"/>
              <w:rPr/>
            </w:pPr>
            <w:r>
              <w:rPr/>
              <w:t>  </w:t>
            </w:r>
          </w:p>
        </w:tc>
        <w:tc>
          <w:tcPr>
            <w:tcW w:w="3599" w:type="dxa"/>
            <w:tcBorders/>
          </w:tcPr>
          <w:p>
            <w:pPr>
              <w:pStyle w:val="TableContents"/>
              <w:bidi w:val="0"/>
              <w:spacing w:before="0" w:after="283"/>
              <w:jc w:val="center"/>
              <w:rPr/>
            </w:pPr>
            <w:r>
              <w:rPr/>
              <w:t>Executive Vice President &amp; Chief Financial Officer</w:t>
              <w:br/>
              <w:t>(Principal Financial Officer)</w:t>
            </w:r>
          </w:p>
        </w:tc>
        <w:tc>
          <w:tcPr>
            <w:tcW w:w="195"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283"/>
              <w:jc w:val="center"/>
              <w:rPr/>
            </w:pPr>
            <w:r>
              <w:rPr/>
              <w:t>August 3, 2026</w:t>
            </w:r>
          </w:p>
        </w:tc>
      </w:tr>
      <w:tr>
        <w:trPr>
          <w:trHeight w:val="240" w:hRule="atLeast"/>
        </w:trPr>
        <w:tc>
          <w:tcPr>
            <w:tcW w:w="4376"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r>
      <w:tr>
        <w:trPr/>
        <w:tc>
          <w:tcPr>
            <w:tcW w:w="43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Geri-Michelle McShane</w:t>
            </w:r>
          </w:p>
          <w:p>
            <w:pPr>
              <w:pStyle w:val="TableContents"/>
              <w:bidi w:val="0"/>
              <w:spacing w:before="0" w:after="20"/>
              <w:jc w:val="center"/>
              <w:rPr>
                <w:rFonts w:ascii="Times New Roman" w:hAnsi="Times New Roman"/>
                <w:b/>
                <w:sz w:val="20"/>
              </w:rPr>
            </w:pPr>
            <w:r>
              <w:rPr>
                <w:rFonts w:ascii="Times New Roman" w:hAnsi="Times New Roman"/>
                <w:b/>
                <w:sz w:val="20"/>
              </w:rPr>
              <w:t>Geri-Michelle McShane</w:t>
            </w:r>
          </w:p>
        </w:tc>
        <w:tc>
          <w:tcPr>
            <w:tcW w:w="120" w:type="dxa"/>
            <w:tcBorders/>
            <w:vAlign w:val="bottom"/>
          </w:tcPr>
          <w:p>
            <w:pPr>
              <w:pStyle w:val="TableContents"/>
              <w:bidi w:val="0"/>
              <w:spacing w:before="0" w:after="283"/>
              <w:jc w:val="left"/>
              <w:rPr/>
            </w:pPr>
            <w:r>
              <w:rPr/>
              <w:t>  </w:t>
            </w:r>
          </w:p>
        </w:tc>
        <w:tc>
          <w:tcPr>
            <w:tcW w:w="3599"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95"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283"/>
              <w:jc w:val="center"/>
              <w:rPr/>
            </w:pPr>
            <w:r>
              <w:rPr/>
              <w:t>August 3, 2026</w:t>
            </w:r>
          </w:p>
        </w:tc>
      </w:tr>
      <w:tr>
        <w:trPr>
          <w:trHeight w:val="240" w:hRule="atLeast"/>
        </w:trPr>
        <w:tc>
          <w:tcPr>
            <w:tcW w:w="4376"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r>
      <w:tr>
        <w:trPr/>
        <w:tc>
          <w:tcPr>
            <w:tcW w:w="43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F. Friel</w:t>
            </w:r>
          </w:p>
          <w:p>
            <w:pPr>
              <w:pStyle w:val="TableContents"/>
              <w:bidi w:val="0"/>
              <w:spacing w:before="0" w:after="20"/>
              <w:jc w:val="center"/>
              <w:rPr>
                <w:rFonts w:ascii="Times New Roman" w:hAnsi="Times New Roman"/>
                <w:b/>
                <w:sz w:val="20"/>
              </w:rPr>
            </w:pPr>
            <w:r>
              <w:rPr>
                <w:rFonts w:ascii="Times New Roman" w:hAnsi="Times New Roman"/>
                <w:b/>
                <w:sz w:val="20"/>
              </w:rPr>
              <w:t>Robert F. Friel</w:t>
            </w:r>
          </w:p>
        </w:tc>
        <w:tc>
          <w:tcPr>
            <w:tcW w:w="120" w:type="dxa"/>
            <w:tcBorders/>
            <w:vAlign w:val="bottom"/>
          </w:tcPr>
          <w:p>
            <w:pPr>
              <w:pStyle w:val="TableContents"/>
              <w:bidi w:val="0"/>
              <w:spacing w:before="0" w:after="283"/>
              <w:jc w:val="left"/>
              <w:rPr/>
            </w:pPr>
            <w:r>
              <w:rPr/>
              <w:t>  </w:t>
            </w:r>
          </w:p>
        </w:tc>
        <w:tc>
          <w:tcPr>
            <w:tcW w:w="3599" w:type="dxa"/>
            <w:tcBorders/>
          </w:tcPr>
          <w:p>
            <w:pPr>
              <w:pStyle w:val="TableContents"/>
              <w:bidi w:val="0"/>
              <w:spacing w:before="0" w:after="283"/>
              <w:jc w:val="center"/>
              <w:rPr/>
            </w:pPr>
            <w:r>
              <w:rPr/>
              <w:t>Chair of the Board of Directors</w:t>
            </w:r>
          </w:p>
        </w:tc>
        <w:tc>
          <w:tcPr>
            <w:tcW w:w="195"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283"/>
              <w:jc w:val="center"/>
              <w:rPr/>
            </w:pPr>
            <w:r>
              <w:rPr/>
              <w:t>August 3, 2026</w:t>
            </w:r>
          </w:p>
        </w:tc>
      </w:tr>
      <w:tr>
        <w:trPr>
          <w:trHeight w:val="240" w:hRule="atLeast"/>
        </w:trPr>
        <w:tc>
          <w:tcPr>
            <w:tcW w:w="4376"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r>
      <w:tr>
        <w:trPr/>
        <w:tc>
          <w:tcPr>
            <w:tcW w:w="43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Earl R. Ellis</w:t>
            </w:r>
          </w:p>
          <w:p>
            <w:pPr>
              <w:pStyle w:val="TableContents"/>
              <w:bidi w:val="0"/>
              <w:spacing w:before="0" w:after="20"/>
              <w:jc w:val="center"/>
              <w:rPr>
                <w:rFonts w:ascii="Times New Roman" w:hAnsi="Times New Roman"/>
                <w:b/>
                <w:sz w:val="20"/>
              </w:rPr>
            </w:pPr>
            <w:r>
              <w:rPr>
                <w:rFonts w:ascii="Times New Roman" w:hAnsi="Times New Roman"/>
                <w:b/>
                <w:sz w:val="20"/>
              </w:rPr>
              <w:t>Earl R. Ellis</w:t>
            </w:r>
          </w:p>
        </w:tc>
        <w:tc>
          <w:tcPr>
            <w:tcW w:w="120" w:type="dxa"/>
            <w:tcBorders/>
            <w:vAlign w:val="bottom"/>
          </w:tcPr>
          <w:p>
            <w:pPr>
              <w:pStyle w:val="TableContents"/>
              <w:bidi w:val="0"/>
              <w:spacing w:before="0" w:after="283"/>
              <w:jc w:val="left"/>
              <w:rPr/>
            </w:pPr>
            <w:r>
              <w:rPr/>
              <w:t>  </w:t>
            </w:r>
          </w:p>
        </w:tc>
        <w:tc>
          <w:tcPr>
            <w:tcW w:w="3599" w:type="dxa"/>
            <w:tcBorders/>
          </w:tcPr>
          <w:p>
            <w:pPr>
              <w:pStyle w:val="TableContents"/>
              <w:bidi w:val="0"/>
              <w:spacing w:before="0" w:after="283"/>
              <w:jc w:val="center"/>
              <w:rPr/>
            </w:pPr>
            <w:r>
              <w:rPr/>
              <w:t>Director</w:t>
            </w:r>
          </w:p>
        </w:tc>
        <w:tc>
          <w:tcPr>
            <w:tcW w:w="195"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283"/>
              <w:jc w:val="center"/>
              <w:rPr/>
            </w:pPr>
            <w:r>
              <w:rPr/>
              <w:t>August 3, 2026</w:t>
            </w:r>
          </w:p>
        </w:tc>
      </w:tr>
      <w:tr>
        <w:trPr>
          <w:trHeight w:val="240" w:hRule="atLeast"/>
        </w:trPr>
        <w:tc>
          <w:tcPr>
            <w:tcW w:w="4376"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r>
      <w:tr>
        <w:trPr/>
        <w:tc>
          <w:tcPr>
            <w:tcW w:w="43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Lisa Glatch</w:t>
            </w:r>
          </w:p>
          <w:p>
            <w:pPr>
              <w:pStyle w:val="TableContents"/>
              <w:bidi w:val="0"/>
              <w:spacing w:before="0" w:after="20"/>
              <w:jc w:val="center"/>
              <w:rPr>
                <w:rFonts w:ascii="Times New Roman" w:hAnsi="Times New Roman"/>
                <w:b/>
                <w:sz w:val="20"/>
              </w:rPr>
            </w:pPr>
            <w:r>
              <w:rPr>
                <w:rFonts w:ascii="Times New Roman" w:hAnsi="Times New Roman"/>
                <w:b/>
                <w:sz w:val="20"/>
              </w:rPr>
              <w:t>Lisa Glatch</w:t>
            </w:r>
          </w:p>
        </w:tc>
        <w:tc>
          <w:tcPr>
            <w:tcW w:w="120" w:type="dxa"/>
            <w:tcBorders/>
            <w:vAlign w:val="bottom"/>
          </w:tcPr>
          <w:p>
            <w:pPr>
              <w:pStyle w:val="TableContents"/>
              <w:bidi w:val="0"/>
              <w:spacing w:before="0" w:after="283"/>
              <w:jc w:val="left"/>
              <w:rPr/>
            </w:pPr>
            <w:r>
              <w:rPr/>
              <w:t>  </w:t>
            </w:r>
          </w:p>
        </w:tc>
        <w:tc>
          <w:tcPr>
            <w:tcW w:w="3599" w:type="dxa"/>
            <w:tcBorders/>
          </w:tcPr>
          <w:p>
            <w:pPr>
              <w:pStyle w:val="TableContents"/>
              <w:bidi w:val="0"/>
              <w:spacing w:before="0" w:after="283"/>
              <w:jc w:val="center"/>
              <w:rPr/>
            </w:pPr>
            <w:r>
              <w:rPr/>
              <w:t>Director</w:t>
            </w:r>
          </w:p>
        </w:tc>
        <w:tc>
          <w:tcPr>
            <w:tcW w:w="195"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283"/>
              <w:jc w:val="center"/>
              <w:rPr/>
            </w:pPr>
            <w:r>
              <w:rPr/>
              <w:t>August 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50"/>
        <w:gridCol w:w="120"/>
        <w:gridCol w:w="3503"/>
        <w:gridCol w:w="203"/>
        <w:gridCol w:w="1929"/>
      </w:tblGrid>
      <w:tr>
        <w:trPr/>
        <w:tc>
          <w:tcPr>
            <w:tcW w:w="44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4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3" w:type="dxa"/>
            <w:tcBorders/>
            <w:vAlign w:val="bottom"/>
          </w:tcPr>
          <w:p>
            <w:pPr>
              <w:pStyle w:val="TableContents"/>
              <w:bidi w:val="0"/>
              <w:spacing w:before="0" w:after="283"/>
              <w:jc w:val="left"/>
              <w:rPr/>
            </w:pPr>
            <w:r>
              <w:rPr/>
              <w:t> </w:t>
            </w:r>
          </w:p>
        </w:tc>
        <w:tc>
          <w:tcPr>
            <w:tcW w:w="19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50" w:type="dxa"/>
            <w:tcBorders/>
            <w:vAlign w:val="center"/>
          </w:tcPr>
          <w:p>
            <w:pPr>
              <w:pStyle w:val="TableContents"/>
              <w:bidi w:val="0"/>
              <w:spacing w:before="0" w:after="283"/>
              <w:jc w:val="left"/>
              <w:rPr>
                <w:sz w:val="4"/>
                <w:szCs w:val="4"/>
              </w:rPr>
            </w:pPr>
            <w:r>
              <w:rPr>
                <w:sz w:val="4"/>
                <w:szCs w:val="4"/>
              </w:rPr>
            </w:r>
          </w:p>
        </w:tc>
        <w:tc>
          <w:tcPr>
            <w:tcW w:w="3623" w:type="dxa"/>
            <w:gridSpan w:val="2"/>
            <w:tcBorders/>
            <w:vAlign w:val="center"/>
          </w:tcPr>
          <w:p>
            <w:pPr>
              <w:pStyle w:val="TableContents"/>
              <w:bidi w:val="0"/>
              <w:spacing w:before="0" w:after="283"/>
              <w:jc w:val="left"/>
              <w:rPr>
                <w:sz w:val="4"/>
                <w:szCs w:val="4"/>
              </w:rPr>
            </w:pPr>
            <w:r>
              <w:rPr>
                <w:sz w:val="4"/>
                <w:szCs w:val="4"/>
              </w:rPr>
            </w:r>
          </w:p>
        </w:tc>
        <w:tc>
          <w:tcPr>
            <w:tcW w:w="2132" w:type="dxa"/>
            <w:gridSpan w:val="2"/>
            <w:tcBorders/>
            <w:vAlign w:val="center"/>
          </w:tcPr>
          <w:p>
            <w:pPr>
              <w:pStyle w:val="TableContents"/>
              <w:bidi w:val="0"/>
              <w:spacing w:before="0" w:after="283"/>
              <w:jc w:val="left"/>
              <w:rPr>
                <w:sz w:val="4"/>
                <w:szCs w:val="4"/>
              </w:rPr>
            </w:pPr>
            <w:r>
              <w:rPr>
                <w:sz w:val="4"/>
                <w:szCs w:val="4"/>
              </w:rPr>
            </w:r>
          </w:p>
        </w:tc>
      </w:tr>
      <w:tr>
        <w:trPr/>
        <w:tc>
          <w:tcPr>
            <w:tcW w:w="44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Victoria D. Harker</w:t>
            </w:r>
          </w:p>
          <w:p>
            <w:pPr>
              <w:pStyle w:val="TableContents"/>
              <w:bidi w:val="0"/>
              <w:spacing w:before="0" w:after="20"/>
              <w:jc w:val="center"/>
              <w:rPr>
                <w:rFonts w:ascii="Times New Roman" w:hAnsi="Times New Roman"/>
                <w:b/>
                <w:sz w:val="20"/>
              </w:rPr>
            </w:pPr>
            <w:r>
              <w:rPr>
                <w:rFonts w:ascii="Times New Roman" w:hAnsi="Times New Roman"/>
                <w:b/>
                <w:sz w:val="20"/>
              </w:rPr>
              <w:t>Victoria D. Harker</w:t>
            </w:r>
          </w:p>
        </w:tc>
        <w:tc>
          <w:tcPr>
            <w:tcW w:w="120"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3, 2026</w:t>
            </w:r>
          </w:p>
        </w:tc>
      </w:tr>
      <w:tr>
        <w:trPr>
          <w:trHeight w:val="240" w:hRule="atLeast"/>
        </w:trPr>
        <w:tc>
          <w:tcPr>
            <w:tcW w:w="4450" w:type="dxa"/>
            <w:tcBorders/>
            <w:vAlign w:val="center"/>
          </w:tcPr>
          <w:p>
            <w:pPr>
              <w:pStyle w:val="TableContents"/>
              <w:bidi w:val="0"/>
              <w:spacing w:before="0" w:after="283"/>
              <w:jc w:val="left"/>
              <w:rPr>
                <w:sz w:val="4"/>
                <w:szCs w:val="4"/>
              </w:rPr>
            </w:pPr>
            <w:r>
              <w:rPr>
                <w:sz w:val="4"/>
                <w:szCs w:val="4"/>
              </w:rPr>
            </w:r>
          </w:p>
        </w:tc>
        <w:tc>
          <w:tcPr>
            <w:tcW w:w="3623" w:type="dxa"/>
            <w:gridSpan w:val="2"/>
            <w:tcBorders/>
            <w:vAlign w:val="center"/>
          </w:tcPr>
          <w:p>
            <w:pPr>
              <w:pStyle w:val="TableContents"/>
              <w:bidi w:val="0"/>
              <w:spacing w:before="0" w:after="283"/>
              <w:jc w:val="left"/>
              <w:rPr>
                <w:sz w:val="4"/>
                <w:szCs w:val="4"/>
              </w:rPr>
            </w:pPr>
            <w:r>
              <w:rPr>
                <w:sz w:val="4"/>
                <w:szCs w:val="4"/>
              </w:rPr>
            </w:r>
          </w:p>
        </w:tc>
        <w:tc>
          <w:tcPr>
            <w:tcW w:w="2132" w:type="dxa"/>
            <w:gridSpan w:val="2"/>
            <w:tcBorders/>
            <w:vAlign w:val="center"/>
          </w:tcPr>
          <w:p>
            <w:pPr>
              <w:pStyle w:val="TableContents"/>
              <w:bidi w:val="0"/>
              <w:spacing w:before="0" w:after="283"/>
              <w:jc w:val="left"/>
              <w:rPr>
                <w:sz w:val="4"/>
                <w:szCs w:val="4"/>
              </w:rPr>
            </w:pPr>
            <w:r>
              <w:rPr>
                <w:sz w:val="4"/>
                <w:szCs w:val="4"/>
              </w:rPr>
            </w:r>
          </w:p>
        </w:tc>
      </w:tr>
      <w:tr>
        <w:trPr/>
        <w:tc>
          <w:tcPr>
            <w:tcW w:w="44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Mark D. Morelli</w:t>
            </w:r>
          </w:p>
          <w:p>
            <w:pPr>
              <w:pStyle w:val="TableContents"/>
              <w:bidi w:val="0"/>
              <w:spacing w:before="0" w:after="20"/>
              <w:jc w:val="center"/>
              <w:rPr>
                <w:rFonts w:ascii="Times New Roman" w:hAnsi="Times New Roman"/>
                <w:b/>
                <w:sz w:val="20"/>
              </w:rPr>
            </w:pPr>
            <w:r>
              <w:rPr>
                <w:rFonts w:ascii="Times New Roman" w:hAnsi="Times New Roman"/>
                <w:b/>
                <w:sz w:val="20"/>
              </w:rPr>
              <w:t>Mark D. Morelli</w:t>
            </w:r>
          </w:p>
        </w:tc>
        <w:tc>
          <w:tcPr>
            <w:tcW w:w="120"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3, 2026</w:t>
            </w:r>
          </w:p>
        </w:tc>
      </w:tr>
      <w:tr>
        <w:trPr>
          <w:trHeight w:val="240" w:hRule="atLeast"/>
        </w:trPr>
        <w:tc>
          <w:tcPr>
            <w:tcW w:w="4450" w:type="dxa"/>
            <w:tcBorders/>
            <w:vAlign w:val="center"/>
          </w:tcPr>
          <w:p>
            <w:pPr>
              <w:pStyle w:val="TableContents"/>
              <w:bidi w:val="0"/>
              <w:spacing w:before="0" w:after="283"/>
              <w:jc w:val="left"/>
              <w:rPr>
                <w:sz w:val="4"/>
                <w:szCs w:val="4"/>
              </w:rPr>
            </w:pPr>
            <w:r>
              <w:rPr>
                <w:sz w:val="4"/>
                <w:szCs w:val="4"/>
              </w:rPr>
            </w:r>
          </w:p>
        </w:tc>
        <w:tc>
          <w:tcPr>
            <w:tcW w:w="3623" w:type="dxa"/>
            <w:gridSpan w:val="2"/>
            <w:tcBorders/>
            <w:vAlign w:val="center"/>
          </w:tcPr>
          <w:p>
            <w:pPr>
              <w:pStyle w:val="TableContents"/>
              <w:bidi w:val="0"/>
              <w:spacing w:before="0" w:after="283"/>
              <w:jc w:val="left"/>
              <w:rPr>
                <w:sz w:val="4"/>
                <w:szCs w:val="4"/>
              </w:rPr>
            </w:pPr>
            <w:r>
              <w:rPr>
                <w:sz w:val="4"/>
                <w:szCs w:val="4"/>
              </w:rPr>
            </w:r>
          </w:p>
        </w:tc>
        <w:tc>
          <w:tcPr>
            <w:tcW w:w="2132" w:type="dxa"/>
            <w:gridSpan w:val="2"/>
            <w:tcBorders/>
            <w:vAlign w:val="center"/>
          </w:tcPr>
          <w:p>
            <w:pPr>
              <w:pStyle w:val="TableContents"/>
              <w:bidi w:val="0"/>
              <w:spacing w:before="0" w:after="283"/>
              <w:jc w:val="left"/>
              <w:rPr>
                <w:sz w:val="4"/>
                <w:szCs w:val="4"/>
              </w:rPr>
            </w:pPr>
            <w:r>
              <w:rPr>
                <w:sz w:val="4"/>
                <w:szCs w:val="4"/>
              </w:rPr>
            </w:r>
          </w:p>
        </w:tc>
      </w:tr>
      <w:tr>
        <w:trPr/>
        <w:tc>
          <w:tcPr>
            <w:tcW w:w="44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Jerome A. Peribere</w:t>
            </w:r>
          </w:p>
          <w:p>
            <w:pPr>
              <w:pStyle w:val="TableContents"/>
              <w:bidi w:val="0"/>
              <w:spacing w:before="0" w:after="20"/>
              <w:jc w:val="center"/>
              <w:rPr>
                <w:rFonts w:ascii="Times New Roman" w:hAnsi="Times New Roman"/>
                <w:b/>
                <w:sz w:val="20"/>
              </w:rPr>
            </w:pPr>
            <w:r>
              <w:rPr>
                <w:rFonts w:ascii="Times New Roman" w:hAnsi="Times New Roman"/>
                <w:b/>
                <w:sz w:val="20"/>
              </w:rPr>
              <w:t>Jerome A. Peribere</w:t>
            </w:r>
          </w:p>
        </w:tc>
        <w:tc>
          <w:tcPr>
            <w:tcW w:w="120"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3, 2026</w:t>
            </w:r>
          </w:p>
        </w:tc>
      </w:tr>
      <w:tr>
        <w:trPr>
          <w:trHeight w:val="240" w:hRule="atLeast"/>
        </w:trPr>
        <w:tc>
          <w:tcPr>
            <w:tcW w:w="4450" w:type="dxa"/>
            <w:tcBorders/>
            <w:vAlign w:val="center"/>
          </w:tcPr>
          <w:p>
            <w:pPr>
              <w:pStyle w:val="TableContents"/>
              <w:bidi w:val="0"/>
              <w:spacing w:before="0" w:after="283"/>
              <w:jc w:val="left"/>
              <w:rPr>
                <w:sz w:val="4"/>
                <w:szCs w:val="4"/>
              </w:rPr>
            </w:pPr>
            <w:r>
              <w:rPr>
                <w:sz w:val="4"/>
                <w:szCs w:val="4"/>
              </w:rPr>
            </w:r>
          </w:p>
        </w:tc>
        <w:tc>
          <w:tcPr>
            <w:tcW w:w="3623" w:type="dxa"/>
            <w:gridSpan w:val="2"/>
            <w:tcBorders/>
            <w:vAlign w:val="center"/>
          </w:tcPr>
          <w:p>
            <w:pPr>
              <w:pStyle w:val="TableContents"/>
              <w:bidi w:val="0"/>
              <w:spacing w:before="0" w:after="283"/>
              <w:jc w:val="left"/>
              <w:rPr>
                <w:sz w:val="4"/>
                <w:szCs w:val="4"/>
              </w:rPr>
            </w:pPr>
            <w:r>
              <w:rPr>
                <w:sz w:val="4"/>
                <w:szCs w:val="4"/>
              </w:rPr>
            </w:r>
          </w:p>
        </w:tc>
        <w:tc>
          <w:tcPr>
            <w:tcW w:w="2132" w:type="dxa"/>
            <w:gridSpan w:val="2"/>
            <w:tcBorders/>
            <w:vAlign w:val="center"/>
          </w:tcPr>
          <w:p>
            <w:pPr>
              <w:pStyle w:val="TableContents"/>
              <w:bidi w:val="0"/>
              <w:spacing w:before="0" w:after="283"/>
              <w:jc w:val="left"/>
              <w:rPr>
                <w:sz w:val="4"/>
                <w:szCs w:val="4"/>
              </w:rPr>
            </w:pPr>
            <w:r>
              <w:rPr>
                <w:sz w:val="4"/>
                <w:szCs w:val="4"/>
              </w:rPr>
            </w:r>
          </w:p>
        </w:tc>
      </w:tr>
      <w:tr>
        <w:trPr/>
        <w:tc>
          <w:tcPr>
            <w:tcW w:w="44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Lila Tretikov</w:t>
            </w:r>
          </w:p>
          <w:p>
            <w:pPr>
              <w:pStyle w:val="TableContents"/>
              <w:bidi w:val="0"/>
              <w:spacing w:before="0" w:after="20"/>
              <w:jc w:val="center"/>
              <w:rPr>
                <w:rFonts w:ascii="Times New Roman" w:hAnsi="Times New Roman"/>
                <w:b/>
                <w:sz w:val="20"/>
              </w:rPr>
            </w:pPr>
            <w:r>
              <w:rPr>
                <w:rFonts w:ascii="Times New Roman" w:hAnsi="Times New Roman"/>
                <w:b/>
                <w:sz w:val="20"/>
              </w:rPr>
              <w:t>Lila Tretikov</w:t>
            </w:r>
          </w:p>
        </w:tc>
        <w:tc>
          <w:tcPr>
            <w:tcW w:w="120"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3, 2026</w:t>
            </w:r>
          </w:p>
        </w:tc>
      </w:tr>
      <w:tr>
        <w:trPr>
          <w:trHeight w:val="240" w:hRule="atLeast"/>
        </w:trPr>
        <w:tc>
          <w:tcPr>
            <w:tcW w:w="4450" w:type="dxa"/>
            <w:tcBorders/>
            <w:vAlign w:val="center"/>
          </w:tcPr>
          <w:p>
            <w:pPr>
              <w:pStyle w:val="TableContents"/>
              <w:bidi w:val="0"/>
              <w:spacing w:before="0" w:after="283"/>
              <w:jc w:val="left"/>
              <w:rPr>
                <w:sz w:val="4"/>
                <w:szCs w:val="4"/>
              </w:rPr>
            </w:pPr>
            <w:r>
              <w:rPr>
                <w:sz w:val="4"/>
                <w:szCs w:val="4"/>
              </w:rPr>
            </w:r>
          </w:p>
        </w:tc>
        <w:tc>
          <w:tcPr>
            <w:tcW w:w="3623" w:type="dxa"/>
            <w:gridSpan w:val="2"/>
            <w:tcBorders/>
            <w:vAlign w:val="center"/>
          </w:tcPr>
          <w:p>
            <w:pPr>
              <w:pStyle w:val="TableContents"/>
              <w:bidi w:val="0"/>
              <w:spacing w:before="0" w:after="283"/>
              <w:jc w:val="left"/>
              <w:rPr>
                <w:sz w:val="4"/>
                <w:szCs w:val="4"/>
              </w:rPr>
            </w:pPr>
            <w:r>
              <w:rPr>
                <w:sz w:val="4"/>
                <w:szCs w:val="4"/>
              </w:rPr>
            </w:r>
          </w:p>
        </w:tc>
        <w:tc>
          <w:tcPr>
            <w:tcW w:w="2132" w:type="dxa"/>
            <w:gridSpan w:val="2"/>
            <w:tcBorders/>
            <w:vAlign w:val="center"/>
          </w:tcPr>
          <w:p>
            <w:pPr>
              <w:pStyle w:val="TableContents"/>
              <w:bidi w:val="0"/>
              <w:spacing w:before="0" w:after="283"/>
              <w:jc w:val="left"/>
              <w:rPr>
                <w:sz w:val="4"/>
                <w:szCs w:val="4"/>
              </w:rPr>
            </w:pPr>
            <w:r>
              <w:rPr>
                <w:sz w:val="4"/>
                <w:szCs w:val="4"/>
              </w:rPr>
            </w:r>
          </w:p>
        </w:tc>
      </w:tr>
      <w:tr>
        <w:trPr/>
        <w:tc>
          <w:tcPr>
            <w:tcW w:w="445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Uday Yadav</w:t>
            </w:r>
          </w:p>
          <w:p>
            <w:pPr>
              <w:pStyle w:val="TableContents"/>
              <w:bidi w:val="0"/>
              <w:spacing w:before="0" w:after="20"/>
              <w:jc w:val="center"/>
              <w:rPr>
                <w:rFonts w:ascii="Times New Roman" w:hAnsi="Times New Roman"/>
                <w:b/>
                <w:sz w:val="20"/>
              </w:rPr>
            </w:pPr>
            <w:r>
              <w:rPr>
                <w:rFonts w:ascii="Times New Roman" w:hAnsi="Times New Roman"/>
                <w:b/>
                <w:sz w:val="20"/>
              </w:rPr>
              <w:t>Uday Yadav</w:t>
            </w:r>
          </w:p>
        </w:tc>
        <w:tc>
          <w:tcPr>
            <w:tcW w:w="120"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17" w:name="d125598dex51.htm"/>
      <w:bookmarkStart w:id="18" w:name="ksd125598dex51"/>
      <w:bookmarkEnd w:id="17"/>
      <w:bookmarkEnd w:id="18"/>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57630" cy="1987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357630" cy="1987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3, 2026 </w:t>
      </w:r>
    </w:p>
    <w:p>
      <w:pPr>
        <w:pStyle w:val="TextBody"/>
        <w:bidi w:val="0"/>
        <w:spacing w:before="120" w:after="0"/>
        <w:jc w:val="left"/>
        <w:rPr>
          <w:rFonts w:ascii="Times New Roman" w:hAnsi="Times New Roman"/>
          <w:sz w:val="20"/>
        </w:rPr>
      </w:pPr>
      <w:r>
        <w:rPr>
          <w:rFonts w:ascii="Times New Roman" w:hAnsi="Times New Roman"/>
          <w:sz w:val="20"/>
        </w:rPr>
        <w:t xml:space="preserve">Xylem Inc. </w:t>
      </w:r>
    </w:p>
    <w:p>
      <w:pPr>
        <w:pStyle w:val="TextBody"/>
        <w:bidi w:val="0"/>
        <w:spacing w:before="0" w:after="0"/>
        <w:jc w:val="left"/>
        <w:rPr>
          <w:rFonts w:ascii="Times New Roman" w:hAnsi="Times New Roman"/>
          <w:sz w:val="20"/>
        </w:rPr>
      </w:pPr>
      <w:r>
        <w:rPr>
          <w:rFonts w:ascii="Times New Roman" w:hAnsi="Times New Roman"/>
          <w:sz w:val="20"/>
        </w:rPr>
        <w:t xml:space="preserve">301 Water Street SE,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Xylem Inc.</w:t>
            </w:r>
            <w:r>
              <w:rPr>
                <w:rFonts w:ascii="Times New Roman" w:hAnsi="Times New Roman"/>
                <w:sz w:val="20"/>
              </w:rPr>
              <w:t xml:space="preserve"> </w:t>
            </w:r>
          </w:p>
        </w:tc>
      </w:tr>
    </w:tbl>
    <w:p>
      <w:pPr>
        <w:pStyle w:val="TextBody"/>
        <w:bidi w:val="0"/>
        <w:spacing w:before="0" w:after="0"/>
        <w:jc w:val="left"/>
        <w:rPr>
          <w:rFonts w:ascii="Times New Roman" w:hAnsi="Times New Roman"/>
          <w:i/>
          <w:sz w:val="20"/>
        </w:rPr>
      </w:pPr>
      <w:r>
        <w:rPr>
          <w:rFonts w:ascii="Times New Roman" w:hAnsi="Times New Roman"/>
          <w:i/>
          <w:sz w:val="20"/>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Xylem Inc., an Indiana corporation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of a Registration Statement on Form S-3 (the “</w:t>
      </w:r>
      <w:r>
        <w:rPr>
          <w:rFonts w:ascii="Times New Roman" w:hAnsi="Times New Roman"/>
          <w:sz w:val="20"/>
          <w:u w:val="single"/>
        </w:rPr>
        <w:t>Registration Statement</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xml:space="preserve">”), relating to the registration under the Securities Act and the proposed issuance and sale from time to time pursuant to Rule 415 under the Securities Act, together or separately and in one or more series (if applicable) of: </w:t>
      </w:r>
    </w:p>
    <w:p>
      <w:pPr>
        <w:pStyle w:val="TextBody"/>
        <w:bidi w:val="0"/>
        <w:spacing w:before="120" w:after="0"/>
        <w:jc w:val="left"/>
        <w:rPr>
          <w:rFonts w:ascii="Times New Roman" w:hAnsi="Times New Roman"/>
          <w:sz w:val="20"/>
        </w:rPr>
      </w:pPr>
      <w:r>
        <w:rPr>
          <w:rFonts w:ascii="Times New Roman" w:hAnsi="Times New Roman"/>
          <w:sz w:val="20"/>
        </w:rPr>
        <w:t>(i) the Company’s unsecured debt securities, which may either be senior debt securities (the “</w:t>
      </w:r>
      <w:r>
        <w:rPr>
          <w:rFonts w:ascii="Times New Roman" w:hAnsi="Times New Roman"/>
          <w:sz w:val="20"/>
          <w:u w:val="single"/>
        </w:rPr>
        <w:t>Senior Debt Securities</w:t>
      </w:r>
      <w:r>
        <w:rPr>
          <w:rFonts w:ascii="Times New Roman" w:hAnsi="Times New Roman"/>
          <w:sz w:val="20"/>
        </w:rPr>
        <w:t>”) or subordinated debt securities (the “</w:t>
      </w:r>
      <w:r>
        <w:rPr>
          <w:rFonts w:ascii="Times New Roman" w:hAnsi="Times New Roman"/>
          <w:sz w:val="20"/>
          <w:u w:val="single"/>
        </w:rPr>
        <w:t>Subordinated Debt Securities</w:t>
      </w:r>
      <w:r>
        <w:rPr>
          <w:rFonts w:ascii="Times New Roman" w:hAnsi="Times New Roman"/>
          <w:sz w:val="20"/>
        </w:rPr>
        <w:t>” and, collectively with the Senior Debt Securities, the “</w:t>
      </w:r>
      <w:r>
        <w:rPr>
          <w:rFonts w:ascii="Times New Roman" w:hAnsi="Times New Roman"/>
          <w:sz w:val="20"/>
          <w:u w:val="single"/>
        </w:rPr>
        <w:t>Debt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shares of the Company’s common stock, par value $0.01 per share (the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(iii) shares of the Company’s preferred stock, no par value per share (the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(iv) depositary shares each representing a fraction of a share of a particular series of Preferred Stock (the “</w:t>
      </w:r>
      <w:r>
        <w:rPr>
          <w:rFonts w:ascii="Times New Roman" w:hAnsi="Times New Roman"/>
          <w:sz w:val="20"/>
          <w:u w:val="single"/>
        </w:rPr>
        <w:t>Depositary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(v) contracts for the purchase or sale of Debt Securities, Common Stock or Preferred Stock or other securities, currencies or commodities (the “</w:t>
      </w:r>
      <w:r>
        <w:rPr>
          <w:rFonts w:ascii="Times New Roman" w:hAnsi="Times New Roman"/>
          <w:sz w:val="20"/>
          <w:u w:val="single"/>
        </w:rPr>
        <w:t>Purchase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(vi) warrants for the purchase of Common Stock, Preferred Stock, Depositary Shares or Debt Securities (the “</w:t>
      </w:r>
      <w:r>
        <w:rPr>
          <w:rFonts w:ascii="Times New Roman" w:hAnsi="Times New Roman"/>
          <w:sz w:val="20"/>
          <w:u w:val="single"/>
        </w:rPr>
        <w:t>Warrants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(vii) units of the Company comprised of any combination of Common Stock, Preferred Stock, Depositary Shares, Purchase Contracts or Debt Securities (the “</w:t>
      </w:r>
      <w:r>
        <w:rPr>
          <w:rFonts w:ascii="Times New Roman" w:hAnsi="Times New Roman"/>
          <w:sz w:val="20"/>
          <w:u w:val="single"/>
        </w:rPr>
        <w:t>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Debt Securities, Depositary Shares, Purchase Contracts, Warrants, and Units are collectively referred to herein as the “</w:t>
      </w:r>
      <w:r>
        <w:rPr>
          <w:rFonts w:ascii="Times New Roman" w:hAnsi="Times New Roman"/>
          <w:sz w:val="20"/>
          <w:u w:val="single"/>
        </w:rPr>
        <w:t>Securities</w:t>
      </w:r>
      <w:r>
        <w:rPr>
          <w:rFonts w:ascii="Times New Roman" w:hAnsi="Times New Roman"/>
          <w:sz w:val="20"/>
        </w:rPr>
        <w:t>.” The Senior Debt Securities are to be issued under an indenture, dated as of March 11, 2016, between the Company and Deutsche Bank Trust Company Americas, as trustee, as modified by the supplemental indenture no. 1, dated as of March 11, 2016 (as so modified, the “</w:t>
      </w:r>
      <w:r>
        <w:rPr>
          <w:rFonts w:ascii="Times New Roman" w:hAnsi="Times New Roman"/>
          <w:sz w:val="20"/>
          <w:u w:val="single"/>
        </w:rPr>
        <w:t>Senior Indenture</w:t>
      </w:r>
      <w:r>
        <w:rPr>
          <w:rFonts w:ascii="Times New Roman" w:hAnsi="Times New Roman"/>
          <w:sz w:val="20"/>
        </w:rPr>
        <w:t>”). The Subordinated Debt Securities are to be issued under an indenture (the “</w:t>
      </w:r>
      <w:r>
        <w:rPr>
          <w:rFonts w:ascii="Times New Roman" w:hAnsi="Times New Roman"/>
          <w:sz w:val="20"/>
          <w:u w:val="single"/>
        </w:rPr>
        <w:t>Subordinated Indenture</w:t>
      </w:r>
      <w:r>
        <w:rPr>
          <w:rFonts w:ascii="Times New Roman" w:hAnsi="Times New Roman"/>
          <w:sz w:val="20"/>
        </w:rPr>
        <w:t>” and, together with the Senior Indenture, the “</w:t>
      </w:r>
      <w:r>
        <w:rPr>
          <w:rFonts w:ascii="Times New Roman" w:hAnsi="Times New Roman"/>
          <w:sz w:val="20"/>
          <w:u w:val="single"/>
        </w:rPr>
        <w:t>Base Indentures</w:t>
      </w:r>
      <w:r>
        <w:rPr>
          <w:rFonts w:ascii="Times New Roman" w:hAnsi="Times New Roman"/>
          <w:sz w:val="20"/>
        </w:rPr>
        <w:t xml:space="preserve">”) to be entered into between the Company and Deutsche Bank Trust Company Americas, as trustee.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opinions expressed below, we have examined originals, or copies certified or otherwise identified to our satisfaction as being true and complete copies of the originals, of the forms of the Base Indentures, forms of the Debt Securities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80"/>
        <w:gridCol w:w="120"/>
        <w:gridCol w:w="4805"/>
      </w:tblGrid>
      <w:tr>
        <w:trPr/>
        <w:tc>
          <w:tcPr>
            <w:tcW w:w="5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5280" w:type="dxa"/>
            <w:tcBorders/>
          </w:tcPr>
          <w:p>
            <w:pPr>
              <w:pStyle w:val="TableContents"/>
              <w:bidi w:val="0"/>
              <w:spacing w:before="0" w:after="283"/>
              <w:jc w:val="left"/>
              <w:rPr/>
            </w:pPr>
            <w:r>
              <w:rPr/>
              <w:drawing>
                <wp:inline distT="0" distB="0" distL="0" distR="0">
                  <wp:extent cx="1357630" cy="1987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1357630" cy="19875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05" w:type="dxa"/>
            <w:tcBorders/>
          </w:tcPr>
          <w:p>
            <w:pPr>
              <w:pStyle w:val="TableContents"/>
              <w:bidi w:val="0"/>
              <w:spacing w:before="0" w:after="0"/>
              <w:jc w:val="right"/>
              <w:rPr>
                <w:rFonts w:ascii="Times New Roman" w:hAnsi="Times New Roman"/>
                <w:sz w:val="20"/>
              </w:rPr>
            </w:pPr>
            <w:r>
              <w:rPr>
                <w:rFonts w:ascii="Times New Roman" w:hAnsi="Times New Roman"/>
                <w:sz w:val="20"/>
              </w:rPr>
              <w:t>August 3, 2026</w:t>
            </w:r>
          </w:p>
          <w:p>
            <w:pPr>
              <w:pStyle w:val="TableContents"/>
              <w:bidi w:val="0"/>
              <w:spacing w:before="0" w:after="20"/>
              <w:jc w:val="right"/>
              <w:rPr>
                <w:rFonts w:ascii="Times New Roman" w:hAnsi="Times New Roman"/>
                <w:sz w:val="20"/>
              </w:rPr>
            </w:pPr>
            <w:r>
              <w:rPr>
                <w:rFonts w:ascii="Times New Roman" w:hAnsi="Times New Roman"/>
                <w:sz w:val="20"/>
              </w:rPr>
              <w:t xml:space="preserve">Page 2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assumed without independent investigation that: </w:t>
      </w:r>
    </w:p>
    <w:p>
      <w:pPr>
        <w:pStyle w:val="TextBody"/>
        <w:bidi w:val="0"/>
        <w:spacing w:before="120" w:after="0"/>
        <w:jc w:val="left"/>
        <w:rPr>
          <w:rFonts w:ascii="Times New Roman" w:hAnsi="Times New Roman"/>
          <w:sz w:val="20"/>
        </w:rPr>
      </w:pPr>
      <w:r>
        <w:rPr>
          <w:rFonts w:ascii="Times New Roman" w:hAnsi="Times New Roman"/>
          <w:sz w:val="20"/>
        </w:rPr>
        <w:t>(i) at the time any Securities are sold pursuant to the Registration Statement (the “</w:t>
      </w:r>
      <w:r>
        <w:rPr>
          <w:rFonts w:ascii="Times New Roman" w:hAnsi="Times New Roman"/>
          <w:sz w:val="20"/>
          <w:u w:val="single"/>
        </w:rPr>
        <w:t>Relevant Time</w:t>
      </w:r>
      <w:r>
        <w:rPr>
          <w:rFonts w:ascii="Times New Roman" w:hAnsi="Times New Roman"/>
          <w:sz w:val="20"/>
        </w:rPr>
        <w:t xml:space="preserve">”), the Registration Statement and any supplements and amendments thereto (including post-effective amendments) will be effective and will comply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(ii) at the Relevant Time, a prospectus supplement will have been prepared and filed with the Commission describing the Securities offered thereby and all related documentation and will comply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(iii) all Securities will be issued and sold in the manner stated in the Registration Statement and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(iv) at the Relevant Time, all corporate or other action required to be taken by the Company to duly authorize each proposed issuance of Securities and any related documentation, and the execution (in the case of certificated Securities), delivery and performance of the Securities and any related documentation referred to in paragraphs 1 through 5 below) shall have been duly completed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(v) in the case of Debt Securities, at the Relevant Time, the relevant Base Indenture shall have been duly executed and delivered by the Company and all other parties thereto and duly qualified under the Trust Indenture Act of 1939,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(vi) 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in reliance thereon, and subject to the assumptions, exceptions, qualifications and limitations set forth herein,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Debt Securities,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such Debt Securities have been duly established by supplemental indenture or officers’ certificate in accordance with the terms and conditions of the relevant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any such supplemental indenture or officers’ certificate has been duly executed and delivered by the Company and, as applicable, the trustee (such supplemental indenture or officers’ certificate, together with the relevant Base Indenture, the “</w:t>
            </w:r>
            <w:r>
              <w:rPr>
                <w:rFonts w:ascii="Times New Roman" w:hAnsi="Times New Roman"/>
                <w:sz w:val="20"/>
                <w:u w:val="single"/>
              </w:rPr>
              <w:t>Indenture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Debt Securities have been duly executed (in the case of certificated Debt Securities), delivered and authenticated in accordance with the terms of the applicable Indenture and issued and sold for the consideration set forth in the applicable definitive purchase, underwriting or similar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Debt Securities will be legal, valid and binding obligations of the Company, enforceable against the Company in accordance with their respective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Depositary Shares,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deposit agreement relating to such Depositary Shares (“</w:t>
            </w:r>
            <w:r>
              <w:rPr>
                <w:rFonts w:ascii="Times New Roman" w:hAnsi="Times New Roman"/>
                <w:sz w:val="20"/>
                <w:u w:val="single"/>
              </w:rPr>
              <w:t>Deposit Agreement</w:t>
            </w:r>
            <w:r>
              <w:rPr>
                <w:rFonts w:ascii="Times New Roman" w:hAnsi="Times New Roman"/>
                <w:sz w:val="20"/>
              </w:rPr>
              <w:t xml:space="preserve">”) has been duly executed and delivered by the Company and the depositary appointed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Depositary Shares have been established in accordance with the Deposit Agreement, and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80"/>
        <w:gridCol w:w="120"/>
        <w:gridCol w:w="4805"/>
      </w:tblGrid>
      <w:tr>
        <w:trPr/>
        <w:tc>
          <w:tcPr>
            <w:tcW w:w="5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5280" w:type="dxa"/>
            <w:tcBorders/>
          </w:tcPr>
          <w:p>
            <w:pPr>
              <w:pStyle w:val="TableContents"/>
              <w:bidi w:val="0"/>
              <w:spacing w:before="0" w:after="283"/>
              <w:jc w:val="left"/>
              <w:rPr/>
            </w:pPr>
            <w:r>
              <w:rPr/>
              <w:drawing>
                <wp:inline distT="0" distB="0" distL="0" distR="0">
                  <wp:extent cx="1357630" cy="1987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1357630" cy="19875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05" w:type="dxa"/>
            <w:tcBorders/>
          </w:tcPr>
          <w:p>
            <w:pPr>
              <w:pStyle w:val="TableContents"/>
              <w:bidi w:val="0"/>
              <w:spacing w:before="0" w:after="0"/>
              <w:jc w:val="right"/>
              <w:rPr>
                <w:rFonts w:ascii="Times New Roman" w:hAnsi="Times New Roman"/>
                <w:sz w:val="20"/>
              </w:rPr>
            </w:pPr>
            <w:r>
              <w:rPr>
                <w:rFonts w:ascii="Times New Roman" w:hAnsi="Times New Roman"/>
                <w:sz w:val="20"/>
              </w:rPr>
              <w:t>August 3, 2026</w:t>
            </w:r>
          </w:p>
          <w:p>
            <w:pPr>
              <w:pStyle w:val="TableContents"/>
              <w:bidi w:val="0"/>
              <w:spacing w:before="0" w:after="20"/>
              <w:jc w:val="right"/>
              <w:rPr>
                <w:rFonts w:ascii="Times New Roman" w:hAnsi="Times New Roman"/>
                <w:sz w:val="20"/>
              </w:rPr>
            </w:pPr>
            <w:r>
              <w:rPr>
                <w:rFonts w:ascii="Times New Roman" w:hAnsi="Times New Roman"/>
                <w:sz w:val="20"/>
              </w:rPr>
              <w:t xml:space="preserve">Page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receipts representing the Depositary Shares have been duly executed and countersigned (in the case of certificated Depositary Shares), registered and delivered in accordance with the relevant Deposit Agreement and, if applicable, issued and sold for the consideration set forth in the applicable definitive purchase, underwriting or similar agreement for the consideration provided therein,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depositary receipts evidencing the Depositary Shares will be legal, valid and binding obligations of the Company, enforceable against the Company in accordance with their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Purchase Contracts,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related purchase contract agreement (“</w:t>
            </w:r>
            <w:r>
              <w:rPr>
                <w:rFonts w:ascii="Times New Roman" w:hAnsi="Times New Roman"/>
                <w:sz w:val="20"/>
                <w:u w:val="single"/>
              </w:rPr>
              <w:t>Purchase Contract Agreement</w:t>
            </w:r>
            <w:r>
              <w:rPr>
                <w:rFonts w:ascii="Times New Roman" w:hAnsi="Times New Roman"/>
                <w:sz w:val="20"/>
              </w:rPr>
              <w:t xml:space="preserve">”), if any, has been duly executed by the Company and each other party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Purchase Contracts have been established in accordance with the Purchase Contract Agreement, if any, or the applicable definitive purchase, underwriting or similar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collateral or security arrangements relating to such Purchase Contracts have been established and the agreements thereto have been validly executed and delivered by each of the parties thereto and any collateral has been deposited with the collateral agent, if applicable, in accordance with such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Purchase Contracts have been executed (in the case of certificated Purchase Contracts) and delivered in accordance with the Purchase Contract Agreement, if any, and the applicable definitive purchase, underwriting or similar agreement for the consideration provided for therein,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Purchase Contracts will be legal, valid and binding obligations of the Company, enforceable in accordance with their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Warrants,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warrant agreement relating to such Warrants (the “</w:t>
            </w:r>
            <w:r>
              <w:rPr>
                <w:rFonts w:ascii="Times New Roman" w:hAnsi="Times New Roman"/>
                <w:sz w:val="20"/>
                <w:u w:val="single"/>
              </w:rPr>
              <w:t>Warrant Agreemen</w:t>
            </w:r>
            <w:r>
              <w:rPr>
                <w:rFonts w:ascii="Times New Roman" w:hAnsi="Times New Roman"/>
                <w:sz w:val="20"/>
              </w:rPr>
              <w:t xml:space="preserve">t”), if any, has been duly executed and delivered by the Company and each other party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Warrants have been established in accordance with the Warrant Agreement, if any, and the applicable definitive purchase, underwriting or similar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have been duly executed (in the case of certificated Warrants) and delivered in accordance with the Warrant Agreement, if any, and the applicable definitive purchase, underwriting or similar agreement for the consideration provided for therein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Warrants will be legal, valid and binding obligations of the Company, enforceable against the Company in accordance with their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Units,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unit agreement relating to the Units (the “</w:t>
            </w:r>
            <w:r>
              <w:rPr>
                <w:rFonts w:ascii="Times New Roman" w:hAnsi="Times New Roman"/>
                <w:sz w:val="20"/>
                <w:u w:val="single"/>
              </w:rPr>
              <w:t>Unit Agreement</w:t>
            </w:r>
            <w:r>
              <w:rPr>
                <w:rFonts w:ascii="Times New Roman" w:hAnsi="Times New Roman"/>
                <w:sz w:val="20"/>
              </w:rPr>
              <w:t xml:space="preserve">”), if any, has been duly executed and delivered by the Company and each other party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have been duly established in accordance with the Unit Agreement, if any, and the applicable definitive purchase, underwriting or similar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Units have been duly executed (in the case of certificated Units) and delivered in accordance with the Unit Agreement, if any, and the applicable definitive purchase, underwriting or similar agreement for the consideration provided for therein,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Units will be legal, valid and binding obligations of the Company, enforceable against the Company in accordance with their terms.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363"/>
        <w:gridCol w:w="120"/>
        <w:gridCol w:w="4722"/>
      </w:tblGrid>
      <w:tr>
        <w:trPr/>
        <w:tc>
          <w:tcPr>
            <w:tcW w:w="53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22" w:type="dxa"/>
            <w:tcBorders/>
            <w:vAlign w:val="center"/>
          </w:tcPr>
          <w:p>
            <w:pPr>
              <w:pStyle w:val="TableContents"/>
              <w:bidi w:val="0"/>
              <w:spacing w:before="0" w:after="283"/>
              <w:jc w:val="left"/>
              <w:rPr>
                <w:sz w:val="4"/>
                <w:szCs w:val="4"/>
              </w:rPr>
            </w:pPr>
            <w:r>
              <w:rPr>
                <w:sz w:val="4"/>
                <w:szCs w:val="4"/>
              </w:rPr>
            </w:r>
          </w:p>
        </w:tc>
      </w:tr>
      <w:tr>
        <w:trPr/>
        <w:tc>
          <w:tcPr>
            <w:tcW w:w="5363" w:type="dxa"/>
            <w:tcBorders/>
          </w:tcPr>
          <w:p>
            <w:pPr>
              <w:pStyle w:val="TableContents"/>
              <w:bidi w:val="0"/>
              <w:spacing w:before="0" w:after="283"/>
              <w:jc w:val="left"/>
              <w:rPr/>
            </w:pPr>
            <w:r>
              <w:rPr/>
              <w:drawing>
                <wp:inline distT="0" distB="0" distL="0" distR="0">
                  <wp:extent cx="1752600" cy="257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9"/>
                          <a:stretch>
                            <a:fillRect/>
                          </a:stretch>
                        </pic:blipFill>
                        <pic:spPr bwMode="auto">
                          <a:xfrm>
                            <a:off x="0" y="0"/>
                            <a:ext cx="1752600" cy="2571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22" w:type="dxa"/>
            <w:tcBorders/>
          </w:tcPr>
          <w:p>
            <w:pPr>
              <w:pStyle w:val="TableContents"/>
              <w:bidi w:val="0"/>
              <w:spacing w:before="0" w:after="0"/>
              <w:jc w:val="right"/>
              <w:rPr>
                <w:rFonts w:ascii="Times New Roman" w:hAnsi="Times New Roman"/>
                <w:sz w:val="20"/>
              </w:rPr>
            </w:pPr>
            <w:r>
              <w:rPr>
                <w:rFonts w:ascii="Times New Roman" w:hAnsi="Times New Roman"/>
                <w:sz w:val="20"/>
              </w:rPr>
              <w:t>August 3, 2026</w:t>
            </w:r>
          </w:p>
          <w:p>
            <w:pPr>
              <w:pStyle w:val="TableContents"/>
              <w:bidi w:val="0"/>
              <w:spacing w:before="0" w:after="20"/>
              <w:jc w:val="right"/>
              <w:rPr>
                <w:rFonts w:ascii="Times New Roman" w:hAnsi="Times New Roman"/>
                <w:sz w:val="20"/>
              </w:rPr>
            </w:pPr>
            <w:r>
              <w:rPr>
                <w:rFonts w:ascii="Times New Roman" w:hAnsi="Times New Roman"/>
                <w:sz w:val="20"/>
              </w:rPr>
              <w:t xml:space="preserve">Page 4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opinions expressed above are subject to the following exceptions, qualifications, limitations and assumptions: </w:t>
      </w:r>
    </w:p>
    <w:p>
      <w:pPr>
        <w:pStyle w:val="TextBody"/>
        <w:bidi w:val="0"/>
        <w:spacing w:before="120" w:after="0"/>
        <w:jc w:val="left"/>
        <w:rPr>
          <w:rFonts w:ascii="Times New Roman" w:hAnsi="Times New Roman"/>
          <w:sz w:val="20"/>
        </w:rPr>
      </w:pPr>
      <w:r>
        <w:rPr>
          <w:rFonts w:ascii="Times New Roman" w:hAnsi="Times New Roman"/>
          <w:sz w:val="20"/>
        </w:rPr>
        <w:t xml:space="preserve">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 </w:t>
      </w:r>
    </w:p>
    <w:p>
      <w:pPr>
        <w:pStyle w:val="TextBody"/>
        <w:bidi w:val="0"/>
        <w:spacing w:before="240" w:after="0"/>
        <w:jc w:val="left"/>
        <w:rPr>
          <w:rFonts w:ascii="Times New Roman" w:hAnsi="Times New Roman"/>
          <w:sz w:val="20"/>
        </w:rPr>
      </w:pPr>
      <w:r>
        <w:rPr>
          <w:rFonts w:ascii="Times New Roman" w:hAnsi="Times New Roman"/>
          <w:sz w:val="20"/>
        </w:rPr>
        <w:t>B. The opinions above with respect to the Indenture, the Debt Securities, the depositary receipts representing the Depositary Shares, the Deposit Agreement, the Purchase Contracts, any Purchase Contract Agreement, the Warrants, the Warrant Agreement, the Units and the Unit Agreement (collectively, the “</w:t>
      </w:r>
      <w:r>
        <w:rPr>
          <w:rFonts w:ascii="Times New Roman" w:hAnsi="Times New Roman"/>
          <w:sz w:val="20"/>
          <w:u w:val="single"/>
        </w:rPr>
        <w:t>Documents</w:t>
      </w:r>
      <w:r>
        <w:rPr>
          <w:rFonts w:ascii="Times New Roman" w:hAnsi="Times New Roman"/>
          <w:sz w:val="20"/>
        </w:rPr>
        <w:t xml:space="preser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C. We express no opinion regarding the effectiveness of (i) any waiver of stay, extension, usury laws or of unknown future rights; (ii) provisions relating to indemnification, exculpation or contribution, to the extent such provisions may be held unenforceable as contrary to public policy or federal or state securities laws or due to the negligence or willful misconduct of the indemnified party; (iii) any waiver of the right to jury trial or (iv) any provision to the effect that every right or remedy is cumulative and may be exercised in addition to any other right or remedy or that the election of some particular remedy does not preclude recourse to one or more others.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relevant to our opinions in paragraphs 2, 3, 4 and 5 and not covered by our opinion in paragraph 1, we have assumed that any securities, currencies or commodities underlying, comprising or issuable upon exchange, conversion or exercise of any Depositary Shares, Purchase Contracts, Warrants, or Units are validly issued, fully paid and non-assessable (in the case of an equity security) or a legal, valid and binding obligation of the issuer thereof, enforceable against such issuer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Gibson, Dunn &amp; Crutcher LLP </w:t>
      </w:r>
    </w:p>
    <w:p>
      <w:pPr>
        <w:pStyle w:val="TextBody"/>
        <w:bidi w:val="0"/>
        <w:spacing w:before="0" w:after="0"/>
        <w:jc w:val="right"/>
        <w:rPr>
          <w:rFonts w:ascii="Times New Roman" w:hAnsi="Times New Roman"/>
          <w:b/>
          <w:sz w:val="20"/>
        </w:rPr>
      </w:pPr>
      <w:bookmarkStart w:id="19" w:name="d125598dex52.htm"/>
      <w:bookmarkStart w:id="20" w:name="ksd125598dex52"/>
      <w:bookmarkEnd w:id="19"/>
      <w:bookmarkEnd w:id="20"/>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99"/>
        <w:gridCol w:w="121"/>
        <w:gridCol w:w="2585"/>
      </w:tblGrid>
      <w:tr>
        <w:trPr/>
        <w:tc>
          <w:tcPr>
            <w:tcW w:w="74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r>
      <w:tr>
        <w:trPr/>
        <w:tc>
          <w:tcPr>
            <w:tcW w:w="7499" w:type="dxa"/>
            <w:tcBorders/>
          </w:tcPr>
          <w:p>
            <w:pPr>
              <w:pStyle w:val="TableContents"/>
              <w:bidi w:val="0"/>
              <w:spacing w:before="0" w:after="20"/>
              <w:jc w:val="left"/>
              <w:rPr/>
            </w:pPr>
            <w:r>
              <w:rPr/>
              <w:drawing>
                <wp:inline distT="0" distB="0" distL="0" distR="0">
                  <wp:extent cx="962025"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0"/>
                          <a:stretch>
                            <a:fillRect/>
                          </a:stretch>
                        </pic:blipFill>
                        <pic:spPr bwMode="auto">
                          <a:xfrm>
                            <a:off x="0" y="0"/>
                            <a:ext cx="962025" cy="48577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11 S. Meridian Street</w:t>
            </w:r>
          </w:p>
          <w:p>
            <w:pPr>
              <w:pStyle w:val="TableContents"/>
              <w:bidi w:val="0"/>
              <w:spacing w:before="0" w:after="0"/>
              <w:jc w:val="left"/>
              <w:rPr>
                <w:rFonts w:ascii="Times New Roman" w:hAnsi="Times New Roman"/>
                <w:sz w:val="20"/>
              </w:rPr>
            </w:pPr>
            <w:r>
              <w:rPr>
                <w:rFonts w:ascii="Times New Roman" w:hAnsi="Times New Roman"/>
                <w:sz w:val="20"/>
              </w:rPr>
              <w:t>Indianapolis, IN 46204-3535 U.S.A.</w:t>
            </w:r>
          </w:p>
          <w:p>
            <w:pPr>
              <w:pStyle w:val="TableContents"/>
              <w:bidi w:val="0"/>
              <w:spacing w:before="0" w:after="0"/>
              <w:jc w:val="left"/>
              <w:rPr>
                <w:rFonts w:ascii="Times New Roman" w:hAnsi="Times New Roman"/>
                <w:sz w:val="20"/>
              </w:rPr>
            </w:pPr>
            <w:r>
              <w:rPr>
                <w:rFonts w:ascii="Times New Roman" w:hAnsi="Times New Roman"/>
                <w:sz w:val="20"/>
              </w:rPr>
              <w:t>(317) 236-1313</w:t>
            </w:r>
          </w:p>
          <w:p>
            <w:pPr>
              <w:pStyle w:val="TableContents"/>
              <w:bidi w:val="0"/>
              <w:spacing w:before="0" w:after="0"/>
              <w:jc w:val="left"/>
              <w:rPr>
                <w:rFonts w:ascii="Times New Roman" w:hAnsi="Times New Roman"/>
                <w:sz w:val="20"/>
              </w:rPr>
            </w:pPr>
            <w:r>
              <w:rPr>
                <w:rFonts w:ascii="Times New Roman" w:hAnsi="Times New Roman"/>
                <w:sz w:val="20"/>
              </w:rPr>
              <w:t>Fax (317) 231-7433</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www.btlaw.com</w:t>
            </w:r>
          </w:p>
        </w:tc>
      </w:tr>
    </w:tbl>
    <w:p>
      <w:pPr>
        <w:pStyle w:val="TextBody"/>
        <w:bidi w:val="0"/>
        <w:spacing w:before="240" w:after="0"/>
        <w:jc w:val="right"/>
        <w:rPr>
          <w:rFonts w:ascii="Times New Roman" w:hAnsi="Times New Roman"/>
          <w:sz w:val="20"/>
        </w:rPr>
      </w:pPr>
      <w:r>
        <w:rPr>
          <w:rFonts w:ascii="Times New Roman" w:hAnsi="Times New Roman"/>
          <w:sz w:val="20"/>
        </w:rPr>
        <w:t xml:space="preserve">August 3, 2026 </w:t>
      </w:r>
    </w:p>
    <w:p>
      <w:pPr>
        <w:pStyle w:val="TextBody"/>
        <w:bidi w:val="0"/>
        <w:spacing w:before="240" w:after="0"/>
        <w:jc w:val="left"/>
        <w:rPr>
          <w:rFonts w:ascii="Times New Roman" w:hAnsi="Times New Roman"/>
          <w:sz w:val="20"/>
        </w:rPr>
      </w:pPr>
      <w:r>
        <w:rPr>
          <w:rFonts w:ascii="Times New Roman" w:hAnsi="Times New Roman"/>
          <w:sz w:val="20"/>
        </w:rPr>
        <w:t xml:space="preserve">Xylem Inc. </w:t>
      </w:r>
    </w:p>
    <w:p>
      <w:pPr>
        <w:pStyle w:val="TextBody"/>
        <w:bidi w:val="0"/>
        <w:spacing w:before="0" w:after="0"/>
        <w:jc w:val="left"/>
        <w:rPr>
          <w:rFonts w:ascii="Times New Roman" w:hAnsi="Times New Roman"/>
          <w:sz w:val="20"/>
        </w:rPr>
      </w:pPr>
      <w:r>
        <w:rPr>
          <w:rFonts w:ascii="Times New Roman" w:hAnsi="Times New Roman"/>
          <w:sz w:val="20"/>
        </w:rPr>
        <w:t xml:space="preserve">301 Water Street, S.E.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20003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Xylem Inc. Registration Statement on Form S-3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Indiana counsel to Xylem Inc., an Indiana corporation (the “</w:t>
      </w:r>
      <w:r>
        <w:rPr>
          <w:rFonts w:ascii="Times New Roman" w:hAnsi="Times New Roman"/>
          <w:b/>
          <w:i/>
          <w:sz w:val="20"/>
        </w:rPr>
        <w:t>Company</w:t>
      </w:r>
      <w:r>
        <w:rPr>
          <w:rFonts w:ascii="Times New Roman" w:hAnsi="Times New Roman"/>
          <w:sz w:val="20"/>
        </w:rPr>
        <w:t>”), in connection with the Registration Statement on Form S-3 (the “</w:t>
      </w:r>
      <w:r>
        <w:rPr>
          <w:rFonts w:ascii="Times New Roman" w:hAnsi="Times New Roman"/>
          <w:b/>
          <w:i/>
          <w:sz w:val="20"/>
        </w:rPr>
        <w:t>Registration Statement</w:t>
      </w:r>
      <w:r>
        <w:rPr>
          <w:rFonts w:ascii="Times New Roman" w:hAnsi="Times New Roman"/>
          <w:sz w:val="20"/>
        </w:rPr>
        <w:t>”), including the prospectus constituting a part thereof (the “</w:t>
      </w:r>
      <w:r>
        <w:rPr>
          <w:rFonts w:ascii="Times New Roman" w:hAnsi="Times New Roman"/>
          <w:b/>
          <w:i/>
          <w:sz w:val="20"/>
        </w:rPr>
        <w:t>Prospectus</w:t>
      </w:r>
      <w:r>
        <w:rPr>
          <w:rFonts w:ascii="Times New Roman" w:hAnsi="Times New Roman"/>
          <w:sz w:val="20"/>
        </w:rPr>
        <w:t>”), in the form to be filed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xml:space="preserve">”). This opinion letter is being furnished to the Company in accordance with the requirements of Item 601(b)(5)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relates to the registration and proposed issuance and sale from time to time pursuant to Rule 415 under the Securities Act of an undetermined dollar amount (or its foreign currency equivalent) of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shares of the Company’s common stock, $0.01 par value (the “</w:t>
            </w:r>
            <w:r>
              <w:rPr>
                <w:rFonts w:ascii="Times New Roman" w:hAnsi="Times New Roman"/>
                <w:b/>
                <w:i/>
                <w:sz w:val="20"/>
              </w:rPr>
              <w:t>Common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shares of the Company’s preferred stock, no par value (the “</w:t>
            </w:r>
            <w:r>
              <w:rPr>
                <w:rFonts w:ascii="Times New Roman" w:hAnsi="Times New Roman"/>
                <w:b/>
                <w:i/>
                <w:sz w:val="20"/>
              </w:rPr>
              <w:t>Preferred Shares</w:t>
            </w:r>
            <w:r>
              <w:rPr>
                <w:rFonts w:ascii="Times New Roman" w:hAnsi="Times New Roman"/>
                <w:sz w:val="20"/>
              </w:rPr>
              <w:t>”), which may be represented by depositary shares (the “</w:t>
            </w:r>
            <w:r>
              <w:rPr>
                <w:rFonts w:ascii="Times New Roman" w:hAnsi="Times New Roman"/>
                <w:b/>
                <w:i/>
                <w:sz w:val="20"/>
              </w:rPr>
              <w:t>Depositary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one or more series of debt securities of the Company, which may be senior debt securities (the “</w:t>
            </w:r>
            <w:r>
              <w:rPr>
                <w:rFonts w:ascii="Times New Roman" w:hAnsi="Times New Roman"/>
                <w:b/>
                <w:i/>
                <w:sz w:val="20"/>
              </w:rPr>
              <w:t>Senior Debt Securities</w:t>
            </w:r>
            <w:r>
              <w:rPr>
                <w:rFonts w:ascii="Times New Roman" w:hAnsi="Times New Roman"/>
                <w:sz w:val="20"/>
              </w:rPr>
              <w:t>”) or subordinated debt securities (the “</w:t>
            </w:r>
            <w:r>
              <w:rPr>
                <w:rFonts w:ascii="Times New Roman" w:hAnsi="Times New Roman"/>
                <w:b/>
                <w:i/>
                <w:sz w:val="20"/>
              </w:rPr>
              <w:t>Subordinated Debt Securities</w:t>
            </w:r>
            <w:r>
              <w:rPr>
                <w:rFonts w:ascii="Times New Roman" w:hAnsi="Times New Roman"/>
                <w:sz w:val="20"/>
              </w:rPr>
              <w:t>” and, together with the Senior Debt Securities, the “</w:t>
            </w:r>
            <w:r>
              <w:rPr>
                <w:rFonts w:ascii="Times New Roman" w:hAnsi="Times New Roman"/>
                <w:b/>
                <w:i/>
                <w:sz w:val="20"/>
              </w:rPr>
              <w:t>Debt Securities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Common Shares, Preferred Shares or Depositary Shares (the “</w:t>
            </w:r>
            <w:r>
              <w:rPr>
                <w:rFonts w:ascii="Times New Roman" w:hAnsi="Times New Roman"/>
                <w:b/>
                <w:i/>
                <w:sz w:val="20"/>
              </w:rPr>
              <w:t>Warrants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purchase contracts, pursuant to which the holder may purchase from the Company a specified number of Common Shares or Preferred Shares or a specified number of Debt Securities at a future date (the “</w:t>
            </w:r>
            <w:r>
              <w:rPr>
                <w:rFonts w:ascii="Times New Roman" w:hAnsi="Times New Roman"/>
                <w:b/>
                <w:i/>
                <w:sz w:val="20"/>
              </w:rPr>
              <w:t>Purchase Contracts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units comprised of any combination of Common Shares, Preferred Shares, Debt Securities, Depositary Shares, Warrants, or Purchase Contracts (the “</w:t>
            </w:r>
            <w:r>
              <w:rPr>
                <w:rFonts w:ascii="Times New Roman" w:hAnsi="Times New Roman"/>
                <w:b/>
                <w:i/>
                <w:sz w:val="20"/>
              </w:rPr>
              <w:t>Units</w:t>
            </w:r>
            <w:r>
              <w:rPr>
                <w:rFonts w:ascii="Times New Roman" w:hAnsi="Times New Roman"/>
                <w:sz w:val="20"/>
              </w:rPr>
              <w:t>” and, together with the Depositary Shares, the Debt Securities, the Warrants, and the Purchase Contracts, the “</w:t>
            </w:r>
            <w:r>
              <w:rPr>
                <w:rFonts w:ascii="Times New Roman" w:hAnsi="Times New Roman"/>
                <w:b/>
                <w:i/>
                <w:sz w:val="20"/>
              </w:rPr>
              <w:t>Covered Securities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Atlanta | Baltimore | Boston | Chicago | Dallas | Delaware | Denver | Florida | Indiana | Los Angeles | Michigan | Minneapolis | Nashville New Jersey | New York | North Carolina | Ohio | Philadelphia | Phoenix | Salt Lake City | San Diego | Washington, D.C.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Xylem Inc.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Common Shares, Preferred Shares and Covered Securities are collectively referred to herein as the “</w:t>
      </w:r>
      <w:r>
        <w:rPr>
          <w:rFonts w:ascii="Times New Roman" w:hAnsi="Times New Roman"/>
          <w:b/>
          <w:i/>
          <w:sz w:val="20"/>
        </w:rPr>
        <w:t>Offered Securities</w:t>
      </w:r>
      <w:r>
        <w:rPr>
          <w:rFonts w:ascii="Times New Roman" w:hAnsi="Times New Roman"/>
          <w:sz w:val="20"/>
        </w:rPr>
        <w:t>.” The Registration Statement, and the Prospectus included therein, provide that the Offered Securities may be offered separately, or together, in separate series, in amounts, at prices, and on terms to be set forth in one or more supplements to the prospectus (each, a “</w:t>
      </w:r>
      <w:r>
        <w:rPr>
          <w:rFonts w:ascii="Times New Roman" w:hAnsi="Times New Roman"/>
          <w:b/>
          <w:i/>
          <w:sz w:val="20"/>
        </w:rPr>
        <w:t>Prospectus Supplement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Unless otherwise specified in the applicable Prospectus Supplement, the Preferred Shares will be issued in one or more series and the relative powers, designations, preferences, rights and qualifications, limitations or restrictions of such Preferred Shares will be set forth in one or more articles of amendment amending the amended and restated articles of incorporation of the Company, to be adopted by the Company’s board of directors and filed with the Secretary of State of the State of Indiana (each, the “</w:t>
      </w:r>
      <w:r>
        <w:rPr>
          <w:rFonts w:ascii="Times New Roman" w:hAnsi="Times New Roman"/>
          <w:b/>
          <w:i/>
          <w:sz w:val="20"/>
        </w:rPr>
        <w:t>Articles of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Senior Debt Securities are to be issued pursuant to a senior indenture, dated as of March 11, 2016, between the Company and Deutsche Bank Trust Company Americas, as trustee, as supplemented and amended from time to time (the “</w:t>
      </w:r>
      <w:r>
        <w:rPr>
          <w:rFonts w:ascii="Times New Roman" w:hAnsi="Times New Roman"/>
          <w:b/>
          <w:i/>
          <w:sz w:val="20"/>
        </w:rPr>
        <w:t>Senior Indenture</w:t>
      </w:r>
      <w:r>
        <w:rPr>
          <w:rFonts w:ascii="Times New Roman" w:hAnsi="Times New Roman"/>
          <w:sz w:val="20"/>
        </w:rPr>
        <w:t>”), which Senior Indenture will be filed as an exhibit to the Registration Statement or incorporated by reference therein. Any Subordinated Debt Securities will be issued under a subordinated indenture to be dated on or about the date of the first issuance of Subordinated Debt Securities thereunder, by and between the Company and a financial institution identified therein as trustee, as amended and supplemented from time to time (the “</w:t>
      </w:r>
      <w:r>
        <w:rPr>
          <w:rFonts w:ascii="Times New Roman" w:hAnsi="Times New Roman"/>
          <w:b/>
          <w:i/>
          <w:sz w:val="20"/>
        </w:rPr>
        <w:t>Subordinated Indenture</w:t>
      </w:r>
      <w:r>
        <w:rPr>
          <w:rFonts w:ascii="Times New Roman" w:hAnsi="Times New Roman"/>
          <w:sz w:val="20"/>
        </w:rPr>
        <w:t xml:space="preserve">”), which Subordinated Indenture will be filed as an exhibit to the Registration Statement or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In rendering the opinions set forth below, we have examined and relied upon originals or copies, certified or otherwise identified to our satisfaction, of such documents and records of the Company and such statutes, regulations, and other instruments as we deemed necessary or advisable for purposes of the opinions expressed herein, including (i) the Registration Statement, including the Prospectus and the exhibits (including those incorporated by reference) constituting a part of the Registration Statement; (ii) the Senior Indenture and the form of Subordinated Indenture, as filed with the Commission for the respective Debt Securities (including, as exhibits, proposed forms of instruments thereunder), providing for the issuance of the respective Debt Securities from time to time on the terms of such indentures; (iii) the Fourth Amended and Restated Articles of Incorporation of the Company (the “</w:t>
      </w:r>
      <w:r>
        <w:rPr>
          <w:rFonts w:ascii="Times New Roman" w:hAnsi="Times New Roman"/>
          <w:b/>
          <w:i/>
          <w:sz w:val="20"/>
        </w:rPr>
        <w:t>Articles of Incorporation</w:t>
      </w:r>
      <w:r>
        <w:rPr>
          <w:rFonts w:ascii="Times New Roman" w:hAnsi="Times New Roman"/>
          <w:sz w:val="20"/>
        </w:rPr>
        <w:t>”); (iv) the Fifth Amended and Restated By-Laws of the Company (the “</w:t>
      </w:r>
      <w:r>
        <w:rPr>
          <w:rFonts w:ascii="Times New Roman" w:hAnsi="Times New Roman"/>
          <w:b/>
          <w:i/>
          <w:sz w:val="20"/>
        </w:rPr>
        <w:t>Bylaws</w:t>
      </w:r>
      <w:r>
        <w:rPr>
          <w:rFonts w:ascii="Times New Roman" w:hAnsi="Times New Roman"/>
          <w:sz w:val="20"/>
        </w:rPr>
        <w:t>”); (v) certain resolutions adopted by the Board of Directors of the Company; and (vi) such other certificates, instruments, and documents as we have considered necessary for purposes of this opinion letter. As to certain matters of fact material to our opinions, we have relied, to the extent that we deem such reliance proper, upon certificates of public officials and officers or other representatives of the Company, and we have not otherwise independently investigated or verified such facts. We are opining herein as to the Indiana Business Corporation Law (“</w:t>
      </w:r>
      <w:r>
        <w:rPr>
          <w:rFonts w:ascii="Times New Roman" w:hAnsi="Times New Roman"/>
          <w:b/>
          <w:i/>
          <w:sz w:val="20"/>
        </w:rPr>
        <w:t>IBCL</w:t>
      </w:r>
      <w:r>
        <w:rPr>
          <w:rFonts w:ascii="Times New Roman" w:hAnsi="Times New Roman"/>
          <w:sz w:val="20"/>
        </w:rPr>
        <w:t xml:space="preserve">”), and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opinions set forth herein, we have assumed (i) that all information contained in all documents reviewed by us is true and correct; (ii) that all signatures on all documents examined by us are genuine; (iii) that all documents submitted to us as originals are authentic and all documents submitted to us as copies conform to the originals of those documents; </w:t>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295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1"/>
                    <a:stretch>
                      <a:fillRect/>
                    </a:stretch>
                  </pic:blipFill>
                  <pic:spPr bwMode="auto">
                    <a:xfrm>
                      <a:off x="0" y="0"/>
                      <a:ext cx="1619250" cy="2952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Xylem Inc.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(iv) the legal capacity of all natural persons; and (v) the authority of all persons signing all documents submitted to us on behalf of the parties to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opinions set forth herein, we also have assumed that, at the time of the issuance, sale and delivery of each issue of Offered Securities: (i) the Company will remain validly existing under Indiana law; (ii) the Registration Statement and any additional required post-effective amendments thereto have all become effective under the Securities Act, such effectiveness has not been terminated or rescinded, and comply with all applicable laws; (iii) any Offered Securities being offered will be issued and sold in compliance with applicable federal and state securities laws and as contemplated in the Registration Statement or the Prospectus Supplement relating thereto; (iv) any legally required consents, approvals, authorizations and other orders of the Commission and any other governmental or regulatory authorities have been obtained; (v) the information, representations and warranties contained in the instruments, documents, certificates, and records we have reviewed continue to be true, accurate, and complete; (vi) all actions necessary for the issuance of any Common Shares or Preferred Shares and the form and terms thereof will not (a) contravene the Articles of Incorporation or Bylaws, (b) violate any law, rule, or regulation applicable to the Company, or (c) result in any conflict with or breach of any agreement or document binding on the Company; (vii) the authorization of any Common Shares or Preferred Shares by the Company will not have been modified or rescinded, and there will not have occurred any change in law affecting the issuance thereof; (viii) the Articles of Incorporation and the Bylaws, as currently in effect, will not have been modified or amended and will be in full force and effect, and the number of Common Shares or Preferred Shares, as the case may be, offered and sold will not exceed the number of Common Shares or Preferred Shares, as the case may be, authorized under the Articles of Incorporation (as then in effect) and not otherwise reserved for issuance; (ix) the certificates, if any, evidencing the Common Shares or the Preferred Shares will be in a form approved for issuance by the Company, which complies with the IBCL; and (x) there shall not have occurred any change in law affecting the validity of any Offered Securities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We have further assumed that, at the time of the issuance, sale and delivery of Covered Securities: (i) all Covered Securities will constitute valid and legally binding obligations of the Company, enforceable against the Company in accordance with their terms, except to the extent such assumption states, directly or in practical effect, the legal conclusion expressed in paragraph 4 of this opinion letter; (ii) the execution, delivery, and performance by the Company of any indentures or supplemental indentures, and any agreements or other documents relating to the issuance of the Covered Securities, as applicable, and all actions necessary for the issuance of the Covered Securities, and the forms and terms thereof, will comply with all requirements and restrictions, if any, applicable to the Company, whether imposed by any agreement or instrument to which the Company is a party or by which it is bound or any court or other governmental or regulatory body having jurisdiction over the Company; and (iii) there will not have occurred any change in law affecting the legally binding character or enforceability thereof. </w:t>
      </w:r>
    </w:p>
    <w:p>
      <w:pPr>
        <w:pStyle w:val="TextBody"/>
        <w:bidi w:val="0"/>
        <w:spacing w:before="0" w:after="0"/>
        <w:jc w:val="left"/>
        <w:rPr/>
      </w:pPr>
      <w:r>
        <w:rPr/>
        <w:t> </w:t>
      </w:r>
    </w:p>
    <w:p>
      <w:pPr>
        <w:pStyle w:val="TextBody"/>
        <w:bidi w:val="0"/>
        <w:spacing w:before="0" w:after="0"/>
        <w:jc w:val="left"/>
        <w:rPr/>
      </w:pPr>
      <w:r>
        <w:rPr/>
        <w:drawing>
          <wp:inline distT="0" distB="0" distL="0" distR="0">
            <wp:extent cx="1254125" cy="228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1254125" cy="228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Xylem Inc.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and subject to the assumptions, qualifications, limitations, and exceptions set forth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validly existing as a corporation under the laws of the State of Indiana and has all requisite corporate power under its Articles of Incorporation, Bylaws, and the IBCL to execute, deliver, and perform its obligations under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With respect to any offering of Common Shares, including Common Shares issuable upon conversion of Preferred Shares, when (i) a Prospectus Supplement and any other offering material with respect to the Common Shares have been filed with the Commission in compliance with the Securities Act and the rules and regulations thereunder; (ii) the appropriate corporate action has been taken by the Company to authorize the issuance of the Common Shares and to fix or otherwise determine the consideration to be received for the Common Shares and the terms of the offer and sale thereof; (iii) any legally required consents, approvals, authorizations, and other orders of the Commission and any other regulatory authorities are obtained; (iv) unless issued without certificates, certificates representing the Common Shares have been duly executed by the duly authorized officers of the Company, countersigned by the transfer agent therefor, and delivered to the purchasers thereof or other persons entitled thereto; (v) the Common Shares have been issued by the Company against payment of the agreed-upon consideration therefor in accordance with any relevant agreements and such corporate action; and (vi) in the case of Common Shares issuable upon conversion of Preferred Shares, the actions in respect of such Preferred Shares referred to in paragraph 3 hereof have been completed, then, upon the happening of such events, such Common Shares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any offering of any series of Preferred Shares, when (i) a Prospectus Supplement and any other offering material with respect to the Preferred Shares have been filed with the Commission in compliance with the Securities Act and the rules and regulations thereunder; (ii) Articles of Amendment establishing the designations, preferences, rights, qualifications, limitations, or restrictions of such series of Preferred Shares have been duly approved by appropriate corporate action, executed by duly authorized officers of the Company, and filed by the Company with the Secretary of State of the State of Indiana, all in accordance with the laws of the State of Indiana; (iii) appropriate corporate action has been taken by the Company to authorize the issuance of the Preferred Shares and to authorize and approve the issuance and sale of the Preferred Shares of such series and to fix or otherwise determine the consideration to be received for the Preferred Shares and the terms of the offer and sale thereof; (iv) any legally required consents, approvals, authorizations, and other orders of the Commission and any other regulatory authorities are obtained; (v) Preferred Shares with terms so fixed have been issued by the Company against payment of the agreed-upon consideration therefor in accordance with any relevant agreements and such corporate action; and (vi) unless issued without certificates, certificates representing the Preferred Shares have been duly executed by the duly authorized officers of the Company, countersigned by the transfer agent therefor, and delivered to the purchasers thereof, then, upon the happening of such events, the Preferred Shares will be validly issued, fully paid, and non-assessable. </w:t>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295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3"/>
                    <a:stretch>
                      <a:fillRect/>
                    </a:stretch>
                  </pic:blipFill>
                  <pic:spPr bwMode="auto">
                    <a:xfrm>
                      <a:off x="0" y="0"/>
                      <a:ext cx="1619250" cy="2952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Xylem Inc.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With respect to any offering of Covered Securities, if the Covered Securities are convertible into Common Shares or Preferred Shares or if Common Shares or Preferred Shares may be acquired upon exercise or otherwise upon fulfillment of the terms of the Covered Securities, when (i) a Prospectus Supplement and any other offering material with respect to the Covered Securities have been filed with the Commission in compliance with the Securities Act and the rules and regulations thereunder; (ii) Articles of Amendment establishing the designations, preferences, rights, qualifications, limitations, or restrictions of any series of Preferred Shares have been duly approved by appropriate corporate action, executed by duly authorized officers of the Company, and filed by the Company with the Secretary of State of the State of Indiana, all in accordance with the laws of the State of Indiana; (iii) the appropriate corporate action has been taken by the Company to authorize the issuance of such Covered Securities and such Common Shares or Preferred Shares as described in paragraphs 2 and 3, above, respectively; (iv) any legally required consents, approvals, authorizations, and other orders of the Commission and any other regulatory authorities are obtained; (v) the Covered Securities have been presented for conversion, exercise, or fulfillment in accordance with the terms thereof together with any consideration, certificates, and/or instructions required in connection therewith by such Covered Security; and (vi) unless issued without certificates, certificates representing such Common Shares or Preferred Shares have been duly executed by the duly authorized officers of the Company, countersigned by the transfer agent therefor, and delivered upon such conversion, exercise, or fulfillment to the persons entitled thereto, in accordance with the terms of such Covered Securities, then, upon the happening of such events, the Common Shares or Preferred Shares issuable upon conversion, exercise, or fulfillment of the Covered Securities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other than as expressly stated above. The opinions set forth herein are expressed as of the date hereof, and we disclaim any undertaking to advise the Company or any other party of any subsequent changes to the matters stated, represented, or assumed herein or any subsequent changes in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5.2 to the Registration Statement and to the reference to us under the heading “Legal Matters” in the Prospectus and any Prospectus Supplement that is a part of the Registration Statement. However,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Barnes &amp; Thornburg LLP</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BARNES &amp; THORNBURG LLP</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1619250" cy="295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4"/>
                    <a:stretch>
                      <a:fillRect/>
                    </a:stretch>
                  </pic:blipFill>
                  <pic:spPr bwMode="auto">
                    <a:xfrm>
                      <a:off x="0" y="0"/>
                      <a:ext cx="1619250" cy="29527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21" w:name="d125598dex231.htm"/>
      <w:bookmarkStart w:id="22" w:name="ksd125598dex231"/>
      <w:bookmarkEnd w:id="21"/>
      <w:bookmarkEnd w:id="22"/>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reports dated February 25, 2026, relating to the financial statements of Xylem Inc. and the effectiveness of Xylem Inc.’s internal control over financial reporting, appearing in the Annual Report on Form 10-K of Xylem Inc. for the year ended December 31, 2025.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Deloitte &amp; Touche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Stamford, Connecticut</w:t>
            </w:r>
          </w:p>
        </w:tc>
      </w:tr>
      <w:tr>
        <w:trPr/>
        <w:tc>
          <w:tcPr>
            <w:tcW w:w="4082"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August 3, 2026</w:t>
            </w:r>
          </w:p>
        </w:tc>
      </w:tr>
    </w:tbl>
    <w:p>
      <w:pPr>
        <w:pStyle w:val="TextBody"/>
        <w:bidi w:val="0"/>
        <w:spacing w:before="0" w:after="0"/>
        <w:jc w:val="right"/>
        <w:rPr>
          <w:rFonts w:ascii="Times New Roman" w:hAnsi="Times New Roman"/>
          <w:b/>
          <w:sz w:val="20"/>
        </w:rPr>
      </w:pPr>
      <w:bookmarkStart w:id="23" w:name="d125598dex251.htm"/>
      <w:bookmarkStart w:id="24" w:name="ksd125598dex251"/>
      <w:bookmarkEnd w:id="23"/>
      <w:bookmarkEnd w:id="24"/>
      <w:r>
        <w:rPr>
          <w:rFonts w:ascii="Times New Roman" w:hAnsi="Times New Roman"/>
          <w:b/>
          <w:sz w:val="20"/>
        </w:rPr>
        <w:t xml:space="preserve">Exhibit 25.1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DEUTSCHE BANK TRUST COMPANY AMERICAS </w:t>
      </w:r>
    </w:p>
    <w:p>
      <w:pPr>
        <w:pStyle w:val="TextBody"/>
        <w:bidi w:val="0"/>
        <w:spacing w:before="0" w:after="0"/>
        <w:jc w:val="center"/>
        <w:rPr>
          <w:rFonts w:ascii="Times New Roman" w:hAnsi="Times New Roman"/>
          <w:b/>
          <w:sz w:val="48"/>
        </w:rPr>
      </w:pPr>
      <w:r>
        <w:rPr>
          <w:rFonts w:ascii="Times New Roman" w:hAnsi="Times New Roman"/>
          <w:b/>
          <w:sz w:val="48"/>
        </w:rPr>
        <w:t xml:space="preserve">(formerly BANKERS TRUST COMPANY)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NEW YORK</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13-4941247</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(Jurisdiction of Incorporation or</w:t>
            </w:r>
          </w:p>
          <w:p>
            <w:pPr>
              <w:pStyle w:val="TableContents"/>
              <w:bidi w:val="0"/>
              <w:spacing w:before="0" w:after="20"/>
              <w:jc w:val="center"/>
              <w:rPr>
                <w:rFonts w:ascii="Times New Roman" w:hAnsi="Times New Roman"/>
                <w:b/>
                <w:sz w:val="16"/>
              </w:rPr>
            </w:pPr>
            <w:r>
              <w:rPr>
                <w:rFonts w:ascii="Times New Roman" w:hAnsi="Times New Roman"/>
                <w:b/>
                <w:sz w:val="16"/>
              </w:rPr>
              <w:t>organization if not a U.S. national bank)</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 COLUMBUS CIRCLE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10019</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(Address of principal</w:t>
            </w:r>
          </w:p>
          <w:p>
            <w:pPr>
              <w:pStyle w:val="TableContents"/>
              <w:bidi w:val="0"/>
              <w:spacing w:before="0" w:after="20"/>
              <w:jc w:val="center"/>
              <w:rPr>
                <w:rFonts w:ascii="Times New Roman" w:hAnsi="Times New Roman"/>
                <w:b/>
                <w:sz w:val="16"/>
              </w:rPr>
            </w:pPr>
            <w:r>
              <w:rPr>
                <w:rFonts w:ascii="Times New Roman" w:hAnsi="Times New Roman"/>
                <w:b/>
                <w:sz w:val="16"/>
              </w:rPr>
              <w:t>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Deutsche Bank Trust Company Americas </w:t>
      </w:r>
    </w:p>
    <w:p>
      <w:pPr>
        <w:pStyle w:val="TextBody"/>
        <w:bidi w:val="0"/>
        <w:spacing w:before="0" w:after="0"/>
        <w:jc w:val="center"/>
        <w:rPr>
          <w:rFonts w:ascii="Times New Roman" w:hAnsi="Times New Roman"/>
          <w:b/>
          <w:sz w:val="20"/>
        </w:rPr>
      </w:pPr>
      <w:r>
        <w:rPr>
          <w:rFonts w:ascii="Times New Roman" w:hAnsi="Times New Roman"/>
          <w:b/>
          <w:sz w:val="20"/>
        </w:rPr>
        <w:t xml:space="preserve">1 Columbus Circle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10019 </w:t>
      </w:r>
    </w:p>
    <w:p>
      <w:pPr>
        <w:pStyle w:val="TextBody"/>
        <w:bidi w:val="0"/>
        <w:spacing w:before="0" w:after="0"/>
        <w:jc w:val="center"/>
        <w:rPr>
          <w:rFonts w:ascii="Times New Roman" w:hAnsi="Times New Roman"/>
          <w:b/>
          <w:sz w:val="20"/>
        </w:rPr>
      </w:pPr>
      <w:r>
        <w:rPr>
          <w:rFonts w:ascii="Times New Roman" w:hAnsi="Times New Roman"/>
          <w:b/>
          <w:sz w:val="20"/>
        </w:rPr>
        <w:t xml:space="preserve">(212) 250 – 2500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0"/>
        </w:rPr>
      </w:pPr>
      <w:r>
        <w:rPr>
          <w:rFonts w:ascii="Times New Roman" w:hAnsi="Times New Roman"/>
          <w:b/>
          <w:sz w:val="20"/>
        </w:rPr>
        <w:t xml:space="preserve">XYLEM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Indiana</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45-2080495</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301 Water Street SE</w:t>
            </w:r>
          </w:p>
          <w:p>
            <w:pPr>
              <w:pStyle w:val="TableContents"/>
              <w:bidi w:val="0"/>
              <w:spacing w:before="0" w:after="20"/>
              <w:jc w:val="center"/>
              <w:rPr>
                <w:rFonts w:ascii="Times New Roman" w:hAnsi="Times New Roman"/>
                <w:b/>
                <w:sz w:val="20"/>
              </w:rPr>
            </w:pPr>
            <w:r>
              <w:rPr>
                <w:rFonts w:ascii="Times New Roman" w:hAnsi="Times New Roman"/>
                <w:b/>
                <w:sz w:val="20"/>
              </w:rPr>
              <w:t>Washington, DC</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20003</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Furnish the following information as to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and address of each examining or supervising authority to which it is subject. </w:t>
            </w:r>
          </w:p>
        </w:tc>
      </w:tr>
    </w:tbl>
    <w:p>
      <w:pPr>
        <w:pStyle w:val="TextBody"/>
        <w:bidi w:val="0"/>
        <w:spacing w:before="0" w:after="0"/>
        <w:jc w:val="left"/>
        <w:rPr/>
      </w:pPr>
      <w:r>
        <w:rPr/>
        <w:t> </w:t>
      </w:r>
    </w:p>
    <w:tbl>
      <w:tblPr>
        <w:tblW w:w="4100" w:type="pct"/>
        <w:jc w:val="center"/>
        <w:tblInd w:w="0" w:type="dxa"/>
        <w:tblLayout w:type="fixed"/>
        <w:tblCellMar>
          <w:top w:w="0" w:type="dxa"/>
          <w:left w:w="0" w:type="dxa"/>
          <w:bottom w:w="0" w:type="dxa"/>
          <w:right w:w="0" w:type="dxa"/>
        </w:tblCellMar>
      </w:tblPr>
      <w:tblGrid>
        <w:gridCol w:w="4219"/>
        <w:gridCol w:w="122"/>
        <w:gridCol w:w="4027"/>
      </w:tblGrid>
      <w:tr>
        <w:trPr/>
        <w:tc>
          <w:tcPr>
            <w:tcW w:w="421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027" w:type="dxa"/>
            <w:tcBorders/>
            <w:vAlign w:val="center"/>
          </w:tcPr>
          <w:p>
            <w:pPr>
              <w:pStyle w:val="TableContents"/>
              <w:bidi w:val="0"/>
              <w:spacing w:before="0" w:after="283"/>
              <w:jc w:val="left"/>
              <w:rPr>
                <w:sz w:val="4"/>
                <w:szCs w:val="4"/>
              </w:rPr>
            </w:pPr>
            <w:r>
              <w:rPr>
                <w:sz w:val="4"/>
                <w:szCs w:val="4"/>
              </w:rPr>
            </w:r>
          </w:p>
        </w:tc>
      </w:tr>
      <w:tr>
        <w:trPr/>
        <w:tc>
          <w:tcPr>
            <w:tcW w:w="42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2" w:type="dxa"/>
            <w:tcBorders/>
            <w:vAlign w:val="bottom"/>
          </w:tcPr>
          <w:p>
            <w:pPr>
              <w:pStyle w:val="TableContents"/>
              <w:bidi w:val="0"/>
              <w:spacing w:before="0" w:after="283"/>
              <w:jc w:val="left"/>
              <w:rPr/>
            </w:pPr>
            <w:r>
              <w:rPr/>
              <w:t>  </w:t>
            </w:r>
          </w:p>
        </w:tc>
        <w:tc>
          <w:tcPr>
            <w:tcW w:w="40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Address</w:t>
            </w:r>
          </w:p>
        </w:tc>
      </w:tr>
      <w:tr>
        <w:trPr/>
        <w:tc>
          <w:tcPr>
            <w:tcW w:w="4219" w:type="dxa"/>
            <w:tcBorders/>
          </w:tcPr>
          <w:p>
            <w:pPr>
              <w:pStyle w:val="TableContents"/>
              <w:bidi w:val="0"/>
              <w:spacing w:before="0" w:after="283"/>
              <w:jc w:val="left"/>
              <w:rPr/>
            </w:pPr>
            <w:r>
              <w:rPr/>
              <w:t>Federal Reserve Bank (2nd District)</w:t>
            </w:r>
          </w:p>
        </w:tc>
        <w:tc>
          <w:tcPr>
            <w:tcW w:w="122" w:type="dxa"/>
            <w:tcBorders/>
            <w:vAlign w:val="bottom"/>
          </w:tcPr>
          <w:p>
            <w:pPr>
              <w:pStyle w:val="TableContents"/>
              <w:bidi w:val="0"/>
              <w:spacing w:before="0" w:after="283"/>
              <w:jc w:val="left"/>
              <w:rPr/>
            </w:pPr>
            <w:r>
              <w:rPr/>
              <w:t>  </w:t>
            </w:r>
          </w:p>
        </w:tc>
        <w:tc>
          <w:tcPr>
            <w:tcW w:w="4027" w:type="dxa"/>
            <w:tcBorders/>
          </w:tcPr>
          <w:p>
            <w:pPr>
              <w:pStyle w:val="TableContents"/>
              <w:bidi w:val="0"/>
              <w:spacing w:before="0" w:after="283"/>
              <w:jc w:val="left"/>
              <w:rPr/>
            </w:pPr>
            <w:r>
              <w:rPr/>
              <w:t>New York, NY</w:t>
            </w:r>
          </w:p>
        </w:tc>
      </w:tr>
      <w:tr>
        <w:trPr/>
        <w:tc>
          <w:tcPr>
            <w:tcW w:w="4219" w:type="dxa"/>
            <w:tcBorders/>
          </w:tcPr>
          <w:p>
            <w:pPr>
              <w:pStyle w:val="TableContents"/>
              <w:bidi w:val="0"/>
              <w:spacing w:before="0" w:after="283"/>
              <w:jc w:val="left"/>
              <w:rPr/>
            </w:pPr>
            <w:r>
              <w:rPr/>
              <w:t>Federal Deposit Insurance Corporation</w:t>
            </w:r>
          </w:p>
        </w:tc>
        <w:tc>
          <w:tcPr>
            <w:tcW w:w="122" w:type="dxa"/>
            <w:tcBorders/>
            <w:vAlign w:val="bottom"/>
          </w:tcPr>
          <w:p>
            <w:pPr>
              <w:pStyle w:val="TableContents"/>
              <w:bidi w:val="0"/>
              <w:spacing w:before="0" w:after="283"/>
              <w:jc w:val="left"/>
              <w:rPr/>
            </w:pPr>
            <w:r>
              <w:rPr/>
              <w:t>  </w:t>
            </w:r>
          </w:p>
        </w:tc>
        <w:tc>
          <w:tcPr>
            <w:tcW w:w="4027" w:type="dxa"/>
            <w:tcBorders/>
          </w:tcPr>
          <w:p>
            <w:pPr>
              <w:pStyle w:val="TableContents"/>
              <w:bidi w:val="0"/>
              <w:spacing w:before="0" w:after="283"/>
              <w:jc w:val="left"/>
              <w:rPr/>
            </w:pPr>
            <w:r>
              <w:rPr/>
              <w:t>Washington, D.C.</w:t>
            </w:r>
          </w:p>
        </w:tc>
      </w:tr>
      <w:tr>
        <w:trPr/>
        <w:tc>
          <w:tcPr>
            <w:tcW w:w="4219" w:type="dxa"/>
            <w:tcBorders/>
          </w:tcPr>
          <w:p>
            <w:pPr>
              <w:pStyle w:val="TableContents"/>
              <w:bidi w:val="0"/>
              <w:spacing w:before="0" w:after="283"/>
              <w:jc w:val="left"/>
              <w:rPr/>
            </w:pPr>
            <w:r>
              <w:rPr/>
              <w:t>New York State Banking Department</w:t>
            </w:r>
          </w:p>
        </w:tc>
        <w:tc>
          <w:tcPr>
            <w:tcW w:w="122" w:type="dxa"/>
            <w:tcBorders/>
            <w:vAlign w:val="bottom"/>
          </w:tcPr>
          <w:p>
            <w:pPr>
              <w:pStyle w:val="TableContents"/>
              <w:bidi w:val="0"/>
              <w:spacing w:before="0" w:after="283"/>
              <w:jc w:val="left"/>
              <w:rPr/>
            </w:pPr>
            <w:r>
              <w:rPr/>
              <w:t>  </w:t>
            </w:r>
          </w:p>
        </w:tc>
        <w:tc>
          <w:tcPr>
            <w:tcW w:w="4027" w:type="dxa"/>
            <w:tcBorders/>
          </w:tcPr>
          <w:p>
            <w:pPr>
              <w:pStyle w:val="TableContents"/>
              <w:bidi w:val="0"/>
              <w:spacing w:before="0" w:after="283"/>
              <w:jc w:val="left"/>
              <w:rPr/>
            </w:pPr>
            <w:r>
              <w:rPr/>
              <w:t>Albany, NY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360" w:after="0"/>
        <w:jc w:val="left"/>
        <w:rPr>
          <w:rFonts w:ascii="Times New Roman" w:hAnsi="Times New Roman"/>
          <w:b/>
          <w:sz w:val="20"/>
        </w:rPr>
      </w:pPr>
      <w:r>
        <w:rPr>
          <w:rFonts w:ascii="Times New Roman" w:hAnsi="Times New Roman"/>
          <w:b/>
          <w:sz w:val="20"/>
        </w:rPr>
        <w:t xml:space="preserve">Item 2. Affiliations with Obligor. </w:t>
      </w:r>
    </w:p>
    <w:p>
      <w:pPr>
        <w:pStyle w:val="TextBody"/>
        <w:bidi w:val="0"/>
        <w:spacing w:before="120" w:after="0"/>
        <w:jc w:val="left"/>
        <w:rPr>
          <w:rFonts w:ascii="Times New Roman" w:hAnsi="Times New Roman"/>
          <w:sz w:val="20"/>
        </w:rPr>
      </w:pPr>
      <w:r>
        <w:rPr>
          <w:rFonts w:ascii="Times New Roman" w:hAnsi="Times New Roman"/>
          <w:sz w:val="20"/>
        </w:rPr>
        <w:t xml:space="preserve">If the obligor is an affiliate of the Trustee, describe each such affiliation. </w:t>
      </w:r>
    </w:p>
    <w:p>
      <w:pPr>
        <w:pStyle w:val="TextBody"/>
        <w:bidi w:val="0"/>
        <w:spacing w:before="240" w:after="0"/>
        <w:jc w:val="left"/>
        <w:rPr>
          <w:rFonts w:ascii="Times New Roman" w:hAnsi="Times New Roman"/>
          <w:b/>
          <w:sz w:val="20"/>
        </w:rPr>
      </w:pPr>
      <w:r>
        <w:rPr>
          <w:rFonts w:ascii="Times New Roman" w:hAnsi="Times New Roman"/>
          <w:b/>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3. -15. Not Applicable. </w:t>
      </w:r>
    </w:p>
    <w:p>
      <w:pPr>
        <w:pStyle w:val="TextBody"/>
        <w:bidi w:val="0"/>
        <w:spacing w:before="120" w:after="0"/>
        <w:jc w:val="left"/>
        <w:rPr>
          <w:rFonts w:ascii="Times New Roman" w:hAnsi="Times New Roman"/>
          <w:b/>
          <w:sz w:val="20"/>
        </w:rPr>
      </w:pPr>
      <w:r>
        <w:rPr>
          <w:rFonts w:ascii="Times New Roman" w:hAnsi="Times New Roman"/>
          <w:b/>
          <w:sz w:val="20"/>
        </w:rPr>
        <w:t xml:space="preserve">Item 16. List of Exhibits. </w:t>
      </w:r>
    </w:p>
    <w:p>
      <w:pPr>
        <w:pStyle w:val="TextBody"/>
        <w:bidi w:val="0"/>
        <w:spacing w:before="0" w:after="0"/>
        <w:jc w:val="left"/>
        <w:rPr/>
      </w:pPr>
      <w:r>
        <w:rPr/>
        <w:t> </w:t>
      </w:r>
    </w:p>
    <w:tbl>
      <w:tblPr>
        <w:tblW w:w="4100" w:type="pct"/>
        <w:jc w:val="center"/>
        <w:tblInd w:w="0" w:type="dxa"/>
        <w:tblLayout w:type="fixed"/>
        <w:tblCellMar>
          <w:top w:w="0" w:type="dxa"/>
          <w:left w:w="0" w:type="dxa"/>
          <w:bottom w:w="0" w:type="dxa"/>
          <w:right w:w="0" w:type="dxa"/>
        </w:tblCellMar>
      </w:tblPr>
      <w:tblGrid>
        <w:gridCol w:w="1282"/>
        <w:gridCol w:w="123"/>
        <w:gridCol w:w="6963"/>
      </w:tblGrid>
      <w:tr>
        <w:trPr/>
        <w:tc>
          <w:tcPr>
            <w:tcW w:w="12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963" w:type="dxa"/>
            <w:tcBorders/>
            <w:vAlign w:val="center"/>
          </w:tcPr>
          <w:p>
            <w:pPr>
              <w:pStyle w:val="TableContents"/>
              <w:bidi w:val="0"/>
              <w:spacing w:before="0" w:after="283"/>
              <w:jc w:val="left"/>
              <w:rPr>
                <w:sz w:val="4"/>
                <w:szCs w:val="4"/>
              </w:rPr>
            </w:pPr>
            <w:r>
              <w:rPr>
                <w:sz w:val="4"/>
                <w:szCs w:val="4"/>
              </w:rPr>
            </w:r>
          </w:p>
        </w:tc>
      </w:tr>
      <w:tr>
        <w:trPr/>
        <w:tc>
          <w:tcPr>
            <w:tcW w:w="1282" w:type="dxa"/>
            <w:tcBorders/>
          </w:tcPr>
          <w:p>
            <w:pPr>
              <w:pStyle w:val="TableContents"/>
              <w:bidi w:val="0"/>
              <w:spacing w:before="0" w:after="283"/>
              <w:jc w:val="left"/>
              <w:rPr>
                <w:b/>
              </w:rPr>
            </w:pPr>
            <w:r>
              <w:rPr>
                <w:b/>
              </w:rPr>
              <w:t>Exhibit 1 -</w:t>
            </w:r>
          </w:p>
        </w:tc>
        <w:tc>
          <w:tcPr>
            <w:tcW w:w="123" w:type="dxa"/>
            <w:tcBorders/>
            <w:vAlign w:val="bottom"/>
          </w:tcPr>
          <w:p>
            <w:pPr>
              <w:pStyle w:val="TableContents"/>
              <w:bidi w:val="0"/>
              <w:spacing w:before="0" w:after="283"/>
              <w:jc w:val="left"/>
              <w:rPr/>
            </w:pPr>
            <w:r>
              <w:rPr/>
              <w:t>  </w:t>
            </w:r>
          </w:p>
        </w:tc>
        <w:tc>
          <w:tcPr>
            <w:tcW w:w="6963" w:type="dxa"/>
            <w:tcBorders/>
          </w:tcPr>
          <w:p>
            <w:pPr>
              <w:pStyle w:val="TableContents"/>
              <w:bidi w:val="0"/>
              <w:spacing w:before="0" w:after="283"/>
              <w:jc w:val="left"/>
              <w:rPr/>
            </w:pPr>
            <w:r>
              <w:rPr/>
              <w:t>Restated Organization Certificate of Bankers Trust Company dated August 31, 1998; Certificate of Amendment of the Organization Certificate of Bankers Trust Company dated September 25, 1998; Certificate of Amendment of the Organization Certificate of Bankers Trust Company dated December 18, 1998;Certificate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tc>
      </w:tr>
      <w:tr>
        <w:trPr>
          <w:trHeight w:val="120" w:hRule="atLeast"/>
        </w:trPr>
        <w:tc>
          <w:tcPr>
            <w:tcW w:w="1282" w:type="dxa"/>
            <w:tcBorders/>
            <w:vAlign w:val="center"/>
          </w:tcPr>
          <w:p>
            <w:pPr>
              <w:pStyle w:val="TableContents"/>
              <w:bidi w:val="0"/>
              <w:spacing w:before="0" w:after="283"/>
              <w:jc w:val="left"/>
              <w:rPr>
                <w:sz w:val="4"/>
                <w:szCs w:val="4"/>
              </w:rPr>
            </w:pPr>
            <w:r>
              <w:rPr>
                <w:sz w:val="4"/>
                <w:szCs w:val="4"/>
              </w:rPr>
            </w:r>
          </w:p>
        </w:tc>
        <w:tc>
          <w:tcPr>
            <w:tcW w:w="7086" w:type="dxa"/>
            <w:gridSpan w:val="2"/>
            <w:tcBorders/>
            <w:vAlign w:val="center"/>
          </w:tcPr>
          <w:p>
            <w:pPr>
              <w:pStyle w:val="TableContents"/>
              <w:bidi w:val="0"/>
              <w:spacing w:before="0" w:after="283"/>
              <w:jc w:val="left"/>
              <w:rPr>
                <w:sz w:val="4"/>
                <w:szCs w:val="4"/>
              </w:rPr>
            </w:pPr>
            <w:r>
              <w:rPr>
                <w:sz w:val="4"/>
                <w:szCs w:val="4"/>
              </w:rPr>
            </w:r>
          </w:p>
        </w:tc>
      </w:tr>
      <w:tr>
        <w:trPr/>
        <w:tc>
          <w:tcPr>
            <w:tcW w:w="1282" w:type="dxa"/>
            <w:tcBorders/>
          </w:tcPr>
          <w:p>
            <w:pPr>
              <w:pStyle w:val="TableContents"/>
              <w:bidi w:val="0"/>
              <w:spacing w:before="0" w:after="283"/>
              <w:jc w:val="left"/>
              <w:rPr>
                <w:b/>
              </w:rPr>
            </w:pPr>
            <w:r>
              <w:rPr>
                <w:b/>
              </w:rPr>
              <w:t>Exhibit 2 -</w:t>
            </w:r>
          </w:p>
        </w:tc>
        <w:tc>
          <w:tcPr>
            <w:tcW w:w="123" w:type="dxa"/>
            <w:tcBorders/>
            <w:vAlign w:val="bottom"/>
          </w:tcPr>
          <w:p>
            <w:pPr>
              <w:pStyle w:val="TableContents"/>
              <w:bidi w:val="0"/>
              <w:spacing w:before="0" w:after="283"/>
              <w:jc w:val="left"/>
              <w:rPr/>
            </w:pPr>
            <w:r>
              <w:rPr/>
              <w:t>  </w:t>
            </w:r>
          </w:p>
        </w:tc>
        <w:tc>
          <w:tcPr>
            <w:tcW w:w="6963" w:type="dxa"/>
            <w:tcBorders/>
          </w:tcPr>
          <w:p>
            <w:pPr>
              <w:pStyle w:val="TableContents"/>
              <w:bidi w:val="0"/>
              <w:spacing w:before="0" w:after="283"/>
              <w:jc w:val="left"/>
              <w:rPr/>
            </w:pPr>
            <w:r>
              <w:rPr/>
              <w:t>Certificate of Authority to commence business, incorporated herein by reference to Exhibit 2 filed with Form T-1 Statement, Registration No. 333-201810.</w:t>
            </w:r>
          </w:p>
        </w:tc>
      </w:tr>
      <w:tr>
        <w:trPr>
          <w:trHeight w:val="120" w:hRule="atLeast"/>
        </w:trPr>
        <w:tc>
          <w:tcPr>
            <w:tcW w:w="1282" w:type="dxa"/>
            <w:tcBorders/>
            <w:vAlign w:val="center"/>
          </w:tcPr>
          <w:p>
            <w:pPr>
              <w:pStyle w:val="TableContents"/>
              <w:bidi w:val="0"/>
              <w:spacing w:before="0" w:after="283"/>
              <w:jc w:val="left"/>
              <w:rPr>
                <w:sz w:val="4"/>
                <w:szCs w:val="4"/>
              </w:rPr>
            </w:pPr>
            <w:r>
              <w:rPr>
                <w:sz w:val="4"/>
                <w:szCs w:val="4"/>
              </w:rPr>
            </w:r>
          </w:p>
        </w:tc>
        <w:tc>
          <w:tcPr>
            <w:tcW w:w="7086" w:type="dxa"/>
            <w:gridSpan w:val="2"/>
            <w:tcBorders/>
            <w:vAlign w:val="center"/>
          </w:tcPr>
          <w:p>
            <w:pPr>
              <w:pStyle w:val="TableContents"/>
              <w:bidi w:val="0"/>
              <w:spacing w:before="0" w:after="283"/>
              <w:jc w:val="left"/>
              <w:rPr>
                <w:sz w:val="4"/>
                <w:szCs w:val="4"/>
              </w:rPr>
            </w:pPr>
            <w:r>
              <w:rPr>
                <w:sz w:val="4"/>
                <w:szCs w:val="4"/>
              </w:rPr>
            </w:r>
          </w:p>
        </w:tc>
      </w:tr>
      <w:tr>
        <w:trPr/>
        <w:tc>
          <w:tcPr>
            <w:tcW w:w="1282" w:type="dxa"/>
            <w:tcBorders/>
          </w:tcPr>
          <w:p>
            <w:pPr>
              <w:pStyle w:val="TableContents"/>
              <w:bidi w:val="0"/>
              <w:spacing w:before="0" w:after="283"/>
              <w:jc w:val="left"/>
              <w:rPr>
                <w:b/>
              </w:rPr>
            </w:pPr>
            <w:r>
              <w:rPr>
                <w:b/>
              </w:rPr>
              <w:t>Exhibit 3 -</w:t>
            </w:r>
          </w:p>
        </w:tc>
        <w:tc>
          <w:tcPr>
            <w:tcW w:w="123" w:type="dxa"/>
            <w:tcBorders/>
            <w:vAlign w:val="bottom"/>
          </w:tcPr>
          <w:p>
            <w:pPr>
              <w:pStyle w:val="TableContents"/>
              <w:bidi w:val="0"/>
              <w:spacing w:before="0" w:after="283"/>
              <w:jc w:val="left"/>
              <w:rPr/>
            </w:pPr>
            <w:r>
              <w:rPr/>
              <w:t>  </w:t>
            </w:r>
          </w:p>
        </w:tc>
        <w:tc>
          <w:tcPr>
            <w:tcW w:w="6963" w:type="dxa"/>
            <w:tcBorders/>
          </w:tcPr>
          <w:p>
            <w:pPr>
              <w:pStyle w:val="TableContents"/>
              <w:bidi w:val="0"/>
              <w:spacing w:before="0" w:after="283"/>
              <w:jc w:val="left"/>
              <w:rPr/>
            </w:pPr>
            <w:r>
              <w:rPr/>
              <w:t>Authorization of the Trustee to exercise corporate trust powers, incorporated herein by reference to Exhibit 3 filed with Form T-1 Statement, Registration No. 333-201810.</w:t>
            </w:r>
          </w:p>
        </w:tc>
      </w:tr>
      <w:tr>
        <w:trPr>
          <w:trHeight w:val="120" w:hRule="atLeast"/>
        </w:trPr>
        <w:tc>
          <w:tcPr>
            <w:tcW w:w="1282" w:type="dxa"/>
            <w:tcBorders/>
            <w:vAlign w:val="center"/>
          </w:tcPr>
          <w:p>
            <w:pPr>
              <w:pStyle w:val="TableContents"/>
              <w:bidi w:val="0"/>
              <w:spacing w:before="0" w:after="283"/>
              <w:jc w:val="left"/>
              <w:rPr>
                <w:sz w:val="4"/>
                <w:szCs w:val="4"/>
              </w:rPr>
            </w:pPr>
            <w:r>
              <w:rPr>
                <w:sz w:val="4"/>
                <w:szCs w:val="4"/>
              </w:rPr>
            </w:r>
          </w:p>
        </w:tc>
        <w:tc>
          <w:tcPr>
            <w:tcW w:w="7086" w:type="dxa"/>
            <w:gridSpan w:val="2"/>
            <w:tcBorders/>
            <w:vAlign w:val="center"/>
          </w:tcPr>
          <w:p>
            <w:pPr>
              <w:pStyle w:val="TableContents"/>
              <w:bidi w:val="0"/>
              <w:spacing w:before="0" w:after="283"/>
              <w:jc w:val="left"/>
              <w:rPr>
                <w:sz w:val="4"/>
                <w:szCs w:val="4"/>
              </w:rPr>
            </w:pPr>
            <w:r>
              <w:rPr>
                <w:sz w:val="4"/>
                <w:szCs w:val="4"/>
              </w:rPr>
            </w:r>
          </w:p>
        </w:tc>
      </w:tr>
      <w:tr>
        <w:trPr/>
        <w:tc>
          <w:tcPr>
            <w:tcW w:w="1282" w:type="dxa"/>
            <w:tcBorders/>
          </w:tcPr>
          <w:p>
            <w:pPr>
              <w:pStyle w:val="TableContents"/>
              <w:bidi w:val="0"/>
              <w:spacing w:before="0" w:after="283"/>
              <w:jc w:val="left"/>
              <w:rPr>
                <w:b/>
              </w:rPr>
            </w:pPr>
            <w:r>
              <w:rPr>
                <w:b/>
              </w:rPr>
              <w:t>Exhibit 4 -</w:t>
            </w:r>
          </w:p>
        </w:tc>
        <w:tc>
          <w:tcPr>
            <w:tcW w:w="123" w:type="dxa"/>
            <w:tcBorders/>
            <w:vAlign w:val="bottom"/>
          </w:tcPr>
          <w:p>
            <w:pPr>
              <w:pStyle w:val="TableContents"/>
              <w:bidi w:val="0"/>
              <w:spacing w:before="0" w:after="283"/>
              <w:jc w:val="left"/>
              <w:rPr/>
            </w:pPr>
            <w:r>
              <w:rPr/>
              <w:t>  </w:t>
            </w:r>
          </w:p>
        </w:tc>
        <w:tc>
          <w:tcPr>
            <w:tcW w:w="6963" w:type="dxa"/>
            <w:tcBorders/>
          </w:tcPr>
          <w:p>
            <w:pPr>
              <w:pStyle w:val="TableContents"/>
              <w:bidi w:val="0"/>
              <w:spacing w:before="0" w:after="283"/>
              <w:jc w:val="left"/>
              <w:rPr/>
            </w:pPr>
            <w:r>
              <w:rPr/>
              <w:t>A copy of existing By-Laws of Deutsche Bank Trust Company Americas, dated May 1, 2025 (see attached).</w:t>
            </w:r>
          </w:p>
        </w:tc>
      </w:tr>
    </w:tbl>
    <w:p>
      <w:pPr>
        <w:pStyle w:val="HorizontalLine"/>
        <w:pBdr>
          <w:bottom w:val="double" w:sz="6" w:space="0" w:color="808080"/>
        </w:pBdr>
        <w:bidi w:val="0"/>
        <w:jc w:val="left"/>
        <w:rPr/>
      </w:pPr>
      <w:r>
        <w:br w:type="page"/>
      </w:r>
      <w:r>
        <w:rPr/>
      </w:r>
    </w:p>
    <w:tbl>
      <w:tblPr>
        <w:tblW w:w="4100" w:type="pct"/>
        <w:jc w:val="center"/>
        <w:tblInd w:w="0" w:type="dxa"/>
        <w:tblLayout w:type="fixed"/>
        <w:tblCellMar>
          <w:top w:w="0" w:type="dxa"/>
          <w:left w:w="0" w:type="dxa"/>
          <w:bottom w:w="0" w:type="dxa"/>
          <w:right w:w="0" w:type="dxa"/>
        </w:tblCellMar>
      </w:tblPr>
      <w:tblGrid>
        <w:gridCol w:w="1283"/>
        <w:gridCol w:w="123"/>
        <w:gridCol w:w="6962"/>
      </w:tblGrid>
      <w:tr>
        <w:trPr/>
        <w:tc>
          <w:tcPr>
            <w:tcW w:w="12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9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5 -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Not applicable.</w:t>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6 -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Consent of Bankers Trust Company required by Section 321(b) of the Act, incorporated herein by reference to Exhibit 6 filed with Form T-1 Statement, Registration No. 333-201810.</w:t>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7 -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A copy of the latest report of condition of the trustee published pursuant to law or the requirements of its supervising or examining authority.</w:t>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8 -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Not Applicable.</w:t>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9 -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Not Applicable.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16th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DEUTSCHE BANK TRUST COMPANY AMERICAS</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Jacqueline Bartnick</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283"/>
              <w:jc w:val="left"/>
              <w:rPr/>
            </w:pPr>
            <w:r>
              <w:rPr/>
              <w:t>Name: Jacqueline Bartnick</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96"/>
        <w:gridCol w:w="109"/>
        <w:gridCol w:w="4398"/>
        <w:gridCol w:w="122"/>
        <w:gridCol w:w="2780"/>
      </w:tblGrid>
      <w:tr>
        <w:trPr/>
        <w:tc>
          <w:tcPr>
            <w:tcW w:w="279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39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r>
      <w:tr>
        <w:trPr/>
        <w:tc>
          <w:tcPr>
            <w:tcW w:w="2796" w:type="dxa"/>
            <w:vMerge w:val="restart"/>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Board of Governors of the Federal Reserve System</w:t>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OMB Number 7100-0036</w:t>
            </w:r>
          </w:p>
        </w:tc>
      </w:tr>
      <w:tr>
        <w:trPr/>
        <w:tc>
          <w:tcPr>
            <w:tcW w:w="2796" w:type="dxa"/>
            <w:vMerge w:val="continue"/>
            <w:tcBorders/>
            <w:vAlign w:val="bottom"/>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Federal Deposit Insurance Corporation</w:t>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OMB Number 3064-0052</w:t>
            </w:r>
          </w:p>
        </w:tc>
      </w:tr>
      <w:tr>
        <w:trPr/>
        <w:tc>
          <w:tcPr>
            <w:tcW w:w="2796" w:type="dxa"/>
            <w:vMerge w:val="continue"/>
            <w:tcBorders/>
            <w:vAlign w:val="bottom"/>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Office of the Comptroller of the Currency</w:t>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OMB Number 1557-0081</w:t>
            </w:r>
          </w:p>
        </w:tc>
      </w:tr>
      <w:tr>
        <w:trPr/>
        <w:tc>
          <w:tcPr>
            <w:tcW w:w="2796" w:type="dxa"/>
            <w:vMerge w:val="continue"/>
            <w:tcBorders/>
            <w:vAlign w:val="bottom"/>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Approval expires February 28, 2029</w:t>
            </w:r>
          </w:p>
        </w:tc>
      </w:tr>
      <w:tr>
        <w:trPr/>
        <w:tc>
          <w:tcPr>
            <w:tcW w:w="2796" w:type="dxa"/>
            <w:vMerge w:val="continue"/>
            <w:tcBorders/>
            <w:vAlign w:val="bottom"/>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Page 1 of 86</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Federal Financial Institutions Examination Council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3"/>
        <w:gridCol w:w="120"/>
        <w:gridCol w:w="8762"/>
      </w:tblGrid>
      <w:tr>
        <w:trPr/>
        <w:tc>
          <w:tcPr>
            <w:tcW w:w="13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r>
      <w:tr>
        <w:trPr/>
        <w:tc>
          <w:tcPr>
            <w:tcW w:w="1323" w:type="dxa"/>
            <w:tcBorders/>
          </w:tcPr>
          <w:p>
            <w:pPr>
              <w:pStyle w:val="TableContents"/>
              <w:bidi w:val="0"/>
              <w:spacing w:before="0" w:after="283"/>
              <w:jc w:val="left"/>
              <w:rPr/>
            </w:pPr>
            <w:r>
              <w:rPr/>
              <w:drawing>
                <wp:inline distT="0" distB="0" distL="0" distR="0">
                  <wp:extent cx="828675" cy="847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5"/>
                          <a:stretch>
                            <a:fillRect/>
                          </a:stretch>
                        </pic:blipFill>
                        <pic:spPr bwMode="auto">
                          <a:xfrm>
                            <a:off x="0" y="0"/>
                            <a:ext cx="828675" cy="8477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762" w:type="dxa"/>
            <w:tcBorders/>
            <w:vAlign w:val="center"/>
          </w:tcPr>
          <w:p>
            <w:pPr>
              <w:pStyle w:val="TableContents"/>
              <w:bidi w:val="0"/>
              <w:spacing w:before="0" w:after="283"/>
              <w:jc w:val="left"/>
              <w:rPr>
                <w:b/>
              </w:rPr>
            </w:pPr>
            <w:r>
              <w:rPr>
                <w:b/>
              </w:rPr>
              <w:t>Consolidated Reports of Condition and Income for a Bank with Domestic Offices Only—FFIEC 041</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5"/>
        <w:gridCol w:w="72"/>
        <w:gridCol w:w="951"/>
        <w:gridCol w:w="72"/>
        <w:gridCol w:w="539"/>
        <w:gridCol w:w="127"/>
        <w:gridCol w:w="3085"/>
        <w:gridCol w:w="127"/>
        <w:gridCol w:w="286"/>
        <w:gridCol w:w="127"/>
        <w:gridCol w:w="2294"/>
      </w:tblGrid>
      <w:tr>
        <w:trPr/>
        <w:tc>
          <w:tcPr>
            <w:tcW w:w="252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4159" w:type="dxa"/>
            <w:gridSpan w:val="5"/>
            <w:tcBorders/>
          </w:tcPr>
          <w:p>
            <w:pPr>
              <w:pStyle w:val="TableContents"/>
              <w:bidi w:val="0"/>
              <w:spacing w:before="0" w:after="283"/>
              <w:jc w:val="left"/>
              <w:rPr>
                <w:b/>
              </w:rPr>
            </w:pPr>
            <w:r>
              <w:rPr>
                <w:b/>
              </w:rPr>
              <w:t>Report at the close of business March 31, 2026</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u w:val="single"/>
              </w:rPr>
            </w:pPr>
            <w:r>
              <w:rPr>
                <w:u w:val="single"/>
              </w:rPr>
              <w:t>   </w:t>
            </w:r>
            <w:r>
              <w:rPr>
                <w:rFonts w:ascii="Times New Roman" w:hAnsi="Times New Roman"/>
                <w:sz w:val="20"/>
                <w:u w:val="single"/>
              </w:rPr>
              <w:t>20260331 </w:t>
            </w:r>
          </w:p>
          <w:p>
            <w:pPr>
              <w:pStyle w:val="TableContents"/>
              <w:bidi w:val="0"/>
              <w:spacing w:before="0" w:after="20"/>
              <w:jc w:val="left"/>
              <w:rPr/>
            </w:pPr>
            <w:r>
              <w:rPr/>
              <w:t>  </w:t>
            </w:r>
            <w:r>
              <w:rPr>
                <w:rFonts w:ascii="Times New Roman" w:hAnsi="Times New Roman"/>
                <w:sz w:val="20"/>
              </w:rPr>
              <w:t>(RCON 9999)</w:t>
            </w:r>
          </w:p>
        </w:tc>
      </w:tr>
      <w:tr>
        <w:trPr>
          <w:trHeight w:val="120" w:hRule="atLeast"/>
        </w:trPr>
        <w:tc>
          <w:tcPr>
            <w:tcW w:w="4159" w:type="dxa"/>
            <w:gridSpan w:val="5"/>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4159" w:type="dxa"/>
            <w:gridSpan w:val="5"/>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This report is required by law: 12 U.S.C. § 324 (State member banks); 12 U.S.C. §1817 (State nonmember banks); 12 U.S.C. §161 (National banks); and 12 U.S.C. §1464 (Savings associations).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Unless the context indicates otherwise, the term “bank” in this report form refers to both banks and savings associations.</w:t>
            </w:r>
          </w:p>
          <w:p>
            <w:pPr>
              <w:pStyle w:val="TableContents"/>
              <w:bidi w:val="0"/>
              <w:spacing w:before="0" w:after="20"/>
              <w:jc w:val="left"/>
              <w:rPr/>
            </w:pPr>
            <w:r>
              <w:rPr/>
              <w:t> </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5919" w:type="dxa"/>
            <w:gridSpan w:val="5"/>
            <w:tcBorders>
              <w:bottom w:val="single" w:sz="2" w:space="0" w:color="000000"/>
            </w:tcBorders>
            <w:tcMar>
              <w:bottom w:w="28" w:type="dxa"/>
            </w:tcMar>
          </w:tcPr>
          <w:p>
            <w:pPr>
              <w:pStyle w:val="TableContents"/>
              <w:bidi w:val="0"/>
              <w:spacing w:before="0" w:after="283"/>
              <w:jc w:val="left"/>
              <w:rPr/>
            </w:pPr>
            <w:r>
              <w:rPr/>
              <w:t>This report form is to be filed by banks with domestic offices only and total consolidated assets of less than $100 billion, except those banks that file the FFIEC 051, and those banks that are advanced approaches institutions for regulatory capital purposes that are required to file the FFIEC 031.</w:t>
            </w:r>
          </w:p>
        </w:tc>
      </w:tr>
      <w:tr>
        <w:trPr/>
        <w:tc>
          <w:tcPr>
            <w:tcW w:w="4159" w:type="dxa"/>
            <w:gridSpan w:val="5"/>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NOTE: Each bank’s board of directors and senior management are responsible for establishing and maintaining an effective system of internal control, including controls over the Reports of Condition and Income. The Reports of Condition and Income are to be prepared in accordance with federal regulatory authority instructions. The Reports of Condition and Income must be signed by the Chief Financial Officer (CFO) of the reporting bank (or by the individual performing an equivalent function) and attested to by not less than two directors (trustees) for state nonmember banks and three directors for state member banks, national banks, and savings associations.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 the undersigned CFO (or equivalent) of the named bank, attest that the Reports of Condition and Income (including the supporting</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schedules) for this report date have been prepared in conformance with the instructions issued by the appropriate Federal regulatory authority and are true and correct to the best of my knowledge and belief.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the undersigned directors (trustees), attest to the correctness of the Reports of Condition and Income (including the supporting schedules) for this report date and declare that the Reports of Condition and Income have been examined by us and to the best of our knowledge and belief have been prepared in conformance with the instructions issued by the appropriate Federal regulatory authority and are true and correct.</w:t>
            </w:r>
          </w:p>
        </w:tc>
      </w:tr>
      <w:tr>
        <w:trPr/>
        <w:tc>
          <w:tcPr>
            <w:tcW w:w="4159" w:type="dxa"/>
            <w:gridSpan w:val="5"/>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pBdr>
                <w:bottom w:val="single" w:sz="2" w:space="1" w:color="000000"/>
              </w:pBdr>
              <w:bidi w:val="0"/>
              <w:spacing w:before="0" w:after="20"/>
              <w:jc w:val="left"/>
              <w:rPr/>
            </w:pPr>
            <w:r>
              <w:rPr/>
              <w:t>  </w:t>
            </w:r>
          </w:p>
        </w:tc>
      </w:tr>
      <w:tr>
        <w:trPr/>
        <w:tc>
          <w:tcPr>
            <w:tcW w:w="4159" w:type="dxa"/>
            <w:gridSpan w:val="5"/>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91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 (Trustee)</w:t>
            </w:r>
          </w:p>
        </w:tc>
      </w:tr>
      <w:tr>
        <w:trPr>
          <w:trHeight w:val="120" w:hRule="atLeast"/>
        </w:trPr>
        <w:tc>
          <w:tcPr>
            <w:tcW w:w="4159" w:type="dxa"/>
            <w:gridSpan w:val="5"/>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4159" w:type="dxa"/>
            <w:gridSpan w:val="5"/>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5919" w:type="dxa"/>
            <w:gridSpan w:val="5"/>
            <w:tcBorders/>
            <w:vAlign w:val="bottom"/>
          </w:tcPr>
          <w:p>
            <w:pPr>
              <w:pStyle w:val="TableContents"/>
              <w:pBdr>
                <w:bottom w:val="single" w:sz="2" w:space="1" w:color="000000"/>
              </w:pBdr>
              <w:bidi w:val="0"/>
              <w:spacing w:before="0" w:after="20"/>
              <w:jc w:val="left"/>
              <w:rPr/>
            </w:pPr>
            <w:r>
              <w:rPr/>
              <w:t>  </w:t>
            </w:r>
          </w:p>
        </w:tc>
      </w:tr>
      <w:tr>
        <w:trPr/>
        <w:tc>
          <w:tcPr>
            <w:tcW w:w="415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Signature of Chief Financial Officer (or Equivalent)</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Director (Trustee)</w:t>
            </w:r>
          </w:p>
        </w:tc>
      </w:tr>
      <w:tr>
        <w:trPr>
          <w:trHeight w:val="120" w:hRule="atLeast"/>
        </w:trPr>
        <w:tc>
          <w:tcPr>
            <w:tcW w:w="4159" w:type="dxa"/>
            <w:gridSpan w:val="5"/>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4159" w:type="dxa"/>
            <w:gridSpan w:val="5"/>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04/30/2026</w:t>
            </w:r>
          </w:p>
        </w:tc>
        <w:tc>
          <w:tcPr>
            <w:tcW w:w="127" w:type="dxa"/>
            <w:tcBorders/>
            <w:vAlign w:val="bottom"/>
          </w:tcPr>
          <w:p>
            <w:pPr>
              <w:pStyle w:val="TableContents"/>
              <w:bidi w:val="0"/>
              <w:spacing w:before="0" w:after="283"/>
              <w:jc w:val="left"/>
              <w:rPr/>
            </w:pPr>
            <w:r>
              <w:rPr/>
              <w:t>  </w:t>
            </w:r>
          </w:p>
        </w:tc>
        <w:tc>
          <w:tcPr>
            <w:tcW w:w="5919" w:type="dxa"/>
            <w:gridSpan w:val="5"/>
            <w:tcBorders/>
            <w:vAlign w:val="bottom"/>
          </w:tcPr>
          <w:p>
            <w:pPr>
              <w:pStyle w:val="TableContents"/>
              <w:pBdr>
                <w:bottom w:val="single" w:sz="2" w:space="1" w:color="000000"/>
              </w:pBdr>
              <w:bidi w:val="0"/>
              <w:spacing w:before="0" w:after="20"/>
              <w:jc w:val="right"/>
              <w:rPr/>
            </w:pPr>
            <w:r>
              <w:rPr/>
              <w:t> </w:t>
            </w:r>
          </w:p>
        </w:tc>
      </w:tr>
      <w:tr>
        <w:trPr/>
        <w:tc>
          <w:tcPr>
            <w:tcW w:w="415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Date of Signature</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Director (Trustee)</w:t>
            </w:r>
          </w:p>
        </w:tc>
      </w:tr>
      <w:tr>
        <w:trPr/>
        <w:tc>
          <w:tcPr>
            <w:tcW w:w="10205" w:type="dxa"/>
            <w:gridSpan w:val="11"/>
            <w:tcBorders/>
          </w:tcPr>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Submission of Reports</w:t>
            </w:r>
          </w:p>
        </w:tc>
      </w:tr>
      <w:tr>
        <w:trPr>
          <w:trHeight w:val="120" w:hRule="atLeast"/>
        </w:trPr>
        <w:tc>
          <w:tcPr>
            <w:tcW w:w="4159" w:type="dxa"/>
            <w:gridSpan w:val="5"/>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415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Each bank must file its Reports of Condition and Income (Call Report) data by either: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 Using computer software to prepare its Call Report and then submitting the report data directly to the FFIEC’s Central Data Repository (CDR), an Internet-based system for data collection (https://cdr.ffiec.gov/cdr/),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 Completing its Call Report in paper form and arranging with a software vendor or another party to convert the data into the electronic format that can be processed by the CDR. The software vendor or other party then must electronically submit the bank’s data file to the CDR.</w:t>
            </w:r>
          </w:p>
          <w:p>
            <w:pPr>
              <w:pStyle w:val="TableContents"/>
              <w:bidi w:val="0"/>
              <w:spacing w:before="0" w:after="0"/>
              <w:jc w:val="left"/>
              <w:rPr>
                <w:rFonts w:ascii="Times New Roman" w:hAnsi="Times New Roman"/>
                <w:sz w:val="20"/>
              </w:rPr>
            </w:pPr>
            <w:r>
              <w:rPr>
                <w:rFonts w:ascii="Times New Roman" w:hAnsi="Times New Roman"/>
                <w:sz w:val="20"/>
              </w:rPr>
              <w:t>software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technical assistance with submissions to the CDR, please contact the CDR Help Desk by telephone at (888) CDR-3111, by fax at (703) 774-3946, or by e-mail at cdr.help@cdr.ffiec.gov.</w:t>
            </w:r>
          </w:p>
          <w:p>
            <w:pPr>
              <w:pStyle w:val="TableContents"/>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To fulfill the signature and attestation requirement for the Reports of Condition and Income for this report date, attach your bank’s completed signature page (or a photocopy or a computer generated version of this page) to the hard-copy record of the data file submitted to the CDR that your bank must place in its files.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appearance of your bank’s hard-copy record of the submitted data file need not match exactly the appearance of the FFIEC’s sample report forms, but should show at least the caption of each Call Report item and the reported amount.</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DEUTSCHE BANK TRUST COMPANY AMERICAS</w:t>
            </w:r>
          </w:p>
          <w:p>
            <w:pPr>
              <w:pStyle w:val="TableContents"/>
              <w:bidi w:val="0"/>
              <w:spacing w:before="0" w:after="0"/>
              <w:jc w:val="left"/>
              <w:rPr>
                <w:rFonts w:ascii="Times New Roman" w:hAnsi="Times New Roman"/>
                <w:sz w:val="20"/>
              </w:rPr>
            </w:pPr>
            <w:r>
              <w:rPr>
                <w:rFonts w:ascii="Times New Roman" w:hAnsi="Times New Roman"/>
                <w:sz w:val="20"/>
              </w:rPr>
              <w:t>Legal Title of Bank (RSSD 9017)</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New York</w:t>
            </w:r>
          </w:p>
          <w:p>
            <w:pPr>
              <w:pStyle w:val="TableContents"/>
              <w:bidi w:val="0"/>
              <w:spacing w:before="0" w:after="20"/>
              <w:jc w:val="left"/>
              <w:rPr>
                <w:rFonts w:ascii="Times New Roman" w:hAnsi="Times New Roman"/>
                <w:sz w:val="20"/>
              </w:rPr>
            </w:pPr>
            <w:r>
              <w:rPr>
                <w:rFonts w:ascii="Times New Roman" w:hAnsi="Times New Roman"/>
                <w:sz w:val="20"/>
              </w:rPr>
              <w:t>City (RSSD 9130)</w:t>
            </w:r>
          </w:p>
        </w:tc>
      </w:tr>
      <w:tr>
        <w:trPr/>
        <w:tc>
          <w:tcPr>
            <w:tcW w:w="2525" w:type="dxa"/>
            <w:tcBorders/>
          </w:tcPr>
          <w:p>
            <w:pPr>
              <w:pStyle w:val="TableContents"/>
              <w:bidi w:val="0"/>
              <w:spacing w:before="0" w:after="283"/>
              <w:jc w:val="left"/>
              <w:rPr/>
            </w:pPr>
            <w:r>
              <w:rPr/>
              <w:t>FDIC Certificate Number </w:t>
            </w:r>
          </w:p>
        </w:tc>
        <w:tc>
          <w:tcPr>
            <w:tcW w:w="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1"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623</w:t>
            </w:r>
          </w:p>
          <w:p>
            <w:pPr>
              <w:pStyle w:val="TableContents"/>
              <w:bidi w:val="0"/>
              <w:spacing w:before="0" w:after="20"/>
              <w:jc w:val="left"/>
              <w:rPr/>
            </w:pPr>
            <w:r>
              <w:rPr/>
              <w:t> </w:t>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498" w:type="dxa"/>
            <w:gridSpan w:val="3"/>
            <w:tcBorders/>
            <w:vAlign w:val="bottom"/>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NY</w:t>
            </w:r>
          </w:p>
        </w:tc>
        <w:tc>
          <w:tcPr>
            <w:tcW w:w="127" w:type="dxa"/>
            <w:tcBorders/>
            <w:vAlign w:val="bottom"/>
          </w:tcPr>
          <w:p>
            <w:pPr>
              <w:pStyle w:val="TableContents"/>
              <w:bidi w:val="0"/>
              <w:spacing w:before="0" w:after="283"/>
              <w:jc w:val="left"/>
              <w:rPr/>
            </w:pPr>
            <w:r>
              <w:rPr/>
              <w:t>  </w:t>
            </w:r>
          </w:p>
        </w:tc>
        <w:tc>
          <w:tcPr>
            <w:tcW w:w="2294" w:type="dxa"/>
            <w:tcBorders/>
            <w:vAlign w:val="bottom"/>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10019</w:t>
            </w:r>
          </w:p>
        </w:tc>
      </w:tr>
      <w:tr>
        <w:trPr/>
        <w:tc>
          <w:tcPr>
            <w:tcW w:w="2525"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center"/>
              <w:rPr/>
            </w:pPr>
            <w:r>
              <w:rPr/>
              <w:t>(RSSD 9050)</w:t>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center"/>
              <w:rPr/>
            </w:pPr>
            <w:r>
              <w:rPr/>
              <w:t>  </w:t>
            </w:r>
          </w:p>
        </w:tc>
        <w:tc>
          <w:tcPr>
            <w:tcW w:w="127"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pPr>
            <w:r>
              <w:rPr/>
              <w:t>State Abbreviation (RSSD 9200)</w:t>
            </w:r>
          </w:p>
        </w:tc>
        <w:tc>
          <w:tcPr>
            <w:tcW w:w="127" w:type="dxa"/>
            <w:tcBorders/>
            <w:vAlign w:val="bottom"/>
          </w:tcPr>
          <w:p>
            <w:pPr>
              <w:pStyle w:val="TableContents"/>
              <w:bidi w:val="0"/>
              <w:spacing w:before="0" w:after="283"/>
              <w:jc w:val="left"/>
              <w:rPr/>
            </w:pPr>
            <w:r>
              <w:rPr/>
              <w:t>  </w:t>
            </w:r>
          </w:p>
        </w:tc>
        <w:tc>
          <w:tcPr>
            <w:tcW w:w="286"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294" w:type="dxa"/>
            <w:tcBorders/>
          </w:tcPr>
          <w:p>
            <w:pPr>
              <w:pStyle w:val="TableContents"/>
              <w:bidi w:val="0"/>
              <w:spacing w:before="0" w:after="283"/>
              <w:jc w:val="left"/>
              <w:rPr/>
            </w:pPr>
            <w:r>
              <w:rPr/>
              <w:t>Zip Code (RSSD 9220)</w:t>
            </w:r>
          </w:p>
        </w:tc>
      </w:tr>
      <w:tr>
        <w:trPr>
          <w:trHeight w:val="120" w:hRule="atLeast"/>
        </w:trPr>
        <w:tc>
          <w:tcPr>
            <w:tcW w:w="2525" w:type="dxa"/>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611" w:type="dxa"/>
            <w:gridSpan w:val="2"/>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2525"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Legal Entity Identifier (LEI)</w:t>
            </w:r>
          </w:p>
          <w:p>
            <w:pPr>
              <w:pStyle w:val="TableContents"/>
              <w:bidi w:val="0"/>
              <w:spacing w:before="0" w:after="20"/>
              <w:jc w:val="left"/>
              <w:rPr/>
            </w:pPr>
            <w:r>
              <w:rPr/>
              <w:t> </w:t>
            </w:r>
          </w:p>
        </w:tc>
      </w:tr>
      <w:tr>
        <w:trPr/>
        <w:tc>
          <w:tcPr>
            <w:tcW w:w="2525"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sz w:val="4"/>
                <w:szCs w:val="4"/>
              </w:rPr>
            </w:pPr>
            <w:r>
              <w:rPr>
                <w:sz w:val="4"/>
                <w:szCs w:val="4"/>
              </w:rPr>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1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b/>
                <w:sz w:val="20"/>
              </w:rPr>
            </w:pPr>
            <w:r>
              <w:rPr>
                <w:rFonts w:ascii="Times New Roman" w:hAnsi="Times New Roman"/>
                <w:b/>
                <w:sz w:val="20"/>
              </w:rPr>
              <w:t>8EWQ2UQKS07AKK8ANH81</w:t>
            </w:r>
          </w:p>
          <w:p>
            <w:pPr>
              <w:pStyle w:val="TableContents"/>
              <w:bidi w:val="0"/>
              <w:spacing w:before="0" w:after="20"/>
              <w:jc w:val="left"/>
              <w:rPr/>
            </w:pPr>
            <w:r>
              <w:rPr/>
              <w:t> </w:t>
            </w:r>
          </w:p>
        </w:tc>
      </w:tr>
      <w:tr>
        <w:trPr/>
        <w:tc>
          <w:tcPr>
            <w:tcW w:w="2525"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283"/>
              <w:jc w:val="left"/>
              <w:rPr/>
            </w:pPr>
            <w:r>
              <w:rPr/>
              <w:t>(Report only if your institution already has an LEI.) (RCON 9224)</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The estimated average burden associated with this information collection is 55.56 hours per respondent and is expected to vary by institution, depending on individual circumstances. Burden estimates include the time for reviewing instructions, gathering and maintaining data in the required form, and completing the information collection, but exclude the time for compiling and maintaining business records in the normal course of a respondent’s activities. A Federal agency may not conduct or sponsor, and an organization (or a person) is not required to respond to a collection of information, unless it displays a currently valid OMB control number. Comments concerning the accuracy of this burden estimate and suggestions for reducing this burden should be directed to the Office of Information and Regulatory Affairs, Office of Management and Budget, Washington, DC 20503, and to one of the following: Secretary, Board of Governors of the Federal Reserve System, 20th and C Streets, NW, Washington, DC 20551; Legislative and Regulatory Analysis Division, Office of the Comptroller of the Currency, Washington, DC 20219; Assistant Executive Secretary, Federal Deposit Insurance Corporation, Washington, DC 20429.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06"/>
        <w:gridCol w:w="126"/>
        <w:gridCol w:w="2807"/>
        <w:gridCol w:w="126"/>
        <w:gridCol w:w="2807"/>
        <w:gridCol w:w="126"/>
        <w:gridCol w:w="1207"/>
      </w:tblGrid>
      <w:tr>
        <w:trPr/>
        <w:tc>
          <w:tcPr>
            <w:tcW w:w="300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00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207" w:type="dxa"/>
            <w:tcBorders/>
          </w:tcPr>
          <w:p>
            <w:pPr>
              <w:pStyle w:val="TableContents"/>
              <w:bidi w:val="0"/>
              <w:spacing w:before="0" w:after="0"/>
              <w:jc w:val="left"/>
              <w:rPr>
                <w:rFonts w:ascii="Times New Roman" w:hAnsi="Times New Roman"/>
                <w:sz w:val="16"/>
              </w:rPr>
            </w:pPr>
            <w:r>
              <w:rPr>
                <w:rFonts w:ascii="Times New Roman" w:hAnsi="Times New Roman"/>
                <w:sz w:val="16"/>
              </w:rPr>
              <w:t>FFIEC 041</w:t>
            </w:r>
          </w:p>
          <w:p>
            <w:pPr>
              <w:pStyle w:val="TableContents"/>
              <w:bidi w:val="0"/>
              <w:spacing w:before="0" w:after="0"/>
              <w:jc w:val="left"/>
              <w:rPr>
                <w:rFonts w:ascii="Times New Roman" w:hAnsi="Times New Roman"/>
                <w:sz w:val="16"/>
              </w:rPr>
            </w:pPr>
            <w:r>
              <w:rPr>
                <w:rFonts w:ascii="Times New Roman" w:hAnsi="Times New Roman"/>
                <w:sz w:val="16"/>
              </w:rPr>
              <w:t>Page 16 of 86</w:t>
            </w:r>
          </w:p>
          <w:p>
            <w:pPr>
              <w:pStyle w:val="TableContents"/>
              <w:bidi w:val="0"/>
              <w:spacing w:before="0" w:after="20"/>
              <w:jc w:val="left"/>
              <w:rPr>
                <w:rFonts w:ascii="Times New Roman" w:hAnsi="Times New Roman"/>
                <w:sz w:val="16"/>
              </w:rPr>
            </w:pPr>
            <w:r>
              <w:rPr>
                <w:rFonts w:ascii="Times New Roman" w:hAnsi="Times New Roman"/>
                <w:sz w:val="16"/>
              </w:rPr>
              <w:t>RC-1</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Consolidated Report of Condition for Insured Banks </w:t>
      </w:r>
    </w:p>
    <w:p>
      <w:pPr>
        <w:pStyle w:val="TextBody"/>
        <w:bidi w:val="0"/>
        <w:spacing w:before="0" w:after="0"/>
        <w:jc w:val="left"/>
        <w:rPr>
          <w:rFonts w:ascii="Times New Roman" w:hAnsi="Times New Roman"/>
          <w:b/>
          <w:sz w:val="20"/>
        </w:rPr>
      </w:pPr>
      <w:r>
        <w:rPr>
          <w:rFonts w:ascii="Times New Roman" w:hAnsi="Times New Roman"/>
          <w:b/>
          <w:sz w:val="20"/>
        </w:rPr>
        <w:t xml:space="preserve">and Savings Associations for March 31, 2026 </w:t>
      </w:r>
    </w:p>
    <w:p>
      <w:pPr>
        <w:pStyle w:val="TextBody"/>
        <w:bidi w:val="0"/>
        <w:spacing w:before="240" w:after="0"/>
        <w:jc w:val="left"/>
        <w:rPr>
          <w:rFonts w:ascii="Times New Roman" w:hAnsi="Times New Roman"/>
          <w:sz w:val="20"/>
        </w:rPr>
      </w:pPr>
      <w:r>
        <w:rPr>
          <w:rFonts w:ascii="Times New Roman" w:hAnsi="Times New Roman"/>
          <w:sz w:val="20"/>
        </w:rPr>
        <w:t xml:space="preserve">All schedules are to be reported in thousands of dollars. Unless otherwise indicated, report the amount outstanding as of the last business day of the quarter. </w:t>
      </w:r>
    </w:p>
    <w:p>
      <w:pPr>
        <w:pStyle w:val="TextBody"/>
        <w:bidi w:val="0"/>
        <w:spacing w:before="240" w:after="0"/>
        <w:jc w:val="left"/>
        <w:rPr>
          <w:rFonts w:ascii="Times New Roman" w:hAnsi="Times New Roman"/>
          <w:b/>
          <w:sz w:val="20"/>
        </w:rPr>
      </w:pPr>
      <w:r>
        <w:rPr>
          <w:rFonts w:ascii="Times New Roman" w:hAnsi="Times New Roman"/>
          <w:b/>
          <w:sz w:val="20"/>
        </w:rPr>
        <w:t xml:space="preserve">Schedule RC—Balance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3"/>
        <w:gridCol w:w="142"/>
        <w:gridCol w:w="60"/>
        <w:gridCol w:w="568"/>
        <w:gridCol w:w="60"/>
        <w:gridCol w:w="142"/>
        <w:gridCol w:w="60"/>
        <w:gridCol w:w="1144"/>
        <w:gridCol w:w="60"/>
        <w:gridCol w:w="142"/>
        <w:gridCol w:w="69"/>
        <w:gridCol w:w="640"/>
        <w:gridCol w:w="60"/>
        <w:gridCol w:w="142"/>
        <w:gridCol w:w="60"/>
        <w:gridCol w:w="1144"/>
        <w:gridCol w:w="60"/>
        <w:gridCol w:w="142"/>
        <w:gridCol w:w="787"/>
      </w:tblGrid>
      <w:tr>
        <w:trPr/>
        <w:tc>
          <w:tcPr>
            <w:tcW w:w="472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6899" w:type="dxa"/>
            <w:gridSpan w:val="8"/>
            <w:tcBorders>
              <w:bottom w:val="single" w:sz="8" w:space="0" w:color="000000"/>
            </w:tcBorders>
            <w:tcMar>
              <w:bottom w:w="28" w:type="dxa"/>
            </w:tcMar>
            <w:vAlign w:val="bottom"/>
          </w:tcPr>
          <w:p>
            <w:pPr>
              <w:pStyle w:val="TableContents"/>
              <w:bidi w:val="0"/>
              <w:spacing w:before="0" w:after="20"/>
              <w:jc w:val="right"/>
              <w:rPr>
                <w:rFonts w:ascii="Times New Roman" w:hAnsi="Times New Roman"/>
                <w:sz w:val="16"/>
              </w:rPr>
            </w:pPr>
            <w:r>
              <w:rPr>
                <w:rFonts w:ascii="Times New Roman" w:hAnsi="Times New Roman"/>
                <w:sz w:val="16"/>
              </w:rPr>
              <w:t>Dollar Amounts in Thousands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pPr>
            <w:r>
              <w:rPr/>
              <w:t>RCON</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pPr>
            <w:r>
              <w:rPr/>
              <w:t>Amount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 </w:t>
            </w:r>
          </w:p>
        </w:tc>
      </w:tr>
      <w:tr>
        <w:trPr/>
        <w:tc>
          <w:tcPr>
            <w:tcW w:w="47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 Cash and balances due from depository institutions (from Schedule RC-A):</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Noninterest-bearing balances and currency and coin (1)</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0081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38,000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1.a.</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b. Interest-bearing balances (2)</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0071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15,087,000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1.b.</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 Securities: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a. Held-to-maturity securities (from Schedule RC-B, column A) (3)</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JJ34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2.a.</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Available-for-sale debt securities (from Schedule RC-B, column D)</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1773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403,000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2.b.</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 Equity securities with readily determinable fair values not held for trading (4)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JA22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2.c.</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 Federal funds sold and securities purchased under agreements to resell:</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a. Federal funds sold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B987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3.a.</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Securities purchased under agreements to resell (5, 6)</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B989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6,920,000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3.b.</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4. Loans and lease financing receivables (from Schedule RC-C):</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Loans and leases held for sale</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5369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4.a.</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b. Loans and leases held for investment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B528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15,708,000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4.b.</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 LESS: Allowance for credit losses on loans and leases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3123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35,000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4.c.</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d. Loans and leases held for investment, net of allowance (item 4.b minus 4.c)</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B529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15,673,000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4.d.</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 Trading assets (from Schedule RC-D)</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3545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5.</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6. Premises and fixed assets (including right-of-use assets)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2145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6.</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 Other real estate owned (from Schedule RC-M)</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2150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7.</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8. Investments in unconsolidated subsidiaries and associated companies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2130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8.</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Direct and indirect investments in real estate ventures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3656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9.</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10. Intangible assets (from Schedule RC-M)</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2143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10.</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Other assets (from Schedule RC-F) (6)</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2160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1,622,000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11.</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12. Total assets (sum of items 1 through 11)</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2170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39,745,000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12.</w:t>
            </w:r>
          </w:p>
        </w:tc>
      </w:tr>
      <w:tr>
        <w:trPr>
          <w:trHeight w:val="120" w:hRule="atLeast"/>
        </w:trPr>
        <w:tc>
          <w:tcPr>
            <w:tcW w:w="4723"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c>
          <w:tcPr>
            <w:tcW w:w="1406" w:type="dxa"/>
            <w:gridSpan w:val="4"/>
            <w:tcBorders/>
            <w:vAlign w:val="center"/>
          </w:tcPr>
          <w:p>
            <w:pPr>
              <w:pStyle w:val="TableContents"/>
              <w:bidi w:val="0"/>
              <w:spacing w:before="0" w:after="283"/>
              <w:jc w:val="left"/>
              <w:rPr>
                <w:sz w:val="4"/>
                <w:szCs w:val="4"/>
              </w:rPr>
            </w:pPr>
            <w:r>
              <w:rPr>
                <w:sz w:val="4"/>
                <w:szCs w:val="4"/>
              </w:rPr>
            </w:r>
          </w:p>
        </w:tc>
        <w:tc>
          <w:tcPr>
            <w:tcW w:w="911" w:type="dxa"/>
            <w:gridSpan w:val="4"/>
            <w:tcBorders/>
            <w:vAlign w:val="center"/>
          </w:tcPr>
          <w:p>
            <w:pPr>
              <w:pStyle w:val="TableContents"/>
              <w:bidi w:val="0"/>
              <w:spacing w:before="0" w:after="283"/>
              <w:jc w:val="left"/>
              <w:rPr>
                <w:sz w:val="4"/>
                <w:szCs w:val="4"/>
              </w:rPr>
            </w:pPr>
            <w:r>
              <w:rPr>
                <w:sz w:val="4"/>
                <w:szCs w:val="4"/>
              </w:rPr>
            </w:r>
          </w:p>
        </w:tc>
        <w:tc>
          <w:tcPr>
            <w:tcW w:w="1406" w:type="dxa"/>
            <w:gridSpan w:val="4"/>
            <w:tcBorders/>
            <w:vAlign w:val="center"/>
          </w:tcPr>
          <w:p>
            <w:pPr>
              <w:pStyle w:val="TableContents"/>
              <w:bidi w:val="0"/>
              <w:spacing w:before="0" w:after="283"/>
              <w:jc w:val="left"/>
              <w:rPr>
                <w:sz w:val="4"/>
                <w:szCs w:val="4"/>
              </w:rPr>
            </w:pPr>
            <w:r>
              <w:rPr>
                <w:sz w:val="4"/>
                <w:szCs w:val="4"/>
              </w:rPr>
            </w:r>
          </w:p>
        </w:tc>
        <w:tc>
          <w:tcPr>
            <w:tcW w:w="929" w:type="dxa"/>
            <w:gridSpan w:val="2"/>
            <w:tcBorders/>
            <w:vAlign w:val="center"/>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13. Deposits: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In domestic offices (sum of totals of columns A and C from Schedule RC-E)</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2200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27,713,000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13.a.</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Noninterest-bearing (7)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6631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7,594,000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13.a.(1)</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 Interest-bearing</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6636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20,119,000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13.a.(2)</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b. Not applicable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Federal funds purchased and securities sold under agreements to repurchase:</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a. Federal funds purchased (8)</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B993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14.a.</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b. Securities sold under agreements to repurchase (9)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B995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14.b.</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15. Trading liabilities (from Schedule RC-D)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3548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15.</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 Other borrowed money (includes mortgage indebtedness) (from Schedule RC-M)</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3190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16.</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17. and 18. Not applicable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19. Subordinated notes and debentures (10)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3200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19.</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cash items in process of collection and unposted debits.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time certificates of deposit not held for trading.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Institutions should report in item 2.a amounts net of any applicable allowance for credit losses, and item 2.a should equal Schedule RC-B, item 8, column A, less Schedule RI-B, Part II, item 7, column B.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Item 2.c is to be completed by all institutions. See the instructions for this item and the Glossary entry for “Securities Activities” for further detail on accounting for investments in equity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all securities resale agreements, regardless of maturity.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Institutions should report in items 3.b and 11 amounts net of any applicable allowance for credit losses.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noninterest-bearing demand, time, and savings deposits.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overnight Federal Home Loan Bank advances in Schedule RC, item 16, “Other borrowed money.”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all securities repurchase agreements, regardless of maturity.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limited-life preferred stock and related surplus.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006"/>
        <w:gridCol w:w="126"/>
        <w:gridCol w:w="2807"/>
        <w:gridCol w:w="126"/>
        <w:gridCol w:w="2807"/>
        <w:gridCol w:w="126"/>
        <w:gridCol w:w="1207"/>
      </w:tblGrid>
      <w:tr>
        <w:trPr/>
        <w:tc>
          <w:tcPr>
            <w:tcW w:w="300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00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207" w:type="dxa"/>
            <w:tcBorders/>
          </w:tcPr>
          <w:p>
            <w:pPr>
              <w:pStyle w:val="TableContents"/>
              <w:bidi w:val="0"/>
              <w:spacing w:before="0" w:after="0"/>
              <w:jc w:val="left"/>
              <w:rPr>
                <w:rFonts w:ascii="Times New Roman" w:hAnsi="Times New Roman"/>
                <w:sz w:val="16"/>
              </w:rPr>
            </w:pPr>
            <w:r>
              <w:rPr>
                <w:rFonts w:ascii="Times New Roman" w:hAnsi="Times New Roman"/>
                <w:sz w:val="16"/>
              </w:rPr>
              <w:t>FFIEC 041</w:t>
            </w:r>
          </w:p>
          <w:p>
            <w:pPr>
              <w:pStyle w:val="TableContents"/>
              <w:bidi w:val="0"/>
              <w:spacing w:before="0" w:after="0"/>
              <w:jc w:val="left"/>
              <w:rPr>
                <w:rFonts w:ascii="Times New Roman" w:hAnsi="Times New Roman"/>
                <w:sz w:val="16"/>
              </w:rPr>
            </w:pPr>
            <w:r>
              <w:rPr>
                <w:rFonts w:ascii="Times New Roman" w:hAnsi="Times New Roman"/>
                <w:sz w:val="16"/>
              </w:rPr>
              <w:t>Page 17 of 86</w:t>
            </w:r>
          </w:p>
          <w:p>
            <w:pPr>
              <w:pStyle w:val="TableContents"/>
              <w:bidi w:val="0"/>
              <w:spacing w:before="0" w:after="20"/>
              <w:jc w:val="left"/>
              <w:rPr>
                <w:rFonts w:ascii="Times New Roman" w:hAnsi="Times New Roman"/>
                <w:sz w:val="16"/>
              </w:rPr>
            </w:pPr>
            <w:r>
              <w:rPr>
                <w:rFonts w:ascii="Times New Roman" w:hAnsi="Times New Roman"/>
                <w:sz w:val="16"/>
              </w:rPr>
              <w:t>RC-2</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Schedule RC—Continued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76"/>
        <w:gridCol w:w="152"/>
        <w:gridCol w:w="30"/>
        <w:gridCol w:w="30"/>
        <w:gridCol w:w="60"/>
        <w:gridCol w:w="152"/>
        <w:gridCol w:w="30"/>
        <w:gridCol w:w="30"/>
        <w:gridCol w:w="60"/>
        <w:gridCol w:w="152"/>
        <w:gridCol w:w="68"/>
        <w:gridCol w:w="653"/>
        <w:gridCol w:w="60"/>
        <w:gridCol w:w="152"/>
        <w:gridCol w:w="60"/>
        <w:gridCol w:w="1109"/>
        <w:gridCol w:w="155"/>
        <w:gridCol w:w="110"/>
        <w:gridCol w:w="60"/>
        <w:gridCol w:w="339"/>
        <w:gridCol w:w="67"/>
      </w:tblGrid>
      <w:tr>
        <w:trPr/>
        <w:tc>
          <w:tcPr>
            <w:tcW w:w="667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7160" w:type="dxa"/>
            <w:gridSpan w:val="8"/>
            <w:tcBorders>
              <w:bottom w:val="single" w:sz="8" w:space="0" w:color="000000"/>
            </w:tcBorders>
            <w:tcMar>
              <w:bottom w:w="28" w:type="dxa"/>
            </w:tcMar>
            <w:vAlign w:val="bottom"/>
          </w:tcPr>
          <w:p>
            <w:pPr>
              <w:pStyle w:val="TableContents"/>
              <w:bidi w:val="0"/>
              <w:spacing w:before="0" w:after="20"/>
              <w:jc w:val="right"/>
              <w:rPr>
                <w:rFonts w:ascii="Times New Roman" w:hAnsi="Times New Roman"/>
                <w:sz w:val="16"/>
              </w:rPr>
            </w:pPr>
            <w:r>
              <w:rPr>
                <w:rFonts w:ascii="Times New Roman" w:hAnsi="Times New Roman"/>
                <w:sz w:val="16"/>
              </w:rPr>
              <w:t>Dollar Amounts in Thousands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pPr>
            <w:r>
              <w:rPr/>
              <w:t>RCON</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pPr>
            <w:r>
              <w:rPr/>
              <w:t>Amount</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9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Liabilities—continued</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20. Other liabilities (from Schedule RC-G)</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2930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b/>
              </w:rPr>
            </w:pPr>
            <w:r>
              <w:rPr>
                <w:b/>
              </w:rPr>
              <w:t>2,170,000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20.</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 Total liabilities (sum of items 13 through 20)</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2948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b/>
              </w:rPr>
            </w:pPr>
            <w:r>
              <w:rPr>
                <w:b/>
              </w:rPr>
              <w:t>29,883,000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21.</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22. Not applicable</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676" w:type="dxa"/>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576" w:type="dxa"/>
            <w:gridSpan w:val="4"/>
            <w:tcBorders/>
            <w:vAlign w:val="center"/>
          </w:tcPr>
          <w:p>
            <w:pPr>
              <w:pStyle w:val="TableContents"/>
              <w:bidi w:val="0"/>
              <w:spacing w:before="0" w:after="283"/>
              <w:jc w:val="left"/>
              <w:rPr>
                <w:sz w:val="4"/>
                <w:szCs w:val="4"/>
              </w:rPr>
            </w:pPr>
            <w:r>
              <w:rPr>
                <w:sz w:val="4"/>
                <w:szCs w:val="4"/>
              </w:rPr>
            </w:r>
          </w:p>
        </w:tc>
      </w:tr>
      <w:tr>
        <w:trPr/>
        <w:tc>
          <w:tcPr>
            <w:tcW w:w="66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Capital</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6676" w:type="dxa"/>
            <w:tcBorders/>
          </w:tcPr>
          <w:p>
            <w:pPr>
              <w:pStyle w:val="TableContents"/>
              <w:bidi w:val="0"/>
              <w:spacing w:before="0" w:after="0"/>
              <w:jc w:val="left"/>
              <w:rPr>
                <w:rFonts w:ascii="Times New Roman" w:hAnsi="Times New Roman"/>
                <w:b/>
                <w:sz w:val="20"/>
              </w:rPr>
            </w:pPr>
            <w:r>
              <w:rPr>
                <w:rFonts w:ascii="Times New Roman" w:hAnsi="Times New Roman"/>
                <w:b/>
                <w:sz w:val="20"/>
              </w:rPr>
              <w:t>Bank Equity Capital</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 Perpetual preferred stock and related surplus</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3838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23.</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24. Common stock</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3230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2,127,000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24.</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25. Surplus (exclude all surplus related to preferred stock)</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3839</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932,000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25.</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26. a. Retained earnings</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3632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6,853,000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26.a.</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Accumulated other comprehensive income (1)</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B530</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(50,000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26.b.</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c. Other equity capital components (2)</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A130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26.c.</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27. a. Total bank equity capital (sum of items 23 through 26.c)</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3210</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b/>
              </w:rPr>
            </w:pPr>
            <w:r>
              <w:rPr>
                <w:b/>
              </w:rPr>
              <w:t>9,862,000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27.a.</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b. Noncontrolling (minority) interests in consolidated subsidiaries</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27.b.</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28. Total equity capital (sum of items 27.a and 27.b)</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G105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b/>
              </w:rPr>
            </w:pPr>
            <w:r>
              <w:rPr>
                <w:b/>
              </w:rPr>
              <w:t>9,862,000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28.</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29. Total liabilities and equity capital (sum of items 21 and 28)</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3300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b/>
              </w:rPr>
            </w:pPr>
            <w:r>
              <w:rPr>
                <w:b/>
              </w:rPr>
              <w:t>39,745,000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29.</w:t>
            </w:r>
          </w:p>
        </w:tc>
        <w:tc>
          <w:tcPr>
            <w:tcW w:w="67" w:type="dxa"/>
            <w:tcBorders/>
            <w:vAlign w:val="bottom"/>
          </w:tcPr>
          <w:p>
            <w:pPr>
              <w:pStyle w:val="TableContents"/>
              <w:bidi w:val="0"/>
              <w:spacing w:before="0" w:after="283"/>
              <w:jc w:val="left"/>
              <w:rPr/>
            </w:pPr>
            <w:r>
              <w:rPr/>
              <w:t> </w:t>
            </w:r>
          </w:p>
        </w:tc>
      </w:tr>
      <w:tr>
        <w:trPr>
          <w:trHeight w:val="120" w:hRule="atLeast"/>
        </w:trPr>
        <w:tc>
          <w:tcPr>
            <w:tcW w:w="6676" w:type="dxa"/>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576" w:type="dxa"/>
            <w:gridSpan w:val="4"/>
            <w:tcBorders/>
            <w:vAlign w:val="center"/>
          </w:tcPr>
          <w:p>
            <w:pPr>
              <w:pStyle w:val="TableContents"/>
              <w:bidi w:val="0"/>
              <w:spacing w:before="0" w:after="283"/>
              <w:jc w:val="left"/>
              <w:rPr>
                <w:sz w:val="4"/>
                <w:szCs w:val="4"/>
              </w:rPr>
            </w:pPr>
            <w:r>
              <w:rPr>
                <w:sz w:val="4"/>
                <w:szCs w:val="4"/>
              </w:rPr>
            </w:r>
          </w:p>
        </w:tc>
      </w:tr>
      <w:tr>
        <w:trPr/>
        <w:tc>
          <w:tcPr>
            <w:tcW w:w="6676" w:type="dxa"/>
            <w:tcBorders/>
          </w:tcPr>
          <w:p>
            <w:pPr>
              <w:pStyle w:val="TableContents"/>
              <w:bidi w:val="0"/>
              <w:spacing w:before="0" w:after="0"/>
              <w:jc w:val="left"/>
              <w:rPr>
                <w:rFonts w:ascii="Times New Roman" w:hAnsi="Times New Roman"/>
                <w:b/>
                <w:sz w:val="20"/>
              </w:rPr>
            </w:pPr>
            <w:r>
              <w:rPr>
                <w:rFonts w:ascii="Times New Roman" w:hAnsi="Times New Roman"/>
                <w:b/>
                <w:sz w:val="20"/>
              </w:rPr>
              <w:t>Memoranda</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676" w:type="dxa"/>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576" w:type="dxa"/>
            <w:gridSpan w:val="4"/>
            <w:tcBorders/>
            <w:vAlign w:val="center"/>
          </w:tcPr>
          <w:p>
            <w:pPr>
              <w:pStyle w:val="TableContents"/>
              <w:bidi w:val="0"/>
              <w:spacing w:before="0" w:after="283"/>
              <w:jc w:val="left"/>
              <w:rPr>
                <w:sz w:val="4"/>
                <w:szCs w:val="4"/>
              </w:rPr>
            </w:pPr>
            <w:r>
              <w:rPr>
                <w:sz w:val="4"/>
                <w:szCs w:val="4"/>
              </w:rPr>
            </w:r>
          </w:p>
        </w:tc>
      </w:tr>
      <w:tr>
        <w:trPr/>
        <w:tc>
          <w:tcPr>
            <w:tcW w:w="6676" w:type="dxa"/>
            <w:tcBorders/>
          </w:tcPr>
          <w:p>
            <w:pPr>
              <w:pStyle w:val="TableContents"/>
              <w:bidi w:val="0"/>
              <w:spacing w:before="0" w:after="0"/>
              <w:jc w:val="left"/>
              <w:rPr>
                <w:rFonts w:ascii="Times New Roman" w:hAnsi="Times New Roman"/>
                <w:b/>
                <w:sz w:val="20"/>
              </w:rPr>
            </w:pPr>
            <w:r>
              <w:rPr>
                <w:rFonts w:ascii="Times New Roman" w:hAnsi="Times New Roman"/>
                <w:b/>
                <w:sz w:val="20"/>
              </w:rPr>
              <w:t>To be reported with the March Report of Condition.</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676" w:type="dxa"/>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576" w:type="dxa"/>
            <w:gridSpan w:val="4"/>
            <w:tcBorders/>
            <w:vAlign w:val="center"/>
          </w:tcPr>
          <w:p>
            <w:pPr>
              <w:pStyle w:val="TableContents"/>
              <w:bidi w:val="0"/>
              <w:spacing w:before="0" w:after="283"/>
              <w:jc w:val="left"/>
              <w:rPr>
                <w:sz w:val="4"/>
                <w:szCs w:val="4"/>
              </w:rPr>
            </w:pPr>
            <w:r>
              <w:rPr>
                <w:sz w:val="4"/>
                <w:szCs w:val="4"/>
              </w:rPr>
            </w:r>
          </w:p>
        </w:tc>
      </w:tr>
      <w:tr>
        <w:trPr/>
        <w:tc>
          <w:tcPr>
            <w:tcW w:w="6676" w:type="dxa"/>
            <w:vMerge w:val="restart"/>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1.  Indicate in the box at the right the number of the statement below that best describes the most comprehensive level of auditing work performed for the bank by independent external auditors as of any date during </w:t>
            </w:r>
            <w:r>
              <w:rPr>
                <w:rFonts w:ascii="Times New Roman" w:hAnsi="Times New Roman"/>
                <w:i/>
                <w:sz w:val="20"/>
              </w:rPr>
              <w:t>2025</w:t>
            </w:r>
          </w:p>
        </w:tc>
        <w:tc>
          <w:tcPr>
            <w:tcW w:w="152" w:type="dxa"/>
            <w:tcBorders/>
            <w:vAlign w:val="bottom"/>
          </w:tcPr>
          <w:p>
            <w:pPr>
              <w:pStyle w:val="TableContents"/>
              <w:bidi w:val="0"/>
              <w:spacing w:before="0" w:after="283"/>
              <w:jc w:val="left"/>
              <w:rPr/>
            </w:pPr>
            <w:r>
              <w:rPr/>
              <w:t>  </w:t>
            </w:r>
          </w:p>
        </w:tc>
        <w:tc>
          <w:tcPr>
            <w:tcW w:w="30"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tcPr>
          <w:p>
            <w:pPr>
              <w:pStyle w:val="TableContents"/>
              <w:bidi w:val="0"/>
              <w:spacing w:before="0" w:after="283"/>
              <w:jc w:val="left"/>
              <w:rPr>
                <w:sz w:val="4"/>
                <w:szCs w:val="4"/>
              </w:rPr>
            </w:pPr>
            <w:r>
              <w:rPr>
                <w:sz w:val="4"/>
                <w:szCs w:val="4"/>
              </w:rPr>
            </w:r>
          </w:p>
        </w:tc>
        <w:tc>
          <w:tcPr>
            <w:tcW w:w="65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109"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339"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c>
          <w:tcPr>
            <w:tcW w:w="6676" w:type="dxa"/>
            <w:vMerge w:val="continue"/>
            <w:tcBorders/>
            <w:vAlign w:val="bottom"/>
          </w:tcPr>
          <w:p>
            <w:pPr>
              <w:pStyle w:val="Normal"/>
              <w:bidi w:val="0"/>
              <w:jc w:val="left"/>
              <w:rPr/>
            </w:pPr>
            <w:r>
              <w:rPr/>
            </w:r>
          </w:p>
        </w:tc>
        <w:tc>
          <w:tcPr>
            <w:tcW w:w="152"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pPr>
            <w:r>
              <w:rPr/>
              <w:t>RCON</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pPr>
            <w:r>
              <w:rPr/>
              <w:t>Number</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9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6676"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6724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2a</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right"/>
              <w:rPr/>
            </w:pPr>
            <w:r>
              <w:rPr/>
              <w:t>M.1.</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306"/>
        <w:gridCol w:w="4695"/>
      </w:tblGrid>
      <w:tr>
        <w:trPr/>
        <w:tc>
          <w:tcPr>
            <w:tcW w:w="5204"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1a =  An integrated audit of the reporting institution’s financial statements and its internal control over financial reporting conducted in accordance with the standards of the American Institute of Certified Public Accountants (AICPA) or Public Company Accounting Oversight Board (PCAOB) by an independent public accountant that submits a report on the institution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1b =  An audit of the reporting institution’s financial statements only conducted in accordance with the auditing standards of the AICPA or the PCAOB by an independent public accountant that submits a report on the institution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2a =  An integrated audit of the reporting institution’s parent holding company’s consolidated financial statements and its internal control over financial reporting conducted in accordance with the standards of the AICPA or the PCAOB by an independent public accountant that submits a report on the consolidated holding company (but not on the institution separately)</w:t>
            </w:r>
          </w:p>
        </w:tc>
        <w:tc>
          <w:tcPr>
            <w:tcW w:w="306"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0"/>
              <w:jc w:val="left"/>
              <w:rPr>
                <w:rFonts w:ascii="Times New Roman" w:hAnsi="Times New Roman"/>
                <w:sz w:val="20"/>
              </w:rPr>
            </w:pPr>
            <w:r>
              <w:rPr>
                <w:rFonts w:ascii="Times New Roman" w:hAnsi="Times New Roman"/>
                <w:sz w:val="20"/>
              </w:rPr>
              <w:t>2b =  An audit of the reporting institution’s parent holding company’s consolidated financial statements only conducted in accordance with the auditing standards of the AICPA or the PCAOB by an independent public accountant that submits a report on the consolidated holding company (but not on the institution separately)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3 =   This number is not to be used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4 =   Directors’ examination of the bank conducted in accordance with generally accepted auditing standards by a certified public accounting firm (may be required by state-chartering authority)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5 =   Directors’ examination of the bank performed by other external auditors (may be required by state-chartering authority)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6 =   Review of the bank’s financial statements by external auditors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7 =   Compilation of the bank’s financial statements by external auditors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8 =   Other audit procedures (excluding tax preparation work)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9 =   No external audit work</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8"/>
        <w:gridCol w:w="161"/>
        <w:gridCol w:w="30"/>
        <w:gridCol w:w="30"/>
        <w:gridCol w:w="60"/>
        <w:gridCol w:w="161"/>
        <w:gridCol w:w="30"/>
        <w:gridCol w:w="30"/>
        <w:gridCol w:w="60"/>
        <w:gridCol w:w="161"/>
        <w:gridCol w:w="76"/>
        <w:gridCol w:w="671"/>
        <w:gridCol w:w="60"/>
        <w:gridCol w:w="161"/>
        <w:gridCol w:w="60"/>
        <w:gridCol w:w="501"/>
        <w:gridCol w:w="60"/>
        <w:gridCol w:w="161"/>
        <w:gridCol w:w="60"/>
        <w:gridCol w:w="357"/>
        <w:gridCol w:w="67"/>
      </w:tblGrid>
      <w:tr>
        <w:trPr/>
        <w:tc>
          <w:tcPr>
            <w:tcW w:w="724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7248" w:type="dxa"/>
            <w:tcBorders/>
            <w:vAlign w:val="bottom"/>
          </w:tcPr>
          <w:p>
            <w:pPr>
              <w:pStyle w:val="TableContents"/>
              <w:bidi w:val="0"/>
              <w:spacing w:before="0" w:after="283"/>
              <w:jc w:val="left"/>
              <w:rPr>
                <w:b/>
                <w:sz w:val="20"/>
              </w:rPr>
            </w:pPr>
            <w:r>
              <w:rPr>
                <w:b/>
                <w:sz w:val="20"/>
              </w:rPr>
              <w:t>To be reported with the March Report of Condition.</w:t>
            </w:r>
          </w:p>
        </w:tc>
        <w:tc>
          <w:tcPr>
            <w:tcW w:w="161"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pPr>
            <w:r>
              <w:rPr/>
              <w:t>RCON</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pPr>
            <w:r>
              <w:rPr/>
              <w:t>Date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417"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7248" w:type="dxa"/>
            <w:tcBorders/>
          </w:tcPr>
          <w:p>
            <w:pPr>
              <w:pStyle w:val="TableContents"/>
              <w:bidi w:val="0"/>
              <w:spacing w:before="0" w:after="0"/>
              <w:jc w:val="left"/>
              <w:rPr>
                <w:rFonts w:ascii="Times New Roman" w:hAnsi="Times New Roman"/>
                <w:sz w:val="20"/>
              </w:rPr>
            </w:pPr>
            <w:r>
              <w:rPr>
                <w:rFonts w:ascii="Times New Roman" w:hAnsi="Times New Roman"/>
                <w:sz w:val="20"/>
              </w:rPr>
              <w:t>2.  Bank’s fiscal year-end date (report the date in MMDD format)</w:t>
            </w:r>
          </w:p>
        </w:tc>
        <w:tc>
          <w:tcPr>
            <w:tcW w:w="161"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8678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1231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right"/>
              <w:rPr/>
            </w:pPr>
            <w:r>
              <w:rPr/>
              <w:t>M.2.</w:t>
            </w:r>
          </w:p>
        </w:tc>
        <w:tc>
          <w:tcPr>
            <w:tcW w:w="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but is not limited to, net unrealized holding gains (losses) on available-for-sale securities, accumulated net gains (losses) on cash flow hedges, and accumulated defined benefit pension and other postretirement plan adjustments.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treasury stock and unearned Employee Stock Ownership Plan shares. </w:t>
            </w:r>
          </w:p>
        </w:tc>
      </w:tr>
    </w:tbl>
    <w:p>
      <w:pPr>
        <w:pStyle w:val="TextBody"/>
        <w:bidi w:val="0"/>
        <w:spacing w:before="0" w:after="0"/>
        <w:jc w:val="right"/>
        <w:rPr>
          <w:rFonts w:ascii="Times New Roman" w:hAnsi="Times New Roman"/>
          <w:b/>
          <w:sz w:val="20"/>
        </w:rPr>
      </w:pPr>
      <w:bookmarkStart w:id="25" w:name="d125598dex252.htm"/>
      <w:bookmarkStart w:id="26" w:name="ksd125598dex252"/>
      <w:bookmarkEnd w:id="25"/>
      <w:bookmarkEnd w:id="26"/>
      <w:r>
        <w:rPr>
          <w:rFonts w:ascii="Times New Roman" w:hAnsi="Times New Roman"/>
          <w:b/>
          <w:sz w:val="20"/>
        </w:rPr>
        <w:t xml:space="preserve">Exhibit 25.2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DEUTSCHE BANK TRUST COMPANY AMERICAS </w:t>
      </w:r>
    </w:p>
    <w:p>
      <w:pPr>
        <w:pStyle w:val="TextBody"/>
        <w:bidi w:val="0"/>
        <w:spacing w:before="0" w:after="0"/>
        <w:jc w:val="center"/>
        <w:rPr>
          <w:rFonts w:ascii="Times New Roman" w:hAnsi="Times New Roman"/>
          <w:b/>
          <w:sz w:val="48"/>
        </w:rPr>
      </w:pPr>
      <w:r>
        <w:rPr>
          <w:rFonts w:ascii="Times New Roman" w:hAnsi="Times New Roman"/>
          <w:b/>
          <w:sz w:val="48"/>
        </w:rPr>
        <w:t xml:space="preserve">(formerly BANKERS TRUST COMPANY)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NEW YORK</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13-4941247</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(Jurisdiction of Incorporation or</w:t>
            </w:r>
          </w:p>
          <w:p>
            <w:pPr>
              <w:pStyle w:val="TableContents"/>
              <w:bidi w:val="0"/>
              <w:spacing w:before="0" w:after="20"/>
              <w:jc w:val="center"/>
              <w:rPr>
                <w:rFonts w:ascii="Times New Roman" w:hAnsi="Times New Roman"/>
                <w:b/>
                <w:sz w:val="16"/>
              </w:rPr>
            </w:pPr>
            <w:r>
              <w:rPr>
                <w:rFonts w:ascii="Times New Roman" w:hAnsi="Times New Roman"/>
                <w:b/>
                <w:sz w:val="16"/>
              </w:rPr>
              <w:t>organization if not a U.S. national bank)</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 COLUMBUS CIRCLE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10019</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(Address of principal</w:t>
            </w:r>
          </w:p>
          <w:p>
            <w:pPr>
              <w:pStyle w:val="TableContents"/>
              <w:bidi w:val="0"/>
              <w:spacing w:before="0" w:after="20"/>
              <w:jc w:val="center"/>
              <w:rPr>
                <w:rFonts w:ascii="Times New Roman" w:hAnsi="Times New Roman"/>
                <w:b/>
                <w:sz w:val="16"/>
              </w:rPr>
            </w:pPr>
            <w:r>
              <w:rPr>
                <w:rFonts w:ascii="Times New Roman" w:hAnsi="Times New Roman"/>
                <w:b/>
                <w:sz w:val="16"/>
              </w:rPr>
              <w:t>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Deutsche Bank Trust Company Americas </w:t>
      </w:r>
    </w:p>
    <w:p>
      <w:pPr>
        <w:pStyle w:val="TextBody"/>
        <w:bidi w:val="0"/>
        <w:spacing w:before="0" w:after="0"/>
        <w:jc w:val="center"/>
        <w:rPr>
          <w:rFonts w:ascii="Times New Roman" w:hAnsi="Times New Roman"/>
          <w:b/>
          <w:sz w:val="20"/>
        </w:rPr>
      </w:pPr>
      <w:r>
        <w:rPr>
          <w:rFonts w:ascii="Times New Roman" w:hAnsi="Times New Roman"/>
          <w:b/>
          <w:sz w:val="20"/>
        </w:rPr>
        <w:t xml:space="preserve">1 Columbus Circle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10019 </w:t>
      </w:r>
    </w:p>
    <w:p>
      <w:pPr>
        <w:pStyle w:val="TextBody"/>
        <w:bidi w:val="0"/>
        <w:spacing w:before="0" w:after="0"/>
        <w:jc w:val="center"/>
        <w:rPr>
          <w:rFonts w:ascii="Times New Roman" w:hAnsi="Times New Roman"/>
          <w:b/>
          <w:sz w:val="20"/>
        </w:rPr>
      </w:pPr>
      <w:r>
        <w:rPr>
          <w:rFonts w:ascii="Times New Roman" w:hAnsi="Times New Roman"/>
          <w:b/>
          <w:sz w:val="20"/>
        </w:rPr>
        <w:t xml:space="preserve">(212) 250 – 2500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0"/>
        </w:rPr>
      </w:pPr>
      <w:r>
        <w:rPr>
          <w:rFonts w:ascii="Times New Roman" w:hAnsi="Times New Roman"/>
          <w:b/>
          <w:sz w:val="20"/>
        </w:rPr>
        <w:t xml:space="preserve">XYLEM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Indiana</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45-2080495</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301 Water Street SE</w:t>
            </w:r>
          </w:p>
          <w:p>
            <w:pPr>
              <w:pStyle w:val="TableContents"/>
              <w:bidi w:val="0"/>
              <w:spacing w:before="0" w:after="20"/>
              <w:jc w:val="center"/>
              <w:rPr>
                <w:rFonts w:ascii="Times New Roman" w:hAnsi="Times New Roman"/>
                <w:b/>
                <w:sz w:val="20"/>
              </w:rPr>
            </w:pPr>
            <w:r>
              <w:rPr>
                <w:rFonts w:ascii="Times New Roman" w:hAnsi="Times New Roman"/>
                <w:b/>
                <w:sz w:val="20"/>
              </w:rPr>
              <w:t>Washington, DC</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20003</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Furnish the following information as to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and address of each examining or supervising authority to which it is subject. </w:t>
            </w:r>
          </w:p>
        </w:tc>
      </w:tr>
    </w:tbl>
    <w:p>
      <w:pPr>
        <w:pStyle w:val="TextBody"/>
        <w:bidi w:val="0"/>
        <w:spacing w:before="0" w:after="0"/>
        <w:jc w:val="left"/>
        <w:rPr/>
      </w:pPr>
      <w:r>
        <w:rPr/>
        <w:t> </w:t>
      </w:r>
    </w:p>
    <w:tbl>
      <w:tblPr>
        <w:tblW w:w="4100" w:type="pct"/>
        <w:jc w:val="center"/>
        <w:tblInd w:w="0" w:type="dxa"/>
        <w:tblLayout w:type="fixed"/>
        <w:tblCellMar>
          <w:top w:w="0" w:type="dxa"/>
          <w:left w:w="0" w:type="dxa"/>
          <w:bottom w:w="0" w:type="dxa"/>
          <w:right w:w="0" w:type="dxa"/>
        </w:tblCellMar>
      </w:tblPr>
      <w:tblGrid>
        <w:gridCol w:w="4219"/>
        <w:gridCol w:w="122"/>
        <w:gridCol w:w="4027"/>
      </w:tblGrid>
      <w:tr>
        <w:trPr/>
        <w:tc>
          <w:tcPr>
            <w:tcW w:w="421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027" w:type="dxa"/>
            <w:tcBorders/>
            <w:vAlign w:val="center"/>
          </w:tcPr>
          <w:p>
            <w:pPr>
              <w:pStyle w:val="TableContents"/>
              <w:bidi w:val="0"/>
              <w:spacing w:before="0" w:after="283"/>
              <w:jc w:val="left"/>
              <w:rPr>
                <w:sz w:val="4"/>
                <w:szCs w:val="4"/>
              </w:rPr>
            </w:pPr>
            <w:r>
              <w:rPr>
                <w:sz w:val="4"/>
                <w:szCs w:val="4"/>
              </w:rPr>
            </w:r>
          </w:p>
        </w:tc>
      </w:tr>
      <w:tr>
        <w:trPr/>
        <w:tc>
          <w:tcPr>
            <w:tcW w:w="42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2" w:type="dxa"/>
            <w:tcBorders/>
            <w:vAlign w:val="bottom"/>
          </w:tcPr>
          <w:p>
            <w:pPr>
              <w:pStyle w:val="TableContents"/>
              <w:bidi w:val="0"/>
              <w:spacing w:before="0" w:after="283"/>
              <w:jc w:val="left"/>
              <w:rPr/>
            </w:pPr>
            <w:r>
              <w:rPr/>
              <w:t>  </w:t>
            </w:r>
          </w:p>
        </w:tc>
        <w:tc>
          <w:tcPr>
            <w:tcW w:w="40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Address</w:t>
            </w:r>
          </w:p>
        </w:tc>
      </w:tr>
      <w:tr>
        <w:trPr/>
        <w:tc>
          <w:tcPr>
            <w:tcW w:w="4219" w:type="dxa"/>
            <w:tcBorders/>
          </w:tcPr>
          <w:p>
            <w:pPr>
              <w:pStyle w:val="TableContents"/>
              <w:bidi w:val="0"/>
              <w:spacing w:before="0" w:after="283"/>
              <w:jc w:val="left"/>
              <w:rPr/>
            </w:pPr>
            <w:r>
              <w:rPr/>
              <w:t>Federal Reserve Bank (2nd District)</w:t>
            </w:r>
          </w:p>
        </w:tc>
        <w:tc>
          <w:tcPr>
            <w:tcW w:w="122" w:type="dxa"/>
            <w:tcBorders/>
            <w:vAlign w:val="bottom"/>
          </w:tcPr>
          <w:p>
            <w:pPr>
              <w:pStyle w:val="TableContents"/>
              <w:bidi w:val="0"/>
              <w:spacing w:before="0" w:after="283"/>
              <w:jc w:val="left"/>
              <w:rPr/>
            </w:pPr>
            <w:r>
              <w:rPr/>
              <w:t>  </w:t>
            </w:r>
          </w:p>
        </w:tc>
        <w:tc>
          <w:tcPr>
            <w:tcW w:w="4027" w:type="dxa"/>
            <w:tcBorders/>
          </w:tcPr>
          <w:p>
            <w:pPr>
              <w:pStyle w:val="TableContents"/>
              <w:bidi w:val="0"/>
              <w:spacing w:before="0" w:after="283"/>
              <w:jc w:val="left"/>
              <w:rPr/>
            </w:pPr>
            <w:r>
              <w:rPr/>
              <w:t>New York, NY</w:t>
            </w:r>
          </w:p>
        </w:tc>
      </w:tr>
      <w:tr>
        <w:trPr/>
        <w:tc>
          <w:tcPr>
            <w:tcW w:w="4219" w:type="dxa"/>
            <w:tcBorders/>
          </w:tcPr>
          <w:p>
            <w:pPr>
              <w:pStyle w:val="TableContents"/>
              <w:bidi w:val="0"/>
              <w:spacing w:before="0" w:after="283"/>
              <w:jc w:val="left"/>
              <w:rPr/>
            </w:pPr>
            <w:r>
              <w:rPr/>
              <w:t>Federal Deposit Insurance Corporation</w:t>
            </w:r>
          </w:p>
        </w:tc>
        <w:tc>
          <w:tcPr>
            <w:tcW w:w="122" w:type="dxa"/>
            <w:tcBorders/>
            <w:vAlign w:val="bottom"/>
          </w:tcPr>
          <w:p>
            <w:pPr>
              <w:pStyle w:val="TableContents"/>
              <w:bidi w:val="0"/>
              <w:spacing w:before="0" w:after="283"/>
              <w:jc w:val="left"/>
              <w:rPr/>
            </w:pPr>
            <w:r>
              <w:rPr/>
              <w:t>  </w:t>
            </w:r>
          </w:p>
        </w:tc>
        <w:tc>
          <w:tcPr>
            <w:tcW w:w="4027" w:type="dxa"/>
            <w:tcBorders/>
          </w:tcPr>
          <w:p>
            <w:pPr>
              <w:pStyle w:val="TableContents"/>
              <w:bidi w:val="0"/>
              <w:spacing w:before="0" w:after="283"/>
              <w:jc w:val="left"/>
              <w:rPr/>
            </w:pPr>
            <w:r>
              <w:rPr/>
              <w:t>Washington, D.C.</w:t>
            </w:r>
          </w:p>
        </w:tc>
      </w:tr>
      <w:tr>
        <w:trPr/>
        <w:tc>
          <w:tcPr>
            <w:tcW w:w="4219" w:type="dxa"/>
            <w:tcBorders/>
          </w:tcPr>
          <w:p>
            <w:pPr>
              <w:pStyle w:val="TableContents"/>
              <w:bidi w:val="0"/>
              <w:spacing w:before="0" w:after="283"/>
              <w:jc w:val="left"/>
              <w:rPr/>
            </w:pPr>
            <w:r>
              <w:rPr/>
              <w:t>New York State Banking Department</w:t>
            </w:r>
          </w:p>
        </w:tc>
        <w:tc>
          <w:tcPr>
            <w:tcW w:w="122" w:type="dxa"/>
            <w:tcBorders/>
            <w:vAlign w:val="bottom"/>
          </w:tcPr>
          <w:p>
            <w:pPr>
              <w:pStyle w:val="TableContents"/>
              <w:bidi w:val="0"/>
              <w:spacing w:before="0" w:after="283"/>
              <w:jc w:val="left"/>
              <w:rPr/>
            </w:pPr>
            <w:r>
              <w:rPr/>
              <w:t>  </w:t>
            </w:r>
          </w:p>
        </w:tc>
        <w:tc>
          <w:tcPr>
            <w:tcW w:w="4027" w:type="dxa"/>
            <w:tcBorders/>
          </w:tcPr>
          <w:p>
            <w:pPr>
              <w:pStyle w:val="TableContents"/>
              <w:bidi w:val="0"/>
              <w:spacing w:before="0" w:after="283"/>
              <w:jc w:val="left"/>
              <w:rPr/>
            </w:pPr>
            <w:r>
              <w:rPr/>
              <w:t>Albany, NY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360" w:after="0"/>
        <w:jc w:val="left"/>
        <w:rPr>
          <w:rFonts w:ascii="Times New Roman" w:hAnsi="Times New Roman"/>
          <w:b/>
          <w:sz w:val="20"/>
        </w:rPr>
      </w:pPr>
      <w:r>
        <w:rPr>
          <w:rFonts w:ascii="Times New Roman" w:hAnsi="Times New Roman"/>
          <w:b/>
          <w:sz w:val="20"/>
        </w:rPr>
        <w:t xml:space="preserve">Item 2. Affiliations with Obligor. </w:t>
      </w:r>
    </w:p>
    <w:p>
      <w:pPr>
        <w:pStyle w:val="TextBody"/>
        <w:bidi w:val="0"/>
        <w:spacing w:before="120" w:after="0"/>
        <w:jc w:val="left"/>
        <w:rPr>
          <w:rFonts w:ascii="Times New Roman" w:hAnsi="Times New Roman"/>
          <w:sz w:val="20"/>
        </w:rPr>
      </w:pPr>
      <w:r>
        <w:rPr>
          <w:rFonts w:ascii="Times New Roman" w:hAnsi="Times New Roman"/>
          <w:sz w:val="20"/>
        </w:rPr>
        <w:t xml:space="preserve">If the obligor is an affiliate of the Trustee, describe each such affiliation. </w:t>
      </w:r>
    </w:p>
    <w:p>
      <w:pPr>
        <w:pStyle w:val="TextBody"/>
        <w:bidi w:val="0"/>
        <w:spacing w:before="240" w:after="0"/>
        <w:jc w:val="left"/>
        <w:rPr>
          <w:rFonts w:ascii="Times New Roman" w:hAnsi="Times New Roman"/>
          <w:b/>
          <w:sz w:val="20"/>
        </w:rPr>
      </w:pPr>
      <w:r>
        <w:rPr>
          <w:rFonts w:ascii="Times New Roman" w:hAnsi="Times New Roman"/>
          <w:b/>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3. -15. Not Applicable. </w:t>
      </w:r>
    </w:p>
    <w:p>
      <w:pPr>
        <w:pStyle w:val="TextBody"/>
        <w:bidi w:val="0"/>
        <w:spacing w:before="120" w:after="0"/>
        <w:jc w:val="left"/>
        <w:rPr>
          <w:rFonts w:ascii="Times New Roman" w:hAnsi="Times New Roman"/>
          <w:b/>
          <w:sz w:val="20"/>
        </w:rPr>
      </w:pPr>
      <w:r>
        <w:rPr>
          <w:rFonts w:ascii="Times New Roman" w:hAnsi="Times New Roman"/>
          <w:b/>
          <w:sz w:val="20"/>
        </w:rPr>
        <w:t xml:space="preserve">Item 16. List of Exhibits. </w:t>
      </w:r>
    </w:p>
    <w:p>
      <w:pPr>
        <w:pStyle w:val="TextBody"/>
        <w:bidi w:val="0"/>
        <w:spacing w:before="0" w:after="0"/>
        <w:jc w:val="left"/>
        <w:rPr/>
      </w:pPr>
      <w:r>
        <w:rPr/>
        <w:t> </w:t>
      </w:r>
    </w:p>
    <w:tbl>
      <w:tblPr>
        <w:tblW w:w="4100" w:type="pct"/>
        <w:jc w:val="center"/>
        <w:tblInd w:w="0" w:type="dxa"/>
        <w:tblLayout w:type="fixed"/>
        <w:tblCellMar>
          <w:top w:w="0" w:type="dxa"/>
          <w:left w:w="0" w:type="dxa"/>
          <w:bottom w:w="0" w:type="dxa"/>
          <w:right w:w="0" w:type="dxa"/>
        </w:tblCellMar>
      </w:tblPr>
      <w:tblGrid>
        <w:gridCol w:w="1282"/>
        <w:gridCol w:w="123"/>
        <w:gridCol w:w="6963"/>
      </w:tblGrid>
      <w:tr>
        <w:trPr/>
        <w:tc>
          <w:tcPr>
            <w:tcW w:w="12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963" w:type="dxa"/>
            <w:tcBorders/>
            <w:vAlign w:val="center"/>
          </w:tcPr>
          <w:p>
            <w:pPr>
              <w:pStyle w:val="TableContents"/>
              <w:bidi w:val="0"/>
              <w:spacing w:before="0" w:after="283"/>
              <w:jc w:val="left"/>
              <w:rPr>
                <w:sz w:val="4"/>
                <w:szCs w:val="4"/>
              </w:rPr>
            </w:pPr>
            <w:r>
              <w:rPr>
                <w:sz w:val="4"/>
                <w:szCs w:val="4"/>
              </w:rPr>
            </w:r>
          </w:p>
        </w:tc>
      </w:tr>
      <w:tr>
        <w:trPr/>
        <w:tc>
          <w:tcPr>
            <w:tcW w:w="1282" w:type="dxa"/>
            <w:tcBorders/>
          </w:tcPr>
          <w:p>
            <w:pPr>
              <w:pStyle w:val="TableContents"/>
              <w:bidi w:val="0"/>
              <w:spacing w:before="0" w:after="283"/>
              <w:jc w:val="left"/>
              <w:rPr>
                <w:b/>
              </w:rPr>
            </w:pPr>
            <w:r>
              <w:rPr>
                <w:b/>
              </w:rPr>
              <w:t>Exhibit 1 -</w:t>
            </w:r>
          </w:p>
        </w:tc>
        <w:tc>
          <w:tcPr>
            <w:tcW w:w="123" w:type="dxa"/>
            <w:tcBorders/>
            <w:vAlign w:val="bottom"/>
          </w:tcPr>
          <w:p>
            <w:pPr>
              <w:pStyle w:val="TableContents"/>
              <w:bidi w:val="0"/>
              <w:spacing w:before="0" w:after="283"/>
              <w:jc w:val="left"/>
              <w:rPr/>
            </w:pPr>
            <w:r>
              <w:rPr/>
              <w:t>  </w:t>
            </w:r>
          </w:p>
        </w:tc>
        <w:tc>
          <w:tcPr>
            <w:tcW w:w="6963" w:type="dxa"/>
            <w:tcBorders/>
          </w:tcPr>
          <w:p>
            <w:pPr>
              <w:pStyle w:val="TableContents"/>
              <w:bidi w:val="0"/>
              <w:spacing w:before="0" w:after="283"/>
              <w:jc w:val="left"/>
              <w:rPr/>
            </w:pPr>
            <w:r>
              <w:rPr/>
              <w:t>Restated Organization Certificate of Bankers Trust Company dated August 31, 1998; Certificate of Amendment of the Organization Certificate of Bankers Trust Company dated September 25, 1998; Certificate of Amendment of the Organization Certificate of Bankers Trust Company dated December 18, 1998;Certificate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tc>
      </w:tr>
      <w:tr>
        <w:trPr>
          <w:trHeight w:val="120" w:hRule="atLeast"/>
        </w:trPr>
        <w:tc>
          <w:tcPr>
            <w:tcW w:w="1282" w:type="dxa"/>
            <w:tcBorders/>
            <w:vAlign w:val="center"/>
          </w:tcPr>
          <w:p>
            <w:pPr>
              <w:pStyle w:val="TableContents"/>
              <w:bidi w:val="0"/>
              <w:spacing w:before="0" w:after="283"/>
              <w:jc w:val="left"/>
              <w:rPr>
                <w:sz w:val="4"/>
                <w:szCs w:val="4"/>
              </w:rPr>
            </w:pPr>
            <w:r>
              <w:rPr>
                <w:sz w:val="4"/>
                <w:szCs w:val="4"/>
              </w:rPr>
            </w:r>
          </w:p>
        </w:tc>
        <w:tc>
          <w:tcPr>
            <w:tcW w:w="7086" w:type="dxa"/>
            <w:gridSpan w:val="2"/>
            <w:tcBorders/>
            <w:vAlign w:val="center"/>
          </w:tcPr>
          <w:p>
            <w:pPr>
              <w:pStyle w:val="TableContents"/>
              <w:bidi w:val="0"/>
              <w:spacing w:before="0" w:after="283"/>
              <w:jc w:val="left"/>
              <w:rPr>
                <w:sz w:val="4"/>
                <w:szCs w:val="4"/>
              </w:rPr>
            </w:pPr>
            <w:r>
              <w:rPr>
                <w:sz w:val="4"/>
                <w:szCs w:val="4"/>
              </w:rPr>
            </w:r>
          </w:p>
        </w:tc>
      </w:tr>
      <w:tr>
        <w:trPr/>
        <w:tc>
          <w:tcPr>
            <w:tcW w:w="1282" w:type="dxa"/>
            <w:tcBorders/>
          </w:tcPr>
          <w:p>
            <w:pPr>
              <w:pStyle w:val="TableContents"/>
              <w:bidi w:val="0"/>
              <w:spacing w:before="0" w:after="283"/>
              <w:jc w:val="left"/>
              <w:rPr>
                <w:b/>
              </w:rPr>
            </w:pPr>
            <w:r>
              <w:rPr>
                <w:b/>
              </w:rPr>
              <w:t>Exhibit 2 -</w:t>
            </w:r>
          </w:p>
        </w:tc>
        <w:tc>
          <w:tcPr>
            <w:tcW w:w="123" w:type="dxa"/>
            <w:tcBorders/>
            <w:vAlign w:val="bottom"/>
          </w:tcPr>
          <w:p>
            <w:pPr>
              <w:pStyle w:val="TableContents"/>
              <w:bidi w:val="0"/>
              <w:spacing w:before="0" w:after="283"/>
              <w:jc w:val="left"/>
              <w:rPr/>
            </w:pPr>
            <w:r>
              <w:rPr/>
              <w:t>  </w:t>
            </w:r>
          </w:p>
        </w:tc>
        <w:tc>
          <w:tcPr>
            <w:tcW w:w="6963" w:type="dxa"/>
            <w:tcBorders/>
          </w:tcPr>
          <w:p>
            <w:pPr>
              <w:pStyle w:val="TableContents"/>
              <w:bidi w:val="0"/>
              <w:spacing w:before="0" w:after="283"/>
              <w:jc w:val="left"/>
              <w:rPr/>
            </w:pPr>
            <w:r>
              <w:rPr/>
              <w:t>Certificate of Authority to commence business, incorporated herein by reference to Exhibit 2 filed with Form T-1 Statement, Registration No. 333-201810.</w:t>
            </w:r>
          </w:p>
        </w:tc>
      </w:tr>
      <w:tr>
        <w:trPr>
          <w:trHeight w:val="120" w:hRule="atLeast"/>
        </w:trPr>
        <w:tc>
          <w:tcPr>
            <w:tcW w:w="1282" w:type="dxa"/>
            <w:tcBorders/>
            <w:vAlign w:val="center"/>
          </w:tcPr>
          <w:p>
            <w:pPr>
              <w:pStyle w:val="TableContents"/>
              <w:bidi w:val="0"/>
              <w:spacing w:before="0" w:after="283"/>
              <w:jc w:val="left"/>
              <w:rPr>
                <w:sz w:val="4"/>
                <w:szCs w:val="4"/>
              </w:rPr>
            </w:pPr>
            <w:r>
              <w:rPr>
                <w:sz w:val="4"/>
                <w:szCs w:val="4"/>
              </w:rPr>
            </w:r>
          </w:p>
        </w:tc>
        <w:tc>
          <w:tcPr>
            <w:tcW w:w="7086" w:type="dxa"/>
            <w:gridSpan w:val="2"/>
            <w:tcBorders/>
            <w:vAlign w:val="center"/>
          </w:tcPr>
          <w:p>
            <w:pPr>
              <w:pStyle w:val="TableContents"/>
              <w:bidi w:val="0"/>
              <w:spacing w:before="0" w:after="283"/>
              <w:jc w:val="left"/>
              <w:rPr>
                <w:sz w:val="4"/>
                <w:szCs w:val="4"/>
              </w:rPr>
            </w:pPr>
            <w:r>
              <w:rPr>
                <w:sz w:val="4"/>
                <w:szCs w:val="4"/>
              </w:rPr>
            </w:r>
          </w:p>
        </w:tc>
      </w:tr>
      <w:tr>
        <w:trPr/>
        <w:tc>
          <w:tcPr>
            <w:tcW w:w="1282" w:type="dxa"/>
            <w:tcBorders/>
          </w:tcPr>
          <w:p>
            <w:pPr>
              <w:pStyle w:val="TableContents"/>
              <w:bidi w:val="0"/>
              <w:spacing w:before="0" w:after="283"/>
              <w:jc w:val="left"/>
              <w:rPr>
                <w:b/>
              </w:rPr>
            </w:pPr>
            <w:r>
              <w:rPr>
                <w:b/>
              </w:rPr>
              <w:t>Exhibit 3 -</w:t>
            </w:r>
          </w:p>
        </w:tc>
        <w:tc>
          <w:tcPr>
            <w:tcW w:w="123" w:type="dxa"/>
            <w:tcBorders/>
            <w:vAlign w:val="bottom"/>
          </w:tcPr>
          <w:p>
            <w:pPr>
              <w:pStyle w:val="TableContents"/>
              <w:bidi w:val="0"/>
              <w:spacing w:before="0" w:after="283"/>
              <w:jc w:val="left"/>
              <w:rPr/>
            </w:pPr>
            <w:r>
              <w:rPr/>
              <w:t>  </w:t>
            </w:r>
          </w:p>
        </w:tc>
        <w:tc>
          <w:tcPr>
            <w:tcW w:w="6963" w:type="dxa"/>
            <w:tcBorders/>
          </w:tcPr>
          <w:p>
            <w:pPr>
              <w:pStyle w:val="TableContents"/>
              <w:bidi w:val="0"/>
              <w:spacing w:before="0" w:after="283"/>
              <w:jc w:val="left"/>
              <w:rPr/>
            </w:pPr>
            <w:r>
              <w:rPr/>
              <w:t>Authorization of the Trustee to exercise corporate trust powers, incorporated herein by reference to Exhibit 3 filed with Form T-1 Statement, Registration No. 333-201810.</w:t>
            </w:r>
          </w:p>
        </w:tc>
      </w:tr>
      <w:tr>
        <w:trPr>
          <w:trHeight w:val="120" w:hRule="atLeast"/>
        </w:trPr>
        <w:tc>
          <w:tcPr>
            <w:tcW w:w="1282" w:type="dxa"/>
            <w:tcBorders/>
            <w:vAlign w:val="center"/>
          </w:tcPr>
          <w:p>
            <w:pPr>
              <w:pStyle w:val="TableContents"/>
              <w:bidi w:val="0"/>
              <w:spacing w:before="0" w:after="283"/>
              <w:jc w:val="left"/>
              <w:rPr>
                <w:sz w:val="4"/>
                <w:szCs w:val="4"/>
              </w:rPr>
            </w:pPr>
            <w:r>
              <w:rPr>
                <w:sz w:val="4"/>
                <w:szCs w:val="4"/>
              </w:rPr>
            </w:r>
          </w:p>
        </w:tc>
        <w:tc>
          <w:tcPr>
            <w:tcW w:w="7086" w:type="dxa"/>
            <w:gridSpan w:val="2"/>
            <w:tcBorders/>
            <w:vAlign w:val="center"/>
          </w:tcPr>
          <w:p>
            <w:pPr>
              <w:pStyle w:val="TableContents"/>
              <w:bidi w:val="0"/>
              <w:spacing w:before="0" w:after="283"/>
              <w:jc w:val="left"/>
              <w:rPr>
                <w:sz w:val="4"/>
                <w:szCs w:val="4"/>
              </w:rPr>
            </w:pPr>
            <w:r>
              <w:rPr>
                <w:sz w:val="4"/>
                <w:szCs w:val="4"/>
              </w:rPr>
            </w:r>
          </w:p>
        </w:tc>
      </w:tr>
      <w:tr>
        <w:trPr/>
        <w:tc>
          <w:tcPr>
            <w:tcW w:w="1282" w:type="dxa"/>
            <w:tcBorders/>
          </w:tcPr>
          <w:p>
            <w:pPr>
              <w:pStyle w:val="TableContents"/>
              <w:bidi w:val="0"/>
              <w:spacing w:before="0" w:after="283"/>
              <w:jc w:val="left"/>
              <w:rPr>
                <w:b/>
              </w:rPr>
            </w:pPr>
            <w:r>
              <w:rPr>
                <w:b/>
              </w:rPr>
              <w:t>Exhibit 4 -</w:t>
            </w:r>
          </w:p>
        </w:tc>
        <w:tc>
          <w:tcPr>
            <w:tcW w:w="123" w:type="dxa"/>
            <w:tcBorders/>
            <w:vAlign w:val="bottom"/>
          </w:tcPr>
          <w:p>
            <w:pPr>
              <w:pStyle w:val="TableContents"/>
              <w:bidi w:val="0"/>
              <w:spacing w:before="0" w:after="283"/>
              <w:jc w:val="left"/>
              <w:rPr/>
            </w:pPr>
            <w:r>
              <w:rPr/>
              <w:t>  </w:t>
            </w:r>
          </w:p>
        </w:tc>
        <w:tc>
          <w:tcPr>
            <w:tcW w:w="6963" w:type="dxa"/>
            <w:tcBorders/>
          </w:tcPr>
          <w:p>
            <w:pPr>
              <w:pStyle w:val="TableContents"/>
              <w:bidi w:val="0"/>
              <w:spacing w:before="0" w:after="283"/>
              <w:jc w:val="left"/>
              <w:rPr/>
            </w:pPr>
            <w:r>
              <w:rPr/>
              <w:t>A copy of existing By-Laws of Deutsche Bank Trust Company Americas, dated May 1, 2025 (see attached).</w:t>
            </w:r>
          </w:p>
        </w:tc>
      </w:tr>
    </w:tbl>
    <w:p>
      <w:pPr>
        <w:pStyle w:val="HorizontalLine"/>
        <w:pBdr>
          <w:bottom w:val="double" w:sz="6" w:space="0" w:color="808080"/>
        </w:pBdr>
        <w:bidi w:val="0"/>
        <w:jc w:val="left"/>
        <w:rPr/>
      </w:pPr>
      <w:r>
        <w:br w:type="page"/>
      </w:r>
      <w:r>
        <w:rPr/>
      </w:r>
    </w:p>
    <w:tbl>
      <w:tblPr>
        <w:tblW w:w="4100" w:type="pct"/>
        <w:jc w:val="center"/>
        <w:tblInd w:w="0" w:type="dxa"/>
        <w:tblLayout w:type="fixed"/>
        <w:tblCellMar>
          <w:top w:w="0" w:type="dxa"/>
          <w:left w:w="0" w:type="dxa"/>
          <w:bottom w:w="0" w:type="dxa"/>
          <w:right w:w="0" w:type="dxa"/>
        </w:tblCellMar>
      </w:tblPr>
      <w:tblGrid>
        <w:gridCol w:w="1283"/>
        <w:gridCol w:w="123"/>
        <w:gridCol w:w="6962"/>
      </w:tblGrid>
      <w:tr>
        <w:trPr/>
        <w:tc>
          <w:tcPr>
            <w:tcW w:w="12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9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5 -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Not applicable.</w:t>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6 -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Consent of Bankers Trust Company required by Section 321(b) of the Act, incorporated herein by reference to Exhibit 6 filed with Form T-1 Statement, Registration No. 333-201810.</w:t>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7 -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A copy of the latest report of condition of the trustee published pursuant to law or the requirements of its supervising or examining authority.</w:t>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8 -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Not Applicable.</w:t>
            </w:r>
          </w:p>
        </w:tc>
      </w:tr>
      <w:tr>
        <w:trPr>
          <w:trHeight w:val="120" w:hRule="atLeast"/>
        </w:trPr>
        <w:tc>
          <w:tcPr>
            <w:tcW w:w="1283"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1283" w:type="dxa"/>
            <w:tcBorders/>
          </w:tcPr>
          <w:p>
            <w:pPr>
              <w:pStyle w:val="TableContents"/>
              <w:bidi w:val="0"/>
              <w:spacing w:before="0" w:after="283"/>
              <w:jc w:val="left"/>
              <w:rPr>
                <w:b/>
              </w:rPr>
            </w:pPr>
            <w:r>
              <w:rPr>
                <w:b/>
              </w:rPr>
              <w:t>Exhibit 9 -</w:t>
            </w:r>
          </w:p>
        </w:tc>
        <w:tc>
          <w:tcPr>
            <w:tcW w:w="123" w:type="dxa"/>
            <w:tcBorders/>
            <w:vAlign w:val="bottom"/>
          </w:tcPr>
          <w:p>
            <w:pPr>
              <w:pStyle w:val="TableContents"/>
              <w:bidi w:val="0"/>
              <w:spacing w:before="0" w:after="283"/>
              <w:jc w:val="left"/>
              <w:rPr/>
            </w:pPr>
            <w:r>
              <w:rPr/>
              <w:t>  </w:t>
            </w:r>
          </w:p>
        </w:tc>
        <w:tc>
          <w:tcPr>
            <w:tcW w:w="6962" w:type="dxa"/>
            <w:tcBorders/>
          </w:tcPr>
          <w:p>
            <w:pPr>
              <w:pStyle w:val="TableContents"/>
              <w:bidi w:val="0"/>
              <w:spacing w:before="0" w:after="283"/>
              <w:jc w:val="left"/>
              <w:rPr/>
            </w:pPr>
            <w:r>
              <w:rPr/>
              <w:t>Not Applicable.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16th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DEUTSCHE BANK TRUST COMPANY AMERICAS</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Jacqueline Bartnick</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283"/>
              <w:jc w:val="left"/>
              <w:rPr/>
            </w:pPr>
            <w:r>
              <w:rPr/>
              <w:t>Name: Jacqueline Bartnick</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96"/>
        <w:gridCol w:w="109"/>
        <w:gridCol w:w="4398"/>
        <w:gridCol w:w="122"/>
        <w:gridCol w:w="2780"/>
      </w:tblGrid>
      <w:tr>
        <w:trPr/>
        <w:tc>
          <w:tcPr>
            <w:tcW w:w="279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39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r>
      <w:tr>
        <w:trPr/>
        <w:tc>
          <w:tcPr>
            <w:tcW w:w="2796" w:type="dxa"/>
            <w:vMerge w:val="restart"/>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Board of Governors of the Federal Reserve System</w:t>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OMB Number 7100-0036</w:t>
            </w:r>
          </w:p>
        </w:tc>
      </w:tr>
      <w:tr>
        <w:trPr/>
        <w:tc>
          <w:tcPr>
            <w:tcW w:w="2796" w:type="dxa"/>
            <w:vMerge w:val="continue"/>
            <w:tcBorders/>
            <w:vAlign w:val="bottom"/>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Federal Deposit Insurance Corporation</w:t>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OMB Number 3064-0052</w:t>
            </w:r>
          </w:p>
        </w:tc>
      </w:tr>
      <w:tr>
        <w:trPr/>
        <w:tc>
          <w:tcPr>
            <w:tcW w:w="2796" w:type="dxa"/>
            <w:vMerge w:val="continue"/>
            <w:tcBorders/>
            <w:vAlign w:val="bottom"/>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Office of the Comptroller of the Currency</w:t>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OMB Number 1557-0081</w:t>
            </w:r>
          </w:p>
        </w:tc>
      </w:tr>
      <w:tr>
        <w:trPr/>
        <w:tc>
          <w:tcPr>
            <w:tcW w:w="2796" w:type="dxa"/>
            <w:vMerge w:val="continue"/>
            <w:tcBorders/>
            <w:vAlign w:val="bottom"/>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Approval expires February 28, 2029</w:t>
            </w:r>
          </w:p>
        </w:tc>
      </w:tr>
      <w:tr>
        <w:trPr/>
        <w:tc>
          <w:tcPr>
            <w:tcW w:w="2796" w:type="dxa"/>
            <w:vMerge w:val="continue"/>
            <w:tcBorders/>
            <w:vAlign w:val="bottom"/>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Page 1 of 86</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Federal Financial Institutions Examination Council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3"/>
        <w:gridCol w:w="120"/>
        <w:gridCol w:w="8762"/>
      </w:tblGrid>
      <w:tr>
        <w:trPr/>
        <w:tc>
          <w:tcPr>
            <w:tcW w:w="13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r>
      <w:tr>
        <w:trPr/>
        <w:tc>
          <w:tcPr>
            <w:tcW w:w="1323" w:type="dxa"/>
            <w:tcBorders/>
          </w:tcPr>
          <w:p>
            <w:pPr>
              <w:pStyle w:val="TableContents"/>
              <w:bidi w:val="0"/>
              <w:spacing w:before="0" w:after="283"/>
              <w:jc w:val="left"/>
              <w:rPr/>
            </w:pPr>
            <w:r>
              <w:rPr/>
              <w:drawing>
                <wp:inline distT="0" distB="0" distL="0" distR="0">
                  <wp:extent cx="828675" cy="847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6"/>
                          <a:stretch>
                            <a:fillRect/>
                          </a:stretch>
                        </pic:blipFill>
                        <pic:spPr bwMode="auto">
                          <a:xfrm>
                            <a:off x="0" y="0"/>
                            <a:ext cx="828675" cy="8477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762" w:type="dxa"/>
            <w:tcBorders/>
            <w:vAlign w:val="center"/>
          </w:tcPr>
          <w:p>
            <w:pPr>
              <w:pStyle w:val="TableContents"/>
              <w:bidi w:val="0"/>
              <w:spacing w:before="0" w:after="283"/>
              <w:jc w:val="left"/>
              <w:rPr>
                <w:b/>
              </w:rPr>
            </w:pPr>
            <w:r>
              <w:rPr>
                <w:b/>
              </w:rPr>
              <w:t>Consolidated Reports of Condition and Income for a Bank with Domestic Offices Only—FFIEC 041</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5"/>
        <w:gridCol w:w="72"/>
        <w:gridCol w:w="951"/>
        <w:gridCol w:w="72"/>
        <w:gridCol w:w="539"/>
        <w:gridCol w:w="127"/>
        <w:gridCol w:w="3085"/>
        <w:gridCol w:w="127"/>
        <w:gridCol w:w="286"/>
        <w:gridCol w:w="127"/>
        <w:gridCol w:w="2294"/>
      </w:tblGrid>
      <w:tr>
        <w:trPr/>
        <w:tc>
          <w:tcPr>
            <w:tcW w:w="252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4159" w:type="dxa"/>
            <w:gridSpan w:val="5"/>
            <w:tcBorders/>
          </w:tcPr>
          <w:p>
            <w:pPr>
              <w:pStyle w:val="TableContents"/>
              <w:bidi w:val="0"/>
              <w:spacing w:before="0" w:after="283"/>
              <w:jc w:val="left"/>
              <w:rPr>
                <w:b/>
              </w:rPr>
            </w:pPr>
            <w:r>
              <w:rPr>
                <w:b/>
              </w:rPr>
              <w:t>Report at the close of business March 31, 2026</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u w:val="single"/>
              </w:rPr>
            </w:pPr>
            <w:r>
              <w:rPr>
                <w:u w:val="single"/>
              </w:rPr>
              <w:t>   </w:t>
            </w:r>
            <w:r>
              <w:rPr>
                <w:rFonts w:ascii="Times New Roman" w:hAnsi="Times New Roman"/>
                <w:sz w:val="20"/>
                <w:u w:val="single"/>
              </w:rPr>
              <w:t>20260331 </w:t>
            </w:r>
          </w:p>
          <w:p>
            <w:pPr>
              <w:pStyle w:val="TableContents"/>
              <w:bidi w:val="0"/>
              <w:spacing w:before="0" w:after="20"/>
              <w:jc w:val="left"/>
              <w:rPr/>
            </w:pPr>
            <w:r>
              <w:rPr/>
              <w:t>  </w:t>
            </w:r>
            <w:r>
              <w:rPr>
                <w:rFonts w:ascii="Times New Roman" w:hAnsi="Times New Roman"/>
                <w:sz w:val="20"/>
              </w:rPr>
              <w:t>(RCON 9999)</w:t>
            </w:r>
          </w:p>
        </w:tc>
      </w:tr>
      <w:tr>
        <w:trPr>
          <w:trHeight w:val="120" w:hRule="atLeast"/>
        </w:trPr>
        <w:tc>
          <w:tcPr>
            <w:tcW w:w="4159" w:type="dxa"/>
            <w:gridSpan w:val="5"/>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4159" w:type="dxa"/>
            <w:gridSpan w:val="5"/>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This report is required by law: 12 U.S.C. § 324 (State member banks); 12 U.S.C. §1817 (State nonmember banks); 12 U.S.C. §161 (National banks); and 12 U.S.C. §1464 (Savings associations).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Unless the context indicates otherwise, the term “bank” in this report form refers to both banks and savings associations.</w:t>
            </w:r>
          </w:p>
          <w:p>
            <w:pPr>
              <w:pStyle w:val="TableContents"/>
              <w:bidi w:val="0"/>
              <w:spacing w:before="0" w:after="20"/>
              <w:jc w:val="left"/>
              <w:rPr/>
            </w:pPr>
            <w:r>
              <w:rPr/>
              <w:t> </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5919" w:type="dxa"/>
            <w:gridSpan w:val="5"/>
            <w:tcBorders>
              <w:bottom w:val="single" w:sz="2" w:space="0" w:color="000000"/>
            </w:tcBorders>
            <w:tcMar>
              <w:bottom w:w="28" w:type="dxa"/>
            </w:tcMar>
          </w:tcPr>
          <w:p>
            <w:pPr>
              <w:pStyle w:val="TableContents"/>
              <w:bidi w:val="0"/>
              <w:spacing w:before="0" w:after="283"/>
              <w:jc w:val="left"/>
              <w:rPr/>
            </w:pPr>
            <w:r>
              <w:rPr/>
              <w:t>This report form is to be filed by banks with domestic offices only and total consolidated assets of less than $100 billion, except those banks that file the FFIEC 051, and those banks that are advanced approaches institutions for regulatory capital purposes that are required to file the FFIEC 031.</w:t>
            </w:r>
          </w:p>
        </w:tc>
      </w:tr>
      <w:tr>
        <w:trPr/>
        <w:tc>
          <w:tcPr>
            <w:tcW w:w="4159" w:type="dxa"/>
            <w:gridSpan w:val="5"/>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NOTE: Each bank’s board of directors and senior management are responsible for establishing and maintaining an effective system of internal control, including controls over the Reports of Condition and Income. The Reports of Condition and Income are to be prepared in accordance with federal regulatory authority instructions. The Reports of Condition and Income must be signed by the Chief Financial Officer (CFO) of the reporting bank (or by the individual performing an equivalent function) and attested to by not less than two directors (trustees) for state nonmember banks and three directors for state member banks, national banks, and savings associations.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 the undersigned CFO (or equivalent) of the named bank, attest that the Reports of Condition and Income (including the supporting</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schedules) for this report date have been prepared in conformance with the instructions issued by the appropriate Federal regulatory authority and are true and correct to the best of my knowledge and belief.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the undersigned directors (trustees), attest to the correctness of the Reports of Condition and Income (including the supporting schedules) for this report date and declare that the Reports of Condition and Income have been examined by us and to the best of our knowledge and belief have been prepared in conformance with the instructions issued by the appropriate Federal regulatory authority and are true and correct.</w:t>
            </w:r>
          </w:p>
        </w:tc>
      </w:tr>
      <w:tr>
        <w:trPr/>
        <w:tc>
          <w:tcPr>
            <w:tcW w:w="4159" w:type="dxa"/>
            <w:gridSpan w:val="5"/>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pBdr>
                <w:bottom w:val="single" w:sz="2" w:space="1" w:color="000000"/>
              </w:pBdr>
              <w:bidi w:val="0"/>
              <w:spacing w:before="0" w:after="20"/>
              <w:jc w:val="left"/>
              <w:rPr/>
            </w:pPr>
            <w:r>
              <w:rPr/>
              <w:t>  </w:t>
            </w:r>
          </w:p>
        </w:tc>
      </w:tr>
      <w:tr>
        <w:trPr/>
        <w:tc>
          <w:tcPr>
            <w:tcW w:w="4159" w:type="dxa"/>
            <w:gridSpan w:val="5"/>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91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 (Trustee)</w:t>
            </w:r>
          </w:p>
        </w:tc>
      </w:tr>
      <w:tr>
        <w:trPr>
          <w:trHeight w:val="120" w:hRule="atLeast"/>
        </w:trPr>
        <w:tc>
          <w:tcPr>
            <w:tcW w:w="4159" w:type="dxa"/>
            <w:gridSpan w:val="5"/>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4159" w:type="dxa"/>
            <w:gridSpan w:val="5"/>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5919" w:type="dxa"/>
            <w:gridSpan w:val="5"/>
            <w:tcBorders/>
            <w:vAlign w:val="bottom"/>
          </w:tcPr>
          <w:p>
            <w:pPr>
              <w:pStyle w:val="TableContents"/>
              <w:pBdr>
                <w:bottom w:val="single" w:sz="2" w:space="1" w:color="000000"/>
              </w:pBdr>
              <w:bidi w:val="0"/>
              <w:spacing w:before="0" w:after="20"/>
              <w:jc w:val="left"/>
              <w:rPr/>
            </w:pPr>
            <w:r>
              <w:rPr/>
              <w:t>  </w:t>
            </w:r>
          </w:p>
        </w:tc>
      </w:tr>
      <w:tr>
        <w:trPr/>
        <w:tc>
          <w:tcPr>
            <w:tcW w:w="415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Signature of Chief Financial Officer (or Equivalent)</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Director (Trustee)</w:t>
            </w:r>
          </w:p>
        </w:tc>
      </w:tr>
      <w:tr>
        <w:trPr>
          <w:trHeight w:val="120" w:hRule="atLeast"/>
        </w:trPr>
        <w:tc>
          <w:tcPr>
            <w:tcW w:w="4159" w:type="dxa"/>
            <w:gridSpan w:val="5"/>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4159" w:type="dxa"/>
            <w:gridSpan w:val="5"/>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04/30/2026</w:t>
            </w:r>
          </w:p>
        </w:tc>
        <w:tc>
          <w:tcPr>
            <w:tcW w:w="127" w:type="dxa"/>
            <w:tcBorders/>
            <w:vAlign w:val="bottom"/>
          </w:tcPr>
          <w:p>
            <w:pPr>
              <w:pStyle w:val="TableContents"/>
              <w:bidi w:val="0"/>
              <w:spacing w:before="0" w:after="283"/>
              <w:jc w:val="left"/>
              <w:rPr/>
            </w:pPr>
            <w:r>
              <w:rPr/>
              <w:t>  </w:t>
            </w:r>
          </w:p>
        </w:tc>
        <w:tc>
          <w:tcPr>
            <w:tcW w:w="5919" w:type="dxa"/>
            <w:gridSpan w:val="5"/>
            <w:tcBorders/>
            <w:vAlign w:val="bottom"/>
          </w:tcPr>
          <w:p>
            <w:pPr>
              <w:pStyle w:val="TableContents"/>
              <w:pBdr>
                <w:bottom w:val="single" w:sz="2" w:space="1" w:color="000000"/>
              </w:pBdr>
              <w:bidi w:val="0"/>
              <w:spacing w:before="0" w:after="20"/>
              <w:jc w:val="right"/>
              <w:rPr/>
            </w:pPr>
            <w:r>
              <w:rPr/>
              <w:t> </w:t>
            </w:r>
          </w:p>
        </w:tc>
      </w:tr>
      <w:tr>
        <w:trPr/>
        <w:tc>
          <w:tcPr>
            <w:tcW w:w="415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Date of Signature</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Director (Trustee)</w:t>
            </w:r>
          </w:p>
        </w:tc>
      </w:tr>
      <w:tr>
        <w:trPr/>
        <w:tc>
          <w:tcPr>
            <w:tcW w:w="10205" w:type="dxa"/>
            <w:gridSpan w:val="11"/>
            <w:tcBorders/>
          </w:tcPr>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Submission of Reports</w:t>
            </w:r>
          </w:p>
        </w:tc>
      </w:tr>
      <w:tr>
        <w:trPr>
          <w:trHeight w:val="120" w:hRule="atLeast"/>
        </w:trPr>
        <w:tc>
          <w:tcPr>
            <w:tcW w:w="4159" w:type="dxa"/>
            <w:gridSpan w:val="5"/>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415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Each bank must file its Reports of Condition and Income (Call Report) data by either: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 Using computer software to prepare its Call Report and then submitting the report data directly to the FFIEC’s Central Data Repository (CDR), an Internet-based system for data collection (https://cdr.ffiec.gov/cdr/),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 Completing its Call Report in paper form and arranging with a software vendor or another party to convert the data into the electronic format that can be processed by the CDR. The software vendor or other party then must electronically submit the bank’s data file to the CDR.</w:t>
            </w:r>
          </w:p>
          <w:p>
            <w:pPr>
              <w:pStyle w:val="TableContents"/>
              <w:bidi w:val="0"/>
              <w:spacing w:before="0" w:after="0"/>
              <w:jc w:val="left"/>
              <w:rPr>
                <w:rFonts w:ascii="Times New Roman" w:hAnsi="Times New Roman"/>
                <w:sz w:val="20"/>
              </w:rPr>
            </w:pPr>
            <w:r>
              <w:rPr>
                <w:rFonts w:ascii="Times New Roman" w:hAnsi="Times New Roman"/>
                <w:sz w:val="20"/>
              </w:rPr>
              <w:t>software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technical assistance with submissions to the CDR, please contact the CDR Help Desk by telephone at (888) CDR-3111, by fax at (703) 774-3946, or by e-mail at cdr.help@cdr.ffiec.gov.</w:t>
            </w:r>
          </w:p>
          <w:p>
            <w:pPr>
              <w:pStyle w:val="TableContents"/>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To fulfill the signature and attestation requirement for the Reports of Condition and Income for this report date, attach your bank’s completed signature page (or a photocopy or a computer generated version of this page) to the hard-copy record of the data file submitted to the CDR that your bank must place in its files.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appearance of your bank’s hard-copy record of the submitted data file need not match exactly the appearance of the FFIEC’s sample report forms, but should show at least the caption of each Call Report item and the reported amount.</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DEUTSCHE BANK TRUST COMPANY AMERICAS</w:t>
            </w:r>
          </w:p>
          <w:p>
            <w:pPr>
              <w:pStyle w:val="TableContents"/>
              <w:bidi w:val="0"/>
              <w:spacing w:before="0" w:after="0"/>
              <w:jc w:val="left"/>
              <w:rPr>
                <w:rFonts w:ascii="Times New Roman" w:hAnsi="Times New Roman"/>
                <w:sz w:val="20"/>
              </w:rPr>
            </w:pPr>
            <w:r>
              <w:rPr>
                <w:rFonts w:ascii="Times New Roman" w:hAnsi="Times New Roman"/>
                <w:sz w:val="20"/>
              </w:rPr>
              <w:t>Legal Title of Bank (RSSD 9017)</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New York</w:t>
            </w:r>
          </w:p>
          <w:p>
            <w:pPr>
              <w:pStyle w:val="TableContents"/>
              <w:bidi w:val="0"/>
              <w:spacing w:before="0" w:after="20"/>
              <w:jc w:val="left"/>
              <w:rPr>
                <w:rFonts w:ascii="Times New Roman" w:hAnsi="Times New Roman"/>
                <w:sz w:val="20"/>
              </w:rPr>
            </w:pPr>
            <w:r>
              <w:rPr>
                <w:rFonts w:ascii="Times New Roman" w:hAnsi="Times New Roman"/>
                <w:sz w:val="20"/>
              </w:rPr>
              <w:t>City (RSSD 9130)</w:t>
            </w:r>
          </w:p>
        </w:tc>
      </w:tr>
      <w:tr>
        <w:trPr/>
        <w:tc>
          <w:tcPr>
            <w:tcW w:w="2525" w:type="dxa"/>
            <w:tcBorders/>
          </w:tcPr>
          <w:p>
            <w:pPr>
              <w:pStyle w:val="TableContents"/>
              <w:bidi w:val="0"/>
              <w:spacing w:before="0" w:after="283"/>
              <w:jc w:val="left"/>
              <w:rPr/>
            </w:pPr>
            <w:r>
              <w:rPr/>
              <w:t>FDIC Certificate Number </w:t>
            </w:r>
          </w:p>
        </w:tc>
        <w:tc>
          <w:tcPr>
            <w:tcW w:w="7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1"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623</w:t>
            </w:r>
          </w:p>
          <w:p>
            <w:pPr>
              <w:pStyle w:val="TableContents"/>
              <w:bidi w:val="0"/>
              <w:spacing w:before="0" w:after="20"/>
              <w:jc w:val="left"/>
              <w:rPr/>
            </w:pPr>
            <w:r>
              <w:rPr/>
              <w:t> </w:t>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498" w:type="dxa"/>
            <w:gridSpan w:val="3"/>
            <w:tcBorders/>
            <w:vAlign w:val="bottom"/>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NY</w:t>
            </w:r>
          </w:p>
        </w:tc>
        <w:tc>
          <w:tcPr>
            <w:tcW w:w="127" w:type="dxa"/>
            <w:tcBorders/>
            <w:vAlign w:val="bottom"/>
          </w:tcPr>
          <w:p>
            <w:pPr>
              <w:pStyle w:val="TableContents"/>
              <w:bidi w:val="0"/>
              <w:spacing w:before="0" w:after="283"/>
              <w:jc w:val="left"/>
              <w:rPr/>
            </w:pPr>
            <w:r>
              <w:rPr/>
              <w:t>  </w:t>
            </w:r>
          </w:p>
        </w:tc>
        <w:tc>
          <w:tcPr>
            <w:tcW w:w="2294" w:type="dxa"/>
            <w:tcBorders/>
            <w:vAlign w:val="bottom"/>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10019</w:t>
            </w:r>
          </w:p>
        </w:tc>
      </w:tr>
      <w:tr>
        <w:trPr/>
        <w:tc>
          <w:tcPr>
            <w:tcW w:w="2525"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center"/>
              <w:rPr/>
            </w:pPr>
            <w:r>
              <w:rPr/>
              <w:t>(RSSD 9050)</w:t>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center"/>
              <w:rPr/>
            </w:pPr>
            <w:r>
              <w:rPr/>
              <w:t>  </w:t>
            </w:r>
          </w:p>
        </w:tc>
        <w:tc>
          <w:tcPr>
            <w:tcW w:w="127"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pPr>
            <w:r>
              <w:rPr/>
              <w:t>State Abbreviation (RSSD 9200)</w:t>
            </w:r>
          </w:p>
        </w:tc>
        <w:tc>
          <w:tcPr>
            <w:tcW w:w="127" w:type="dxa"/>
            <w:tcBorders/>
            <w:vAlign w:val="bottom"/>
          </w:tcPr>
          <w:p>
            <w:pPr>
              <w:pStyle w:val="TableContents"/>
              <w:bidi w:val="0"/>
              <w:spacing w:before="0" w:after="283"/>
              <w:jc w:val="left"/>
              <w:rPr/>
            </w:pPr>
            <w:r>
              <w:rPr/>
              <w:t>  </w:t>
            </w:r>
          </w:p>
        </w:tc>
        <w:tc>
          <w:tcPr>
            <w:tcW w:w="286"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294" w:type="dxa"/>
            <w:tcBorders/>
          </w:tcPr>
          <w:p>
            <w:pPr>
              <w:pStyle w:val="TableContents"/>
              <w:bidi w:val="0"/>
              <w:spacing w:before="0" w:after="283"/>
              <w:jc w:val="left"/>
              <w:rPr/>
            </w:pPr>
            <w:r>
              <w:rPr/>
              <w:t>Zip Code (RSSD 9220)</w:t>
            </w:r>
          </w:p>
        </w:tc>
      </w:tr>
      <w:tr>
        <w:trPr>
          <w:trHeight w:val="120" w:hRule="atLeast"/>
        </w:trPr>
        <w:tc>
          <w:tcPr>
            <w:tcW w:w="2525" w:type="dxa"/>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611" w:type="dxa"/>
            <w:gridSpan w:val="2"/>
            <w:tcBorders/>
            <w:vAlign w:val="center"/>
          </w:tcPr>
          <w:p>
            <w:pPr>
              <w:pStyle w:val="TableContents"/>
              <w:bidi w:val="0"/>
              <w:spacing w:before="0" w:after="283"/>
              <w:jc w:val="left"/>
              <w:rPr>
                <w:sz w:val="4"/>
                <w:szCs w:val="4"/>
              </w:rPr>
            </w:pPr>
            <w:r>
              <w:rPr>
                <w:sz w:val="4"/>
                <w:szCs w:val="4"/>
              </w:rPr>
            </w:r>
          </w:p>
        </w:tc>
        <w:tc>
          <w:tcPr>
            <w:tcW w:w="6046" w:type="dxa"/>
            <w:gridSpan w:val="6"/>
            <w:tcBorders/>
            <w:vAlign w:val="center"/>
          </w:tcPr>
          <w:p>
            <w:pPr>
              <w:pStyle w:val="TableContents"/>
              <w:bidi w:val="0"/>
              <w:spacing w:before="0" w:after="283"/>
              <w:jc w:val="left"/>
              <w:rPr>
                <w:sz w:val="4"/>
                <w:szCs w:val="4"/>
              </w:rPr>
            </w:pPr>
            <w:r>
              <w:rPr>
                <w:sz w:val="4"/>
                <w:szCs w:val="4"/>
              </w:rPr>
            </w:r>
          </w:p>
        </w:tc>
      </w:tr>
      <w:tr>
        <w:trPr/>
        <w:tc>
          <w:tcPr>
            <w:tcW w:w="2525"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Legal Entity Identifier (LEI)</w:t>
            </w:r>
          </w:p>
          <w:p>
            <w:pPr>
              <w:pStyle w:val="TableContents"/>
              <w:bidi w:val="0"/>
              <w:spacing w:before="0" w:after="20"/>
              <w:jc w:val="left"/>
              <w:rPr/>
            </w:pPr>
            <w:r>
              <w:rPr/>
              <w:t> </w:t>
            </w:r>
          </w:p>
        </w:tc>
      </w:tr>
      <w:tr>
        <w:trPr/>
        <w:tc>
          <w:tcPr>
            <w:tcW w:w="2525"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sz w:val="4"/>
                <w:szCs w:val="4"/>
              </w:rPr>
            </w:pPr>
            <w:r>
              <w:rPr>
                <w:sz w:val="4"/>
                <w:szCs w:val="4"/>
              </w:rPr>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1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b/>
                <w:sz w:val="20"/>
              </w:rPr>
            </w:pPr>
            <w:r>
              <w:rPr>
                <w:rFonts w:ascii="Times New Roman" w:hAnsi="Times New Roman"/>
                <w:b/>
                <w:sz w:val="20"/>
              </w:rPr>
              <w:t>8EWQ2UQKS07AKK8ANH81</w:t>
            </w:r>
          </w:p>
          <w:p>
            <w:pPr>
              <w:pStyle w:val="TableContents"/>
              <w:bidi w:val="0"/>
              <w:spacing w:before="0" w:after="20"/>
              <w:jc w:val="left"/>
              <w:rPr/>
            </w:pPr>
            <w:r>
              <w:rPr/>
              <w:t> </w:t>
            </w:r>
          </w:p>
        </w:tc>
      </w:tr>
      <w:tr>
        <w:trPr/>
        <w:tc>
          <w:tcPr>
            <w:tcW w:w="2525"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919" w:type="dxa"/>
            <w:gridSpan w:val="5"/>
            <w:tcBorders/>
          </w:tcPr>
          <w:p>
            <w:pPr>
              <w:pStyle w:val="TableContents"/>
              <w:bidi w:val="0"/>
              <w:spacing w:before="0" w:after="283"/>
              <w:jc w:val="left"/>
              <w:rPr/>
            </w:pPr>
            <w:r>
              <w:rPr/>
              <w:t>(Report only if your institution already has an LEI.) (RCON 9224)</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The estimated average burden associated with this information collection is 55.56 hours per respondent and is expected to vary by institution, depending on individual circumstances. Burden estimates include the time for reviewing instructions, gathering and maintaining data in the required form, and completing the information collection, but exclude the time for compiling and maintaining business records in the normal course of a respondent’s activities. A Federal agency may not conduct or sponsor, and an organization (or a person) is not required to respond to a collection of information, unless it displays a currently valid OMB control number. Comments concerning the accuracy of this burden estimate and suggestions for reducing this burden should be directed to the Office of Information and Regulatory Affairs, Office of Management and Budget, Washington, DC 20503, and to one of the following: Secretary, Board of Governors of the Federal Reserve System, 20th and C Streets, NW, Washington, DC 20551; Legislative and Regulatory Analysis Division, Office of the Comptroller of the Currency, Washington, DC 20219; Assistant Executive Secretary, Federal Deposit Insurance Corporation, Washington, DC 20429.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06"/>
        <w:gridCol w:w="126"/>
        <w:gridCol w:w="2807"/>
        <w:gridCol w:w="126"/>
        <w:gridCol w:w="2807"/>
        <w:gridCol w:w="126"/>
        <w:gridCol w:w="1207"/>
      </w:tblGrid>
      <w:tr>
        <w:trPr/>
        <w:tc>
          <w:tcPr>
            <w:tcW w:w="300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00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207" w:type="dxa"/>
            <w:tcBorders/>
          </w:tcPr>
          <w:p>
            <w:pPr>
              <w:pStyle w:val="TableContents"/>
              <w:bidi w:val="0"/>
              <w:spacing w:before="0" w:after="0"/>
              <w:jc w:val="left"/>
              <w:rPr>
                <w:rFonts w:ascii="Times New Roman" w:hAnsi="Times New Roman"/>
                <w:sz w:val="16"/>
              </w:rPr>
            </w:pPr>
            <w:r>
              <w:rPr>
                <w:rFonts w:ascii="Times New Roman" w:hAnsi="Times New Roman"/>
                <w:sz w:val="16"/>
              </w:rPr>
              <w:t>FFIEC 041</w:t>
            </w:r>
          </w:p>
          <w:p>
            <w:pPr>
              <w:pStyle w:val="TableContents"/>
              <w:bidi w:val="0"/>
              <w:spacing w:before="0" w:after="0"/>
              <w:jc w:val="left"/>
              <w:rPr>
                <w:rFonts w:ascii="Times New Roman" w:hAnsi="Times New Roman"/>
                <w:sz w:val="16"/>
              </w:rPr>
            </w:pPr>
            <w:r>
              <w:rPr>
                <w:rFonts w:ascii="Times New Roman" w:hAnsi="Times New Roman"/>
                <w:sz w:val="16"/>
              </w:rPr>
              <w:t>Page 16 of 86</w:t>
            </w:r>
          </w:p>
          <w:p>
            <w:pPr>
              <w:pStyle w:val="TableContents"/>
              <w:bidi w:val="0"/>
              <w:spacing w:before="0" w:after="20"/>
              <w:jc w:val="left"/>
              <w:rPr>
                <w:rFonts w:ascii="Times New Roman" w:hAnsi="Times New Roman"/>
                <w:sz w:val="16"/>
              </w:rPr>
            </w:pPr>
            <w:r>
              <w:rPr>
                <w:rFonts w:ascii="Times New Roman" w:hAnsi="Times New Roman"/>
                <w:sz w:val="16"/>
              </w:rPr>
              <w:t>RC-1</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Consolidated Report of Condition for Insured Banks </w:t>
      </w:r>
    </w:p>
    <w:p>
      <w:pPr>
        <w:pStyle w:val="TextBody"/>
        <w:bidi w:val="0"/>
        <w:spacing w:before="0" w:after="0"/>
        <w:jc w:val="left"/>
        <w:rPr>
          <w:rFonts w:ascii="Times New Roman" w:hAnsi="Times New Roman"/>
          <w:b/>
          <w:sz w:val="20"/>
        </w:rPr>
      </w:pPr>
      <w:r>
        <w:rPr>
          <w:rFonts w:ascii="Times New Roman" w:hAnsi="Times New Roman"/>
          <w:b/>
          <w:sz w:val="20"/>
        </w:rPr>
        <w:t xml:space="preserve">and Savings Associations for March 31, 2026 </w:t>
      </w:r>
    </w:p>
    <w:p>
      <w:pPr>
        <w:pStyle w:val="TextBody"/>
        <w:bidi w:val="0"/>
        <w:spacing w:before="240" w:after="0"/>
        <w:jc w:val="left"/>
        <w:rPr>
          <w:rFonts w:ascii="Times New Roman" w:hAnsi="Times New Roman"/>
          <w:sz w:val="20"/>
        </w:rPr>
      </w:pPr>
      <w:r>
        <w:rPr>
          <w:rFonts w:ascii="Times New Roman" w:hAnsi="Times New Roman"/>
          <w:sz w:val="20"/>
        </w:rPr>
        <w:t xml:space="preserve">All schedules are to be reported in thousands of dollars. Unless otherwise indicated, report the amount outstanding as of the last business day of the quarter. </w:t>
      </w:r>
    </w:p>
    <w:p>
      <w:pPr>
        <w:pStyle w:val="TextBody"/>
        <w:bidi w:val="0"/>
        <w:spacing w:before="240" w:after="0"/>
        <w:jc w:val="left"/>
        <w:rPr>
          <w:rFonts w:ascii="Times New Roman" w:hAnsi="Times New Roman"/>
          <w:b/>
          <w:sz w:val="20"/>
        </w:rPr>
      </w:pPr>
      <w:r>
        <w:rPr>
          <w:rFonts w:ascii="Times New Roman" w:hAnsi="Times New Roman"/>
          <w:b/>
          <w:sz w:val="20"/>
        </w:rPr>
        <w:t xml:space="preserve">Schedule RC—Balance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3"/>
        <w:gridCol w:w="142"/>
        <w:gridCol w:w="60"/>
        <w:gridCol w:w="568"/>
        <w:gridCol w:w="60"/>
        <w:gridCol w:w="142"/>
        <w:gridCol w:w="60"/>
        <w:gridCol w:w="1144"/>
        <w:gridCol w:w="60"/>
        <w:gridCol w:w="142"/>
        <w:gridCol w:w="69"/>
        <w:gridCol w:w="640"/>
        <w:gridCol w:w="60"/>
        <w:gridCol w:w="142"/>
        <w:gridCol w:w="60"/>
        <w:gridCol w:w="1144"/>
        <w:gridCol w:w="60"/>
        <w:gridCol w:w="142"/>
        <w:gridCol w:w="787"/>
      </w:tblGrid>
      <w:tr>
        <w:trPr/>
        <w:tc>
          <w:tcPr>
            <w:tcW w:w="472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6899" w:type="dxa"/>
            <w:gridSpan w:val="8"/>
            <w:tcBorders>
              <w:bottom w:val="single" w:sz="8" w:space="0" w:color="000000"/>
            </w:tcBorders>
            <w:tcMar>
              <w:bottom w:w="28" w:type="dxa"/>
            </w:tcMar>
            <w:vAlign w:val="bottom"/>
          </w:tcPr>
          <w:p>
            <w:pPr>
              <w:pStyle w:val="TableContents"/>
              <w:bidi w:val="0"/>
              <w:spacing w:before="0" w:after="20"/>
              <w:jc w:val="right"/>
              <w:rPr>
                <w:rFonts w:ascii="Times New Roman" w:hAnsi="Times New Roman"/>
                <w:sz w:val="16"/>
              </w:rPr>
            </w:pPr>
            <w:r>
              <w:rPr>
                <w:rFonts w:ascii="Times New Roman" w:hAnsi="Times New Roman"/>
                <w:sz w:val="16"/>
              </w:rPr>
              <w:t>Dollar Amounts in Thousands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pPr>
            <w:r>
              <w:rPr/>
              <w:t>RCON</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pPr>
            <w:r>
              <w:rPr/>
              <w:t>Amount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 </w:t>
            </w:r>
          </w:p>
        </w:tc>
      </w:tr>
      <w:tr>
        <w:trPr/>
        <w:tc>
          <w:tcPr>
            <w:tcW w:w="47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 Cash and balances due from depository institutions (from Schedule RC-A):</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Noninterest-bearing balances and currency and coin (1)</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0081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38,000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1.a.</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b. Interest-bearing balances (2)</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0071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15,087,000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1.b.</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 Securities: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a. Held-to-maturity securities (from Schedule RC-B, column A) (3)</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JJ34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2.a.</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Available-for-sale debt securities (from Schedule RC-B, column D)</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1773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403,000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2.b.</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 Equity securities with readily determinable fair values not held for trading (4)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JA22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2.c.</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 Federal funds sold and securities purchased under agreements to resell:</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a. Federal funds sold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B987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3.a.</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Securities purchased under agreements to resell (5, 6)</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B989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6,920,000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3.b.</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4. Loans and lease financing receivables (from Schedule RC-C):</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Loans and leases held for sale</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5369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4.a.</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b. Loans and leases held for investment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B528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15,708,000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4.b.</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 LESS: Allowance for credit losses on loans and leases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3123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35,000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4.c.</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d. Loans and leases held for investment, net of allowance (item 4.b minus 4.c)</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B529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15,673,000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4.d.</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 Trading assets (from Schedule RC-D)</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3545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5.</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6. Premises and fixed assets (including right-of-use assets)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2145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6.</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 Other real estate owned (from Schedule RC-M)</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2150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7.</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8. Investments in unconsolidated subsidiaries and associated companies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2130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8.</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Direct and indirect investments in real estate ventures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3656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9.</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10. Intangible assets (from Schedule RC-M)</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2143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1,000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10.</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Other assets (from Schedule RC-F) (6)</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2160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1,622,000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11.</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12. Total assets (sum of items 1 through 11)</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2170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39,745,000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12.</w:t>
            </w:r>
          </w:p>
        </w:tc>
      </w:tr>
      <w:tr>
        <w:trPr>
          <w:trHeight w:val="120" w:hRule="atLeast"/>
        </w:trPr>
        <w:tc>
          <w:tcPr>
            <w:tcW w:w="4723" w:type="dxa"/>
            <w:tcBorders/>
            <w:vAlign w:val="center"/>
          </w:tcPr>
          <w:p>
            <w:pPr>
              <w:pStyle w:val="TableContents"/>
              <w:bidi w:val="0"/>
              <w:spacing w:before="0" w:after="283"/>
              <w:jc w:val="left"/>
              <w:rPr>
                <w:sz w:val="4"/>
                <w:szCs w:val="4"/>
              </w:rPr>
            </w:pPr>
            <w:r>
              <w:rPr>
                <w:sz w:val="4"/>
                <w:szCs w:val="4"/>
              </w:rPr>
            </w:r>
          </w:p>
        </w:tc>
        <w:tc>
          <w:tcPr>
            <w:tcW w:w="830" w:type="dxa"/>
            <w:gridSpan w:val="4"/>
            <w:tcBorders/>
            <w:vAlign w:val="center"/>
          </w:tcPr>
          <w:p>
            <w:pPr>
              <w:pStyle w:val="TableContents"/>
              <w:bidi w:val="0"/>
              <w:spacing w:before="0" w:after="283"/>
              <w:jc w:val="left"/>
              <w:rPr>
                <w:sz w:val="4"/>
                <w:szCs w:val="4"/>
              </w:rPr>
            </w:pPr>
            <w:r>
              <w:rPr>
                <w:sz w:val="4"/>
                <w:szCs w:val="4"/>
              </w:rPr>
            </w:r>
          </w:p>
        </w:tc>
        <w:tc>
          <w:tcPr>
            <w:tcW w:w="1406" w:type="dxa"/>
            <w:gridSpan w:val="4"/>
            <w:tcBorders/>
            <w:vAlign w:val="center"/>
          </w:tcPr>
          <w:p>
            <w:pPr>
              <w:pStyle w:val="TableContents"/>
              <w:bidi w:val="0"/>
              <w:spacing w:before="0" w:after="283"/>
              <w:jc w:val="left"/>
              <w:rPr>
                <w:sz w:val="4"/>
                <w:szCs w:val="4"/>
              </w:rPr>
            </w:pPr>
            <w:r>
              <w:rPr>
                <w:sz w:val="4"/>
                <w:szCs w:val="4"/>
              </w:rPr>
            </w:r>
          </w:p>
        </w:tc>
        <w:tc>
          <w:tcPr>
            <w:tcW w:w="911" w:type="dxa"/>
            <w:gridSpan w:val="4"/>
            <w:tcBorders/>
            <w:vAlign w:val="center"/>
          </w:tcPr>
          <w:p>
            <w:pPr>
              <w:pStyle w:val="TableContents"/>
              <w:bidi w:val="0"/>
              <w:spacing w:before="0" w:after="283"/>
              <w:jc w:val="left"/>
              <w:rPr>
                <w:sz w:val="4"/>
                <w:szCs w:val="4"/>
              </w:rPr>
            </w:pPr>
            <w:r>
              <w:rPr>
                <w:sz w:val="4"/>
                <w:szCs w:val="4"/>
              </w:rPr>
            </w:r>
          </w:p>
        </w:tc>
        <w:tc>
          <w:tcPr>
            <w:tcW w:w="1406" w:type="dxa"/>
            <w:gridSpan w:val="4"/>
            <w:tcBorders/>
            <w:vAlign w:val="center"/>
          </w:tcPr>
          <w:p>
            <w:pPr>
              <w:pStyle w:val="TableContents"/>
              <w:bidi w:val="0"/>
              <w:spacing w:before="0" w:after="283"/>
              <w:jc w:val="left"/>
              <w:rPr>
                <w:sz w:val="4"/>
                <w:szCs w:val="4"/>
              </w:rPr>
            </w:pPr>
            <w:r>
              <w:rPr>
                <w:sz w:val="4"/>
                <w:szCs w:val="4"/>
              </w:rPr>
            </w:r>
          </w:p>
        </w:tc>
        <w:tc>
          <w:tcPr>
            <w:tcW w:w="929" w:type="dxa"/>
            <w:gridSpan w:val="2"/>
            <w:tcBorders/>
            <w:vAlign w:val="center"/>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13. Deposits: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In domestic offices (sum of totals of columns A and C from Schedule RC-E)</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2200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27,713,000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13.a.</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Noninterest-bearing (7)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6631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7,594,000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13.a.(1)</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 Interest-bearing</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6636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20,119,000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13.a.(2)</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b. Not applicable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Federal funds purchased and securities sold under agreements to repurchase:</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sz w:val="4"/>
                <w:szCs w:val="4"/>
              </w:rPr>
            </w:pPr>
            <w:r>
              <w:rPr>
                <w:sz w:val="4"/>
                <w:szCs w:val="4"/>
              </w:rPr>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a. Federal funds purchased (8)</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B993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14.a.</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b. Securities sold under agreements to repurchase (9)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B995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14.b.</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15. Trading liabilities (from Schedule RC-D)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3548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b/>
              </w:rPr>
            </w:pPr>
            <w:r>
              <w:rPr>
                <w:b/>
              </w:rPr>
              <w:t>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pPr>
            <w:r>
              <w:rPr/>
              <w:t>15.</w:t>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 Other borrowed money (includes mortgage indebtedness) (from Schedule RC-M)</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3190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b/>
              </w:rPr>
            </w:pPr>
            <w:r>
              <w:rPr>
                <w:b/>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16.</w:t>
            </w:r>
          </w:p>
        </w:tc>
      </w:tr>
      <w:tr>
        <w:trPr/>
        <w:tc>
          <w:tcPr>
            <w:tcW w:w="4723" w:type="dxa"/>
            <w:tcBorders/>
          </w:tcPr>
          <w:p>
            <w:pPr>
              <w:pStyle w:val="TableContents"/>
              <w:bidi w:val="0"/>
              <w:spacing w:before="0" w:after="0"/>
              <w:jc w:val="left"/>
              <w:rPr>
                <w:rFonts w:ascii="Times New Roman" w:hAnsi="Times New Roman"/>
                <w:sz w:val="20"/>
              </w:rPr>
            </w:pPr>
            <w:r>
              <w:rPr>
                <w:rFonts w:ascii="Times New Roman" w:hAnsi="Times New Roman"/>
                <w:sz w:val="20"/>
              </w:rPr>
              <w:t>17. and 18. Not applicable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left"/>
              <w:rPr>
                <w:sz w:val="4"/>
                <w:szCs w:val="4"/>
              </w:rPr>
            </w:pPr>
            <w:r>
              <w:rPr>
                <w:sz w:val="4"/>
                <w:szCs w:val="4"/>
              </w:rPr>
            </w:r>
          </w:p>
        </w:tc>
      </w:tr>
      <w:tr>
        <w:trPr/>
        <w:tc>
          <w:tcPr>
            <w:tcW w:w="4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19. Subordinated notes and debentures (10)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3200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left"/>
              <w:rPr/>
            </w:pPr>
            <w:r>
              <w:rPr/>
              <w:t>19.</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cash items in process of collection and unposted debits.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time certificates of deposit not held for trading.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Institutions should report in item 2.a amounts net of any applicable allowance for credit losses, and item 2.a should equal Schedule RC-B, item 8, column A, less Schedule RI-B, Part II, item 7, column B.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Item 2.c is to be completed by all institutions. See the instructions for this item and the Glossary entry for “Securities Activities” for further detail on accounting for investments in equity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all securities resale agreements, regardless of maturity.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Institutions should report in items 3.b and 11 amounts net of any applicable allowance for credit losses.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noninterest-bearing demand, time, and savings deposits.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overnight Federal Home Loan Bank advances in Schedule RC, item 16, “Other borrowed money.”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all securities repurchase agreements, regardless of maturity.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limited-life preferred stock and related surplus.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006"/>
        <w:gridCol w:w="126"/>
        <w:gridCol w:w="2807"/>
        <w:gridCol w:w="126"/>
        <w:gridCol w:w="2807"/>
        <w:gridCol w:w="126"/>
        <w:gridCol w:w="1207"/>
      </w:tblGrid>
      <w:tr>
        <w:trPr/>
        <w:tc>
          <w:tcPr>
            <w:tcW w:w="300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00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0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207" w:type="dxa"/>
            <w:tcBorders/>
          </w:tcPr>
          <w:p>
            <w:pPr>
              <w:pStyle w:val="TableContents"/>
              <w:bidi w:val="0"/>
              <w:spacing w:before="0" w:after="0"/>
              <w:jc w:val="left"/>
              <w:rPr>
                <w:rFonts w:ascii="Times New Roman" w:hAnsi="Times New Roman"/>
                <w:sz w:val="16"/>
              </w:rPr>
            </w:pPr>
            <w:r>
              <w:rPr>
                <w:rFonts w:ascii="Times New Roman" w:hAnsi="Times New Roman"/>
                <w:sz w:val="16"/>
              </w:rPr>
              <w:t>FFIEC 041</w:t>
            </w:r>
          </w:p>
          <w:p>
            <w:pPr>
              <w:pStyle w:val="TableContents"/>
              <w:bidi w:val="0"/>
              <w:spacing w:before="0" w:after="0"/>
              <w:jc w:val="left"/>
              <w:rPr>
                <w:rFonts w:ascii="Times New Roman" w:hAnsi="Times New Roman"/>
                <w:sz w:val="16"/>
              </w:rPr>
            </w:pPr>
            <w:r>
              <w:rPr>
                <w:rFonts w:ascii="Times New Roman" w:hAnsi="Times New Roman"/>
                <w:sz w:val="16"/>
              </w:rPr>
              <w:t>Page 17 of 86</w:t>
            </w:r>
          </w:p>
          <w:p>
            <w:pPr>
              <w:pStyle w:val="TableContents"/>
              <w:bidi w:val="0"/>
              <w:spacing w:before="0" w:after="20"/>
              <w:jc w:val="left"/>
              <w:rPr>
                <w:rFonts w:ascii="Times New Roman" w:hAnsi="Times New Roman"/>
                <w:sz w:val="16"/>
              </w:rPr>
            </w:pPr>
            <w:r>
              <w:rPr>
                <w:rFonts w:ascii="Times New Roman" w:hAnsi="Times New Roman"/>
                <w:sz w:val="16"/>
              </w:rPr>
              <w:t>RC-2</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Schedule RC—Continued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76"/>
        <w:gridCol w:w="152"/>
        <w:gridCol w:w="30"/>
        <w:gridCol w:w="30"/>
        <w:gridCol w:w="60"/>
        <w:gridCol w:w="152"/>
        <w:gridCol w:w="30"/>
        <w:gridCol w:w="30"/>
        <w:gridCol w:w="60"/>
        <w:gridCol w:w="152"/>
        <w:gridCol w:w="68"/>
        <w:gridCol w:w="653"/>
        <w:gridCol w:w="60"/>
        <w:gridCol w:w="152"/>
        <w:gridCol w:w="60"/>
        <w:gridCol w:w="1109"/>
        <w:gridCol w:w="155"/>
        <w:gridCol w:w="110"/>
        <w:gridCol w:w="60"/>
        <w:gridCol w:w="339"/>
        <w:gridCol w:w="67"/>
      </w:tblGrid>
      <w:tr>
        <w:trPr/>
        <w:tc>
          <w:tcPr>
            <w:tcW w:w="667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7160" w:type="dxa"/>
            <w:gridSpan w:val="8"/>
            <w:tcBorders>
              <w:bottom w:val="single" w:sz="8" w:space="0" w:color="000000"/>
            </w:tcBorders>
            <w:tcMar>
              <w:bottom w:w="28" w:type="dxa"/>
            </w:tcMar>
            <w:vAlign w:val="bottom"/>
          </w:tcPr>
          <w:p>
            <w:pPr>
              <w:pStyle w:val="TableContents"/>
              <w:bidi w:val="0"/>
              <w:spacing w:before="0" w:after="20"/>
              <w:jc w:val="right"/>
              <w:rPr>
                <w:rFonts w:ascii="Times New Roman" w:hAnsi="Times New Roman"/>
                <w:sz w:val="16"/>
              </w:rPr>
            </w:pPr>
            <w:r>
              <w:rPr>
                <w:rFonts w:ascii="Times New Roman" w:hAnsi="Times New Roman"/>
                <w:sz w:val="16"/>
              </w:rPr>
              <w:t>Dollar Amounts in Thousands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pPr>
            <w:r>
              <w:rPr/>
              <w:t>RCON</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pPr>
            <w:r>
              <w:rPr/>
              <w:t>Amount</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9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Liabilities—continued</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20. Other liabilities (from Schedule RC-G)</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2930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b/>
              </w:rPr>
            </w:pPr>
            <w:r>
              <w:rPr>
                <w:b/>
              </w:rPr>
              <w:t>2,170,000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20.</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 Total liabilities (sum of items 13 through 20)</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2948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b/>
              </w:rPr>
            </w:pPr>
            <w:r>
              <w:rPr>
                <w:b/>
              </w:rPr>
              <w:t>29,883,000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21.</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22. Not applicable</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676" w:type="dxa"/>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576" w:type="dxa"/>
            <w:gridSpan w:val="4"/>
            <w:tcBorders/>
            <w:vAlign w:val="center"/>
          </w:tcPr>
          <w:p>
            <w:pPr>
              <w:pStyle w:val="TableContents"/>
              <w:bidi w:val="0"/>
              <w:spacing w:before="0" w:after="283"/>
              <w:jc w:val="left"/>
              <w:rPr>
                <w:sz w:val="4"/>
                <w:szCs w:val="4"/>
              </w:rPr>
            </w:pPr>
            <w:r>
              <w:rPr>
                <w:sz w:val="4"/>
                <w:szCs w:val="4"/>
              </w:rPr>
            </w:r>
          </w:p>
        </w:tc>
      </w:tr>
      <w:tr>
        <w:trPr/>
        <w:tc>
          <w:tcPr>
            <w:tcW w:w="66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Capital</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6676" w:type="dxa"/>
            <w:tcBorders/>
          </w:tcPr>
          <w:p>
            <w:pPr>
              <w:pStyle w:val="TableContents"/>
              <w:bidi w:val="0"/>
              <w:spacing w:before="0" w:after="0"/>
              <w:jc w:val="left"/>
              <w:rPr>
                <w:rFonts w:ascii="Times New Roman" w:hAnsi="Times New Roman"/>
                <w:b/>
                <w:sz w:val="20"/>
              </w:rPr>
            </w:pPr>
            <w:r>
              <w:rPr>
                <w:rFonts w:ascii="Times New Roman" w:hAnsi="Times New Roman"/>
                <w:b/>
                <w:sz w:val="20"/>
              </w:rPr>
              <w:t>Bank Equity Capital</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 Perpetual preferred stock and related surplus</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3838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23.</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24. Common stock</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3230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2,127,000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24.</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25. Surplus (exclude all surplus related to preferred stock)</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3839</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932,000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25.</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26. a. Retained earnings</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3632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6,853,000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26.a.</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Accumulated other comprehensive income (1)</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B530</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(50,000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26.b.</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c. Other equity capital components (2)</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A130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26.c.</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27. a. Total bank equity capital (sum of items 23 through 26.c)</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3210</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b/>
              </w:rPr>
            </w:pPr>
            <w:r>
              <w:rPr>
                <w:b/>
              </w:rPr>
              <w:t>9,862,000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27.a.</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b. Noncontrolling (minority) interests in consolidated subsidiaries</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27.b.</w:t>
            </w:r>
          </w:p>
        </w:tc>
        <w:tc>
          <w:tcPr>
            <w:tcW w:w="67" w:type="dxa"/>
            <w:tcBorders/>
            <w:vAlign w:val="bottom"/>
          </w:tcPr>
          <w:p>
            <w:pPr>
              <w:pStyle w:val="TableContents"/>
              <w:bidi w:val="0"/>
              <w:spacing w:before="0" w:after="283"/>
              <w:jc w:val="left"/>
              <w:rPr/>
            </w:pPr>
            <w:r>
              <w:rPr/>
              <w:t> </w:t>
            </w:r>
          </w:p>
        </w:tc>
      </w:tr>
      <w:tr>
        <w:trPr/>
        <w:tc>
          <w:tcPr>
            <w:tcW w:w="6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28. Total equity capital (sum of items 27.a and 27.b)</w:t>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G105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b/>
              </w:rPr>
            </w:pPr>
            <w:r>
              <w:rPr>
                <w:b/>
              </w:rPr>
              <w:t>9,862,000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28.</w:t>
            </w:r>
          </w:p>
        </w:tc>
        <w:tc>
          <w:tcPr>
            <w:tcW w:w="67" w:type="dxa"/>
            <w:tcBorders/>
            <w:shd w:fill="CCEEFF" w:val="clear"/>
            <w:vAlign w:val="bottom"/>
          </w:tcPr>
          <w:p>
            <w:pPr>
              <w:pStyle w:val="TableContents"/>
              <w:bidi w:val="0"/>
              <w:spacing w:before="0" w:after="283"/>
              <w:jc w:val="left"/>
              <w:rPr/>
            </w:pPr>
            <w:r>
              <w:rPr/>
              <w:t> </w:t>
            </w:r>
          </w:p>
        </w:tc>
      </w:tr>
      <w:tr>
        <w:trPr/>
        <w:tc>
          <w:tcPr>
            <w:tcW w:w="6676" w:type="dxa"/>
            <w:tcBorders/>
          </w:tcPr>
          <w:p>
            <w:pPr>
              <w:pStyle w:val="TableContents"/>
              <w:bidi w:val="0"/>
              <w:spacing w:before="0" w:after="0"/>
              <w:jc w:val="left"/>
              <w:rPr>
                <w:rFonts w:ascii="Times New Roman" w:hAnsi="Times New Roman"/>
                <w:sz w:val="20"/>
              </w:rPr>
            </w:pPr>
            <w:r>
              <w:rPr>
                <w:rFonts w:ascii="Times New Roman" w:hAnsi="Times New Roman"/>
                <w:sz w:val="20"/>
              </w:rPr>
              <w:t>29. Total liabilities and equity capital (sum of items 21 and 28)</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3300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b/>
              </w:rPr>
            </w:pPr>
            <w:r>
              <w:rPr>
                <w:b/>
              </w:rPr>
              <w:t>39,745,000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29.</w:t>
            </w:r>
          </w:p>
        </w:tc>
        <w:tc>
          <w:tcPr>
            <w:tcW w:w="67" w:type="dxa"/>
            <w:tcBorders/>
            <w:vAlign w:val="bottom"/>
          </w:tcPr>
          <w:p>
            <w:pPr>
              <w:pStyle w:val="TableContents"/>
              <w:bidi w:val="0"/>
              <w:spacing w:before="0" w:after="283"/>
              <w:jc w:val="left"/>
              <w:rPr/>
            </w:pPr>
            <w:r>
              <w:rPr/>
              <w:t> </w:t>
            </w:r>
          </w:p>
        </w:tc>
      </w:tr>
      <w:tr>
        <w:trPr>
          <w:trHeight w:val="120" w:hRule="atLeast"/>
        </w:trPr>
        <w:tc>
          <w:tcPr>
            <w:tcW w:w="6676" w:type="dxa"/>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576" w:type="dxa"/>
            <w:gridSpan w:val="4"/>
            <w:tcBorders/>
            <w:vAlign w:val="center"/>
          </w:tcPr>
          <w:p>
            <w:pPr>
              <w:pStyle w:val="TableContents"/>
              <w:bidi w:val="0"/>
              <w:spacing w:before="0" w:after="283"/>
              <w:jc w:val="left"/>
              <w:rPr>
                <w:sz w:val="4"/>
                <w:szCs w:val="4"/>
              </w:rPr>
            </w:pPr>
            <w:r>
              <w:rPr>
                <w:sz w:val="4"/>
                <w:szCs w:val="4"/>
              </w:rPr>
            </w:r>
          </w:p>
        </w:tc>
      </w:tr>
      <w:tr>
        <w:trPr/>
        <w:tc>
          <w:tcPr>
            <w:tcW w:w="6676" w:type="dxa"/>
            <w:tcBorders/>
          </w:tcPr>
          <w:p>
            <w:pPr>
              <w:pStyle w:val="TableContents"/>
              <w:bidi w:val="0"/>
              <w:spacing w:before="0" w:after="0"/>
              <w:jc w:val="left"/>
              <w:rPr>
                <w:rFonts w:ascii="Times New Roman" w:hAnsi="Times New Roman"/>
                <w:b/>
                <w:sz w:val="20"/>
              </w:rPr>
            </w:pPr>
            <w:r>
              <w:rPr>
                <w:rFonts w:ascii="Times New Roman" w:hAnsi="Times New Roman"/>
                <w:b/>
                <w:sz w:val="20"/>
              </w:rPr>
              <w:t>Memoranda</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676" w:type="dxa"/>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576" w:type="dxa"/>
            <w:gridSpan w:val="4"/>
            <w:tcBorders/>
            <w:vAlign w:val="center"/>
          </w:tcPr>
          <w:p>
            <w:pPr>
              <w:pStyle w:val="TableContents"/>
              <w:bidi w:val="0"/>
              <w:spacing w:before="0" w:after="283"/>
              <w:jc w:val="left"/>
              <w:rPr>
                <w:sz w:val="4"/>
                <w:szCs w:val="4"/>
              </w:rPr>
            </w:pPr>
            <w:r>
              <w:rPr>
                <w:sz w:val="4"/>
                <w:szCs w:val="4"/>
              </w:rPr>
            </w:r>
          </w:p>
        </w:tc>
      </w:tr>
      <w:tr>
        <w:trPr/>
        <w:tc>
          <w:tcPr>
            <w:tcW w:w="6676" w:type="dxa"/>
            <w:tcBorders/>
          </w:tcPr>
          <w:p>
            <w:pPr>
              <w:pStyle w:val="TableContents"/>
              <w:bidi w:val="0"/>
              <w:spacing w:before="0" w:after="0"/>
              <w:jc w:val="left"/>
              <w:rPr>
                <w:rFonts w:ascii="Times New Roman" w:hAnsi="Times New Roman"/>
                <w:b/>
                <w:sz w:val="20"/>
              </w:rPr>
            </w:pPr>
            <w:r>
              <w:rPr>
                <w:rFonts w:ascii="Times New Roman" w:hAnsi="Times New Roman"/>
                <w:b/>
                <w:sz w:val="20"/>
              </w:rPr>
              <w:t>To be reported with the March Report of Condition.</w:t>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676" w:type="dxa"/>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272" w:type="dxa"/>
            <w:gridSpan w:val="4"/>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c>
          <w:tcPr>
            <w:tcW w:w="1476" w:type="dxa"/>
            <w:gridSpan w:val="4"/>
            <w:tcBorders/>
            <w:vAlign w:val="center"/>
          </w:tcPr>
          <w:p>
            <w:pPr>
              <w:pStyle w:val="TableContents"/>
              <w:bidi w:val="0"/>
              <w:spacing w:before="0" w:after="283"/>
              <w:jc w:val="left"/>
              <w:rPr>
                <w:sz w:val="4"/>
                <w:szCs w:val="4"/>
              </w:rPr>
            </w:pPr>
            <w:r>
              <w:rPr>
                <w:sz w:val="4"/>
                <w:szCs w:val="4"/>
              </w:rPr>
            </w:r>
          </w:p>
        </w:tc>
        <w:tc>
          <w:tcPr>
            <w:tcW w:w="576" w:type="dxa"/>
            <w:gridSpan w:val="4"/>
            <w:tcBorders/>
            <w:vAlign w:val="center"/>
          </w:tcPr>
          <w:p>
            <w:pPr>
              <w:pStyle w:val="TableContents"/>
              <w:bidi w:val="0"/>
              <w:spacing w:before="0" w:after="283"/>
              <w:jc w:val="left"/>
              <w:rPr>
                <w:sz w:val="4"/>
                <w:szCs w:val="4"/>
              </w:rPr>
            </w:pPr>
            <w:r>
              <w:rPr>
                <w:sz w:val="4"/>
                <w:szCs w:val="4"/>
              </w:rPr>
            </w:r>
          </w:p>
        </w:tc>
      </w:tr>
      <w:tr>
        <w:trPr/>
        <w:tc>
          <w:tcPr>
            <w:tcW w:w="6676" w:type="dxa"/>
            <w:vMerge w:val="restart"/>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1.  Indicate in the box at the right the number of the statement below that best describes the most comprehensive level of auditing work performed for the bank by independent external auditors as of any date during </w:t>
            </w:r>
            <w:r>
              <w:rPr>
                <w:rFonts w:ascii="Times New Roman" w:hAnsi="Times New Roman"/>
                <w:i/>
                <w:sz w:val="20"/>
              </w:rPr>
              <w:t>2025</w:t>
            </w:r>
          </w:p>
        </w:tc>
        <w:tc>
          <w:tcPr>
            <w:tcW w:w="152" w:type="dxa"/>
            <w:tcBorders/>
            <w:vAlign w:val="bottom"/>
          </w:tcPr>
          <w:p>
            <w:pPr>
              <w:pStyle w:val="TableContents"/>
              <w:bidi w:val="0"/>
              <w:spacing w:before="0" w:after="283"/>
              <w:jc w:val="left"/>
              <w:rPr/>
            </w:pPr>
            <w:r>
              <w:rPr/>
              <w:t>  </w:t>
            </w:r>
          </w:p>
        </w:tc>
        <w:tc>
          <w:tcPr>
            <w:tcW w:w="30"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tcPr>
          <w:p>
            <w:pPr>
              <w:pStyle w:val="TableContents"/>
              <w:bidi w:val="0"/>
              <w:spacing w:before="0" w:after="283"/>
              <w:jc w:val="left"/>
              <w:rPr>
                <w:sz w:val="4"/>
                <w:szCs w:val="4"/>
              </w:rPr>
            </w:pPr>
            <w:r>
              <w:rPr>
                <w:sz w:val="4"/>
                <w:szCs w:val="4"/>
              </w:rPr>
            </w:r>
          </w:p>
        </w:tc>
        <w:tc>
          <w:tcPr>
            <w:tcW w:w="65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109"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339"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c>
          <w:tcPr>
            <w:tcW w:w="6676" w:type="dxa"/>
            <w:vMerge w:val="continue"/>
            <w:tcBorders/>
            <w:vAlign w:val="bottom"/>
          </w:tcPr>
          <w:p>
            <w:pPr>
              <w:pStyle w:val="Normal"/>
              <w:bidi w:val="0"/>
              <w:jc w:val="left"/>
              <w:rPr/>
            </w:pPr>
            <w:r>
              <w:rPr/>
            </w:r>
          </w:p>
        </w:tc>
        <w:tc>
          <w:tcPr>
            <w:tcW w:w="152"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pPr>
            <w:r>
              <w:rPr/>
              <w:t>RCON</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pPr>
            <w:r>
              <w:rPr/>
              <w:t>Number</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9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6676"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6724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2a</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right"/>
              <w:rPr/>
            </w:pPr>
            <w:r>
              <w:rPr/>
              <w:t>M.1.</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306"/>
        <w:gridCol w:w="4695"/>
      </w:tblGrid>
      <w:tr>
        <w:trPr/>
        <w:tc>
          <w:tcPr>
            <w:tcW w:w="5204"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1a =  An integrated audit of the reporting institution’s financial statements and its internal control over financial reporting conducted in accordance with the standards of the American Institute of Certified Public Accountants (AICPA) or Public Company Accounting Oversight Board (PCAOB) by an independent public accountant that submits a report on the institution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1b =  An audit of the reporting institution’s financial statements only conducted in accordance with the auditing standards of the AICPA or the PCAOB by an independent public accountant that submits a report on the institution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2a =  An integrated audit of the reporting institution’s parent holding company’s consolidated financial statements and its internal control over financial reporting conducted in accordance with the standards of the AICPA or the PCAOB by an independent public accountant that submits a report on the consolidated holding company (but not on the institution separately)</w:t>
            </w:r>
          </w:p>
        </w:tc>
        <w:tc>
          <w:tcPr>
            <w:tcW w:w="306"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0"/>
              <w:jc w:val="left"/>
              <w:rPr>
                <w:rFonts w:ascii="Times New Roman" w:hAnsi="Times New Roman"/>
                <w:sz w:val="20"/>
              </w:rPr>
            </w:pPr>
            <w:r>
              <w:rPr>
                <w:rFonts w:ascii="Times New Roman" w:hAnsi="Times New Roman"/>
                <w:sz w:val="20"/>
              </w:rPr>
              <w:t>2b =  An audit of the reporting institution’s parent holding company’s consolidated financial statements only conducted in accordance with the auditing standards of the AICPA or the PCAOB by an independent public accountant that submits a report on the consolidated holding company (but not on the institution separately)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3 =   This number is not to be used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4 =   Directors’ examination of the bank conducted in accordance with generally accepted auditing standards by a certified public accounting firm (may be required by state-chartering authority)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5 =   Directors’ examination of the bank performed by other external auditors (may be required by state-chartering authority)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6 =   Review of the bank’s financial statements by external auditors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7 =   Compilation of the bank’s financial statements by external auditors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8 =   Other audit procedures (excluding tax preparation work)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9 =   No external audit work</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8"/>
        <w:gridCol w:w="161"/>
        <w:gridCol w:w="30"/>
        <w:gridCol w:w="30"/>
        <w:gridCol w:w="60"/>
        <w:gridCol w:w="161"/>
        <w:gridCol w:w="30"/>
        <w:gridCol w:w="30"/>
        <w:gridCol w:w="60"/>
        <w:gridCol w:w="161"/>
        <w:gridCol w:w="76"/>
        <w:gridCol w:w="671"/>
        <w:gridCol w:w="60"/>
        <w:gridCol w:w="161"/>
        <w:gridCol w:w="60"/>
        <w:gridCol w:w="501"/>
        <w:gridCol w:w="60"/>
        <w:gridCol w:w="161"/>
        <w:gridCol w:w="60"/>
        <w:gridCol w:w="357"/>
        <w:gridCol w:w="67"/>
      </w:tblGrid>
      <w:tr>
        <w:trPr/>
        <w:tc>
          <w:tcPr>
            <w:tcW w:w="724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7248" w:type="dxa"/>
            <w:tcBorders/>
            <w:vAlign w:val="bottom"/>
          </w:tcPr>
          <w:p>
            <w:pPr>
              <w:pStyle w:val="TableContents"/>
              <w:bidi w:val="0"/>
              <w:spacing w:before="0" w:after="283"/>
              <w:jc w:val="left"/>
              <w:rPr>
                <w:b/>
                <w:sz w:val="20"/>
              </w:rPr>
            </w:pPr>
            <w:r>
              <w:rPr>
                <w:b/>
                <w:sz w:val="20"/>
              </w:rPr>
              <w:t>To be reported with the March Report of Condition.</w:t>
            </w:r>
          </w:p>
        </w:tc>
        <w:tc>
          <w:tcPr>
            <w:tcW w:w="161"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pPr>
            <w:r>
              <w:rPr/>
              <w:t>RCON</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pPr>
            <w:r>
              <w:rPr/>
              <w:t>Date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417"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7248" w:type="dxa"/>
            <w:tcBorders/>
          </w:tcPr>
          <w:p>
            <w:pPr>
              <w:pStyle w:val="TableContents"/>
              <w:bidi w:val="0"/>
              <w:spacing w:before="0" w:after="0"/>
              <w:jc w:val="left"/>
              <w:rPr>
                <w:rFonts w:ascii="Times New Roman" w:hAnsi="Times New Roman"/>
                <w:sz w:val="20"/>
              </w:rPr>
            </w:pPr>
            <w:r>
              <w:rPr>
                <w:rFonts w:ascii="Times New Roman" w:hAnsi="Times New Roman"/>
                <w:sz w:val="20"/>
              </w:rPr>
              <w:t>2.  Bank’s fiscal year-end date (report the date in MMDD format)</w:t>
            </w:r>
          </w:p>
        </w:tc>
        <w:tc>
          <w:tcPr>
            <w:tcW w:w="161"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8678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1231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right"/>
              <w:rPr/>
            </w:pPr>
            <w:r>
              <w:rPr/>
              <w:t>M.2.</w:t>
            </w:r>
          </w:p>
        </w:tc>
        <w:tc>
          <w:tcPr>
            <w:tcW w:w="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but is not limited to, net unrealized holding gains (losses) on available-for-sale securities, accumulated net gains (losses) on cash flow hedges, and accumulated defined benefit pension and other postretirement plan adjustments.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treasury stock and unearned Employee Stock Ownership Plan shares. </w:t>
            </w:r>
          </w:p>
        </w:tc>
      </w:tr>
    </w:tbl>
    <w:p>
      <w:pPr>
        <w:pStyle w:val="Normal"/>
        <w:bidi w:val="0"/>
        <w:spacing w:before="0" w:after="0"/>
        <w:jc w:val="left"/>
        <w:rPr>
          <w:sz w:val="4"/>
          <w:szCs w:val="4"/>
        </w:rPr>
      </w:pPr>
      <w:r>
        <w:rPr>
          <w:sz w:val="4"/>
          <w:szCs w:val="4"/>
        </w:rPr>
      </w:r>
      <w:bookmarkStart w:id="27" w:name="d125598dexfilingfees.htm"/>
      <w:bookmarkStart w:id="28" w:name="ksd125598dexfilingfees"/>
      <w:bookmarkStart w:id="29" w:name="d125598dexfilingfees.htm"/>
      <w:bookmarkStart w:id="30" w:name="ksd125598dexfilingfees"/>
      <w:bookmarkEnd w:id="29"/>
      <w:bookmarkEnd w:id="30"/>
      <w:r>
        <w:br w:type="page"/>
      </w:r>
    </w:p>
    <w:tbl>
      <w:tblPr>
        <w:tblW w:w="3504" w:type="dxa"/>
        <w:jc w:val="left"/>
        <w:tblInd w:w="0" w:type="dxa"/>
        <w:tblLayout w:type="fixed"/>
        <w:tblCellMar>
          <w:top w:w="28" w:type="dxa"/>
          <w:left w:w="28" w:type="dxa"/>
          <w:bottom w:w="28" w:type="dxa"/>
          <w:right w:w="28" w:type="dxa"/>
        </w:tblCellMar>
      </w:tblPr>
      <w:tblGrid>
        <w:gridCol w:w="3350"/>
        <w:gridCol w:w="154"/>
      </w:tblGrid>
      <w:tr>
        <w:trPr/>
        <w:tc>
          <w:tcPr>
            <w:tcW w:w="350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5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b/>
              </w:rPr>
            </w:pPr>
            <w:r>
              <w:rPr>
                <w:b/>
              </w:rPr>
              <w:t xml:space="preserve">Xylem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7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4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Preferred Stock, no par value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1" w:name="MaxAggtOfferingPrice"/>
            <w:bookmarkEnd w:id="31"/>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2" w:name="TotalFee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PreviouslyPaid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Offset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NetFee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5"/>
        <w:gridCol w:w="8709"/>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Any securities registered hereunder may be sold separately or as units with other securities registered hereunder. Separate consideration may or may not be received for securities that are issuable on exercise, conversion, or exchange of other securities. (2) In accordance with Rules 456(b) and 457(r) under the Securities Act of 1933, as amended, the registrant is deferring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(3) An indeterminate aggregate offering price or number of securities of each identified class is being registered as may from time to time be offered at indeterminate prices.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(1) Any securities registered hereunder may be sold separately or as units with other securities registered hereunder. Separate consideration may or may not be received for securities that are issuable on exercise, conversion, or exchange of other securities. (2) In accordance with Rules 456(b) and 457(r) under the Securities Act of 1933, as amended, the registrant is deferring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(3) An indeterminate aggregate offering price or number of securities of each identified class is being registered as may from time to time be offered at indeterminate prices.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(1) Any securities registered hereunder may be sold separately or as units with other securities registered hereunder. Separate consideration may or may not be received for securities that are issuable on exercise, conversion, or exchange of other securities. (2) In accordance with Rules 456(b) and 457(r) under the Securities Act of 1933, as amended, the registrant is deferring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(3) An indeterminate aggregate offering price or number of securities of each identified class is being registered as may from time to time be offered at indeterminate prices.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4" w:type="dxa"/>
            <w:gridSpan w:val="2"/>
            <w:tcBorders/>
            <w:vAlign w:val="center"/>
          </w:tcPr>
          <w:p>
            <w:pPr>
              <w:pStyle w:val="TableContents"/>
              <w:bidi w:val="0"/>
              <w:spacing w:before="0" w:after="283"/>
              <w:jc w:val="left"/>
              <w:rPr/>
            </w:pPr>
            <w:r>
              <w:rPr/>
              <w:t xml:space="preserve">(1) Any securities registered hereunder may be sold separately or as units with other securities registered hereunder. Separate consideration may or may not be received for securities that are issuable on exercise, conversion, or exchange of other securities. (2) In accordance with Rules 456(b) and 457(r) under the Securities Act of 1933, as amended, the registrant is deferring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(3) An indeterminate aggregate offering price or number of securities of each identified class is being registered as may from time to time be offered at indeterminate prices.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4" w:type="dxa"/>
            <w:gridSpan w:val="2"/>
            <w:tcBorders/>
            <w:vAlign w:val="center"/>
          </w:tcPr>
          <w:p>
            <w:pPr>
              <w:pStyle w:val="TableContents"/>
              <w:bidi w:val="0"/>
              <w:spacing w:before="0" w:after="283"/>
              <w:jc w:val="left"/>
              <w:rPr/>
            </w:pPr>
            <w:r>
              <w:rPr/>
              <w:t xml:space="preserve">(1) Any securities registered hereunder may be sold separately or as units with other securities registered hereunder. Separate consideration may or may not be received for securities that are issuable on exercise, conversion, or exchange of other securities. (2) In accordance with Rules 456(b) and 457(r) under the Securities Act of 1933, as amended, the registrant is deferring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(3) An indeterminate aggregate offering price or number of securities of each identified class is being registered as may from time to time be offered at indeterminate prices. (4) Each depositary share will be issued under a deposit agreement and will be evidenced by a depositary receipt.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4" w:type="dxa"/>
            <w:gridSpan w:val="2"/>
            <w:tcBorders/>
            <w:vAlign w:val="center"/>
          </w:tcPr>
          <w:p>
            <w:pPr>
              <w:pStyle w:val="TableContents"/>
              <w:bidi w:val="0"/>
              <w:spacing w:before="0" w:after="283"/>
              <w:jc w:val="left"/>
              <w:rPr/>
            </w:pPr>
            <w:r>
              <w:rPr/>
              <w:t xml:space="preserve">(1) Any securities registered hereunder may be sold separately or as units with other securities registered hereunder. Separate consideration may or may not be received for securities that are issuable on exercise, conversion, or exchange of other securities. (2) In accordance with Rules 456(b) and 457(r) under the Securities Act of 1933, as amended, the registrant is deferring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(3) An indeterminate aggregate offering price or number of securities of each identified class is being registered as may from time to time be offered at indeterminate prices.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4" w:type="dxa"/>
            <w:gridSpan w:val="2"/>
            <w:tcBorders/>
            <w:vAlign w:val="center"/>
          </w:tcPr>
          <w:p>
            <w:pPr>
              <w:pStyle w:val="TableContents"/>
              <w:bidi w:val="0"/>
              <w:spacing w:before="0" w:after="283"/>
              <w:jc w:val="left"/>
              <w:rPr/>
            </w:pPr>
            <w:r>
              <w:rPr/>
              <w:t xml:space="preserve">(1) Any securities registered hereunder may be sold separately or as units with other securities registered hereunder. Separate consideration may or may not be received for securities that are issuable on exercise, conversion, or exchange of other securities. (2) In accordance with Rules 456(b) and 457(r) under the Securities Act of 1933, as amended, the registrant is deferring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(3) An indeterminate aggregate offering price or number of securities of each identified class is being registered as may from time to time be offered at indeterminate prices.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524472/000152447226000012/xyl-20251231.htm" TargetMode="External"/><Relationship Id="rId4" Type="http://schemas.openxmlformats.org/officeDocument/2006/relationships/hyperlink" Target="http://www.sec.gov/Archives/edgar/data/../../../ix?doc=/Archives/edgar/data/0001524472/000110465926036678/xyl-20260514xdef14a.htm" TargetMode="External"/><Relationship Id="rId5" Type="http://schemas.openxmlformats.org/officeDocument/2006/relationships/hyperlink" Target="http://www.sec.gov/Archives/edgar/data/../../../ix?doc=/Archives/edgar/data/0001524472/000152447226000068/xyl-20260331.htm" TargetMode="External"/><Relationship Id="rId6" Type="http://schemas.openxmlformats.org/officeDocument/2006/relationships/hyperlink" Target="http://www.sec.gov/Archives/edgar/data/../../../ix?doc=/Archives/edgar/data/0001524472/000152447226000110/xyl-20260630.htm" TargetMode="External"/><Relationship Id="rId7" Type="http://schemas.openxmlformats.org/officeDocument/2006/relationships/hyperlink" Target="http://www.sec.gov/Archives/edgar/data/../../../ix?doc=/Archives/edgar/data/0001524472/000152447226000014/xyl-20260225.htm" TargetMode="External"/><Relationship Id="rId8" Type="http://schemas.openxmlformats.org/officeDocument/2006/relationships/hyperlink" Target="http://www.sec.gov/Archives/edgar/data/../../../ix?doc=/Archives/edgar/data/0001524472/000152447226000091/xyl-20260514.htm" TargetMode="External"/><Relationship Id="rId9" Type="http://schemas.openxmlformats.org/officeDocument/2006/relationships/hyperlink" Target="http://www.sec.gov/Archives/edgar/data/../../../ix?doc=/Archives/edgar/data/0001524472/000119312526248342/d142135d8k.htm" TargetMode="External"/><Relationship Id="rId10" Type="http://schemas.openxmlformats.org/officeDocument/2006/relationships/hyperlink" Target="http://www.sec.gov/Archives/edgar/data/1524472/000152447223000009/xyl12312022ex41.htm" TargetMode="External"/><Relationship Id="rId11" Type="http://schemas.openxmlformats.org/officeDocument/2006/relationships/hyperlink" Target="http://www.sec.gov/Archives/edgar/data/1524472/000152447217000027/a8-k31xcharter.htm" TargetMode="External"/><Relationship Id="rId12" Type="http://schemas.openxmlformats.org/officeDocument/2006/relationships/hyperlink" Target="http://www.sec.gov/Archives/edgar/data/1524472/000152447222000055/xyl11102022ex31.htm" TargetMode="External"/><Relationship Id="rId13" Type="http://schemas.openxmlformats.org/officeDocument/2006/relationships/hyperlink" Target="http://www.sec.gov/Archives/edgar/data/1524472/000119312516501188/d161514dex41.htm" TargetMode="External"/><Relationship Id="rId14" Type="http://schemas.openxmlformats.org/officeDocument/2006/relationships/hyperlink" Target="http://www.sec.gov/Archives/edgar/data/1524472/000119312516501188/d161514dex42.htm" TargetMode="External"/><Relationship Id="rId15" Type="http://schemas.openxmlformats.org/officeDocument/2006/relationships/hyperlink" Target="http://www.sec.gov/Archives/edgar/data/1524472/000119312515358210/d32503dex44.htm" TargetMode="External"/><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4.jpeg"/><Relationship Id="rId23" Type="http://schemas.openxmlformats.org/officeDocument/2006/relationships/image" Target="media/image4.jpeg"/><Relationship Id="rId24" Type="http://schemas.openxmlformats.org/officeDocument/2006/relationships/image" Target="media/image4.jpeg"/><Relationship Id="rId25" Type="http://schemas.openxmlformats.org/officeDocument/2006/relationships/image" Target="media/image5.jpeg"/><Relationship Id="rId26" Type="http://schemas.openxmlformats.org/officeDocument/2006/relationships/image" Target="media/image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30921</Words>
  <Characters>165216</Characters>
  <CharactersWithSpaces>197859</CharactersWithSpaces>
  <Paragraphs>3593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EX-25.2</dc:title>
</cp:coreProperties>
</file>