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460" w:right="800" w:hanging="3434"/>
        <w:spacing w:after="0" w:line="461" w:lineRule="auto"/>
        <w:tabs>
          <w:tab w:leader="none" w:pos="1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9"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9"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9"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029"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029"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4"/>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2"/>
                <w:szCs w:val="22"/>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13"/>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6" w:lineRule="exact"/>
        <w:rPr>
          <w:sz w:val="20"/>
          <w:szCs w:val="20"/>
          <w:color w:val="auto"/>
        </w:rPr>
      </w:pPr>
    </w:p>
    <w:p>
      <w:pPr>
        <w:ind w:right="540"/>
        <w:spacing w:after="0" w:line="29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24, 2025, there were 243,469,063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40" w:type="dxa"/>
            <w:vAlign w:val="bottom"/>
            <w:gridSpan w:val="10"/>
          </w:tcPr>
          <w:p>
            <w:pPr>
              <w:jc w:val="center"/>
              <w:ind w:right="2540"/>
              <w:spacing w:after="0"/>
              <w:rPr>
                <w:sz w:val="20"/>
                <w:szCs w:val="20"/>
                <w:color w:val="auto"/>
              </w:rPr>
            </w:pPr>
            <w:r>
              <w:rPr>
                <w:rFonts w:ascii="Arial" w:cs="Arial" w:eastAsia="Arial" w:hAnsi="Arial"/>
                <w:sz w:val="18"/>
                <w:szCs w:val="18"/>
                <w:b w:val="1"/>
                <w:bCs w:val="1"/>
                <w:color w:val="auto"/>
                <w:w w:val="98"/>
              </w:rPr>
              <w:t>Xylem Inc.</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gridSpan w:val="10"/>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40" w:type="dxa"/>
            <w:vAlign w:val="bottom"/>
            <w:gridSpan w:val="13"/>
          </w:tcPr>
          <w:p>
            <w:pPr>
              <w:jc w:val="center"/>
              <w:ind w:right="3340"/>
              <w:spacing w:after="0"/>
              <w:rPr>
                <w:sz w:val="20"/>
                <w:szCs w:val="20"/>
                <w:color w:val="auto"/>
              </w:rPr>
            </w:pPr>
            <w:r>
              <w:rPr>
                <w:rFonts w:ascii="Arial" w:cs="Arial" w:eastAsia="Arial" w:hAnsi="Arial"/>
                <w:sz w:val="18"/>
                <w:szCs w:val="18"/>
                <w:b w:val="1"/>
                <w:bCs w:val="1"/>
                <w:color w:val="auto"/>
                <w:w w:val="99"/>
              </w:rPr>
              <w:t>PART I – Financial Information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5700" w:type="dxa"/>
            <w:vAlign w:val="bottom"/>
            <w:gridSpan w:val="12"/>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40" w:type="dxa"/>
            <w:vAlign w:val="bottom"/>
            <w:gridSpan w:val="19"/>
          </w:tcPr>
          <w:p>
            <w:pPr>
              <w:spacing w:after="0"/>
              <w:rPr>
                <w:sz w:val="20"/>
                <w:szCs w:val="20"/>
                <w:color w:val="auto"/>
              </w:rPr>
            </w:pPr>
            <w:r>
              <w:rPr>
                <w:rFonts w:ascii="Arial" w:cs="Arial" w:eastAsia="Arial" w:hAnsi="Arial"/>
                <w:sz w:val="18"/>
                <w:szCs w:val="18"/>
                <w:color w:val="0000FF"/>
              </w:rPr>
              <w:t>Condensed Consolidated Income Statements for the Three Months and Nine Months Ended</w:t>
            </w:r>
          </w:p>
        </w:tc>
        <w:tc>
          <w:tcPr>
            <w:tcW w:w="1760" w:type="dxa"/>
            <w:vAlign w:val="bottom"/>
            <w:gridSpan w:val="2"/>
            <w:vMerge w:val="restart"/>
          </w:tcPr>
          <w:p>
            <w:pPr>
              <w:spacing w:after="0"/>
              <w:rPr>
                <w:sz w:val="18"/>
                <w:szCs w:val="18"/>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2025 and 2024 (Unaudited)</w:t>
            </w:r>
          </w:p>
        </w:tc>
        <w:tc>
          <w:tcPr>
            <w:tcW w:w="390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40" w:type="dxa"/>
            <w:vAlign w:val="bottom"/>
            <w:gridSpan w:val="19"/>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Months and</w:t>
            </w:r>
          </w:p>
        </w:tc>
        <w:tc>
          <w:tcPr>
            <w:tcW w:w="176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Nine Months Ended September 30, 2025 and 2024 (Unaudited)</w:t>
            </w:r>
          </w:p>
        </w:tc>
        <w:tc>
          <w:tcPr>
            <w:tcW w:w="7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40" w:type="dxa"/>
            <w:vAlign w:val="bottom"/>
            <w:gridSpan w:val="19"/>
            <w:vMerge w:val="restart"/>
          </w:tcPr>
          <w:p>
            <w:pPr>
              <w:spacing w:after="0"/>
              <w:rPr>
                <w:sz w:val="20"/>
                <w:szCs w:val="20"/>
                <w:color w:val="auto"/>
              </w:rPr>
            </w:pPr>
            <w:r>
              <w:rPr>
                <w:rFonts w:ascii="Arial" w:cs="Arial" w:eastAsia="Arial" w:hAnsi="Arial"/>
                <w:sz w:val="18"/>
                <w:szCs w:val="18"/>
                <w:color w:val="0000FF"/>
                <w:w w:val="99"/>
              </w:rPr>
              <w:t>Condensed Consolidated Balance Sheets as of September 30, 2025 and December 31, 2024</w:t>
            </w: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40" w:type="dxa"/>
            <w:vAlign w:val="bottom"/>
            <w:tcBorders>
              <w:bottom w:val="single" w:sz="8" w:color="0000FF"/>
            </w:tcBorders>
            <w:gridSpan w:val="19"/>
            <w:vMerge w:val="continue"/>
          </w:tcPr>
          <w:p>
            <w:pPr>
              <w:spacing w:after="0"/>
              <w:rPr>
                <w:sz w:val="17"/>
                <w:szCs w:val="17"/>
                <w:color w:val="auto"/>
              </w:rPr>
            </w:pPr>
          </w:p>
        </w:tc>
        <w:tc>
          <w:tcPr>
            <w:tcW w:w="176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40" w:type="dxa"/>
            <w:vAlign w:val="bottom"/>
            <w:gridSpan w:val="19"/>
          </w:tcPr>
          <w:p>
            <w:pPr>
              <w:spacing w:after="0" w:line="142" w:lineRule="exact"/>
              <w:rPr>
                <w:sz w:val="20"/>
                <w:szCs w:val="20"/>
                <w:color w:val="auto"/>
              </w:rPr>
            </w:pPr>
            <w:r>
              <w:rPr>
                <w:rFonts w:ascii="Arial" w:cs="Arial" w:eastAsia="Arial" w:hAnsi="Arial"/>
                <w:sz w:val="16"/>
                <w:szCs w:val="16"/>
                <w:color w:val="0000FF"/>
              </w:rPr>
              <w:t>(Unaudited)</w:t>
            </w:r>
          </w:p>
        </w:tc>
        <w:tc>
          <w:tcPr>
            <w:tcW w:w="1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40" w:type="dxa"/>
            <w:vAlign w:val="bottom"/>
            <w:gridSpan w:val="19"/>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Nine Months Ended September</w:t>
            </w:r>
          </w:p>
        </w:tc>
        <w:tc>
          <w:tcPr>
            <w:tcW w:w="176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30, 2025 and 2024 (Unaudited)</w:t>
            </w:r>
          </w:p>
        </w:tc>
        <w:tc>
          <w:tcPr>
            <w:tcW w:w="222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gridSpan w:val="2"/>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2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gridSpan w:val="4"/>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4"/>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1660" w:type="dxa"/>
            <w:vAlign w:val="bottom"/>
            <w:gridSpan w:val="5"/>
          </w:tcPr>
          <w:p>
            <w:pPr>
              <w:spacing w:after="0"/>
              <w:rPr>
                <w:sz w:val="18"/>
                <w:szCs w:val="18"/>
                <w:color w:val="auto"/>
              </w:rPr>
            </w:pPr>
          </w:p>
        </w:tc>
        <w:tc>
          <w:tcPr>
            <w:tcW w:w="176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3"/>
          </w:tcPr>
          <w:p>
            <w:pPr>
              <w:spacing w:after="0"/>
              <w:rPr>
                <w:sz w:val="18"/>
                <w:szCs w:val="18"/>
                <w:color w:val="auto"/>
              </w:rPr>
            </w:pPr>
          </w:p>
        </w:tc>
        <w:tc>
          <w:tcPr>
            <w:tcW w:w="2720" w:type="dxa"/>
            <w:vAlign w:val="bottom"/>
            <w:gridSpan w:val="8"/>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940" w:type="dxa"/>
            <w:vAlign w:val="bottom"/>
            <w:gridSpan w:val="13"/>
          </w:tcPr>
          <w:p>
            <w:pPr>
              <w:jc w:val="center"/>
              <w:ind w:right="3320"/>
              <w:spacing w:after="0"/>
              <w:rPr>
                <w:sz w:val="20"/>
                <w:szCs w:val="20"/>
                <w:color w:val="auto"/>
              </w:rPr>
            </w:pPr>
            <w:r>
              <w:rPr>
                <w:rFonts w:ascii="Arial" w:cs="Arial" w:eastAsia="Arial" w:hAnsi="Arial"/>
                <w:sz w:val="18"/>
                <w:szCs w:val="18"/>
                <w:b w:val="1"/>
                <w:bCs w:val="1"/>
                <w:color w:val="auto"/>
                <w:w w:val="99"/>
              </w:rPr>
              <w:t>PART II – Other Information</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5940" w:type="dxa"/>
            <w:vAlign w:val="bottom"/>
            <w:gridSpan w:val="13"/>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5940" w:type="dxa"/>
            <w:vAlign w:val="bottom"/>
            <w:gridSpan w:val="13"/>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gridSpan w:val="3"/>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560" w:type="dxa"/>
            <w:vAlign w:val="bottom"/>
          </w:tcPr>
          <w:p>
            <w:pPr>
              <w:spacing w:after="0"/>
              <w:rPr>
                <w:sz w:val="18"/>
                <w:szCs w:val="18"/>
                <w:color w:val="auto"/>
              </w:rPr>
            </w:pPr>
          </w:p>
        </w:tc>
        <w:tc>
          <w:tcPr>
            <w:tcW w:w="4940" w:type="dxa"/>
            <w:vAlign w:val="bottom"/>
            <w:gridSpan w:val="10"/>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5500" w:type="dxa"/>
            <w:vAlign w:val="bottom"/>
            <w:gridSpan w:val="11"/>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40" w:type="dxa"/>
            <w:vAlign w:val="bottom"/>
            <w:gridSpan w:val="1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040" w:type="dxa"/>
            <w:vAlign w:val="bottom"/>
            <w:gridSpan w:val="14"/>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gridSpan w:val="1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4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0000FF"/>
              </w:rPr>
              <w:t>67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PART I</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340" w:type="dxa"/>
            <w:vAlign w:val="bottom"/>
            <w:gridSpan w:val="4"/>
          </w:tcPr>
          <w:p>
            <w:pPr>
              <w:ind w:left="20"/>
              <w:spacing w:after="0"/>
              <w:rPr>
                <w:sz w:val="20"/>
                <w:szCs w:val="20"/>
                <w:color w:val="auto"/>
              </w:rPr>
            </w:pPr>
            <w:r>
              <w:rPr>
                <w:rFonts w:ascii="Arial" w:cs="Arial" w:eastAsia="Arial" w:hAnsi="Arial"/>
                <w:sz w:val="18"/>
                <w:szCs w:val="18"/>
                <w:b w:val="1"/>
                <w:bCs w:val="1"/>
                <w:color w:val="auto"/>
              </w:rPr>
              <w:t>CONDENSED CONSOLIDATED FINANCIAL STATEMENTS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XYLEM INC. AND SUBSIDIARIES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CONDENSED CONSOLIDATED INCOME STATEMENTS (Unaudited)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4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1,867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from services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37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2,268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Cost of revenue from products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1,109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Cost of revenue</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37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on sale of businesses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Income before taxes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8"/>
        </w:trPr>
        <w:tc>
          <w:tcPr>
            <w:tcW w:w="1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2"/>
            <w:vMerge w:val="restart"/>
          </w:tcPr>
          <w:p>
            <w:pPr>
              <w:ind w:left="300"/>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Borders>
              <w:top w:val="single" w:sz="8" w:color="CCEEFF"/>
              <w:bottom w:val="single" w:sz="8" w:color="CCEEFF"/>
            </w:tcBorders>
            <w:gridSpan w:val="2"/>
            <w:vMerge w:val="continue"/>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Xylem</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7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780" w:type="dxa"/>
            <w:vAlign w:val="bottom"/>
          </w:tcPr>
          <w:p>
            <w:pPr>
              <w:spacing w:after="0"/>
              <w:rPr>
                <w:sz w:val="19"/>
                <w:szCs w:val="19"/>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sz w:val="20"/>
                <w:szCs w:val="20"/>
                <w:color w:val="auto"/>
              </w:rPr>
            </w:pPr>
            <w:r>
              <w:rPr>
                <w:rFonts w:ascii="Arial" w:cs="Arial" w:eastAsia="Arial" w:hAnsi="Arial"/>
                <w:sz w:val="18"/>
                <w:szCs w:val="18"/>
                <w:color w:val="auto"/>
              </w:rPr>
              <w:t>Basic</w:t>
            </w:r>
          </w:p>
        </w:tc>
        <w:tc>
          <w:tcPr>
            <w:tcW w:w="3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243.5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7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244.1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3"/>
          </w:tcPr>
          <w:p>
            <w:pPr>
              <w:jc w:val="right"/>
              <w:ind w:right="630"/>
              <w:spacing w:after="0"/>
              <w:rPr>
                <w:sz w:val="20"/>
                <w:szCs w:val="20"/>
                <w:color w:val="auto"/>
              </w:rPr>
            </w:pPr>
            <w:r>
              <w:rPr>
                <w:rFonts w:ascii="Arial" w:cs="Arial" w:eastAsia="Arial" w:hAnsi="Arial"/>
                <w:sz w:val="16"/>
                <w:szCs w:val="16"/>
                <w:b w:val="1"/>
                <w:bCs w:val="1"/>
                <w:color w:val="auto"/>
              </w:rPr>
              <w:t>Three Months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4"/>
        </w:trPr>
        <w:tc>
          <w:tcPr>
            <w:tcW w:w="4740" w:type="dxa"/>
            <w:vAlign w:val="bottom"/>
          </w:tcPr>
          <w:p>
            <w:pPr>
              <w:ind w:left="140"/>
              <w:spacing w:after="0" w:line="183" w:lineRule="exact"/>
              <w:rPr>
                <w:sz w:val="20"/>
                <w:szCs w:val="20"/>
                <w:color w:val="auto"/>
              </w:rPr>
            </w:pPr>
            <w:r>
              <w:rPr>
                <w:rFonts w:ascii="Arial" w:cs="Arial" w:eastAsia="Arial" w:hAnsi="Arial"/>
                <w:sz w:val="18"/>
                <w:szCs w:val="18"/>
                <w:color w:val="auto"/>
              </w:rPr>
              <w:t>Amount of currency translation adjustment relating to</w:t>
            </w: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40" w:type="dxa"/>
            <w:vAlign w:val="bottom"/>
          </w:tcPr>
          <w:p>
            <w:pPr>
              <w:ind w:left="140"/>
              <w:spacing w:after="0" w:line="181" w:lineRule="exact"/>
              <w:rPr>
                <w:sz w:val="20"/>
                <w:szCs w:val="20"/>
                <w:color w:val="auto"/>
              </w:rPr>
            </w:pPr>
            <w:r>
              <w:rPr>
                <w:rFonts w:ascii="Arial" w:cs="Arial" w:eastAsia="Arial" w:hAnsi="Arial"/>
                <w:sz w:val="18"/>
                <w:szCs w:val="18"/>
                <w:color w:val="auto"/>
              </w:rPr>
              <w:t>divestiture of foreign subsidiaries reclassified into net</w:t>
            </w:r>
          </w:p>
        </w:tc>
        <w:tc>
          <w:tcPr>
            <w:tcW w:w="1140" w:type="dxa"/>
            <w:vAlign w:val="bottom"/>
          </w:tcPr>
          <w:p>
            <w:pPr>
              <w:spacing w:after="0"/>
              <w:rPr>
                <w:sz w:val="15"/>
                <w:szCs w:val="15"/>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5"/>
                <w:szCs w:val="15"/>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income</w:t>
            </w:r>
          </w:p>
        </w:tc>
        <w:tc>
          <w:tcPr>
            <w:tcW w:w="1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Unrealized gain</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 of (gain) loss reclassified into net income</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prior service credit</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Amortization of net actuarial loss into net income</w:t>
            </w:r>
          </w:p>
        </w:tc>
        <w:tc>
          <w:tcPr>
            <w:tcW w:w="1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Income tax expense (benefit) related to items of other</w:t>
            </w:r>
          </w:p>
        </w:tc>
        <w:tc>
          <w:tcPr>
            <w:tcW w:w="1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1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184"/>
        </w:trPr>
        <w:tc>
          <w:tcPr>
            <w:tcW w:w="4740" w:type="dxa"/>
            <w:vAlign w:val="bottom"/>
          </w:tcPr>
          <w:p>
            <w:pPr>
              <w:ind w:left="140"/>
              <w:spacing w:after="0" w:line="183" w:lineRule="exact"/>
              <w:rPr>
                <w:sz w:val="20"/>
                <w:szCs w:val="20"/>
                <w:color w:val="auto"/>
              </w:rPr>
            </w:pPr>
            <w:r>
              <w:rPr>
                <w:rFonts w:ascii="Arial" w:cs="Arial" w:eastAsia="Arial" w:hAnsi="Arial"/>
                <w:sz w:val="18"/>
                <w:szCs w:val="18"/>
                <w:color w:val="auto"/>
              </w:rPr>
              <w:t>Comprehensive loss attributable to non-controlling</w:t>
            </w:r>
          </w:p>
        </w:tc>
        <w:tc>
          <w:tcPr>
            <w:tcW w:w="1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74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14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7"/>
                <w:szCs w:val="17"/>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24"/>
        </w:trPr>
        <w:tc>
          <w:tcPr>
            <w:tcW w:w="76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$66 and $59 in</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360"/>
              <w:spacing w:after="0"/>
              <w:rPr>
                <w:sz w:val="20"/>
                <w:szCs w:val="20"/>
                <w:color w:val="auto"/>
              </w:rPr>
            </w:pPr>
            <w:r>
              <w:rPr>
                <w:rFonts w:ascii="Arial" w:cs="Arial" w:eastAsia="Arial" w:hAnsi="Arial"/>
                <w:sz w:val="18"/>
                <w:szCs w:val="18"/>
                <w:color w:val="auto"/>
              </w:rPr>
              <w:t>2025 and 2024, respectively</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400" w:type="dxa"/>
            <w:vAlign w:val="bottom"/>
            <w:gridSpan w:val="3"/>
          </w:tcPr>
          <w:p>
            <w:pPr>
              <w:ind w:left="140"/>
              <w:spacing w:after="0" w:line="176"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2,269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post-retirement benefit obligations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Redeemable non-controlling interest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par value $0.01 per share: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60"/>
              <w:spacing w:after="0" w:line="176" w:lineRule="exact"/>
              <w:rPr>
                <w:sz w:val="20"/>
                <w:szCs w:val="20"/>
                <w:color w:val="auto"/>
              </w:rPr>
            </w:pPr>
            <w:r>
              <w:rPr>
                <w:rFonts w:ascii="Arial" w:cs="Arial" w:eastAsia="Arial" w:hAnsi="Arial"/>
                <w:sz w:val="18"/>
                <w:szCs w:val="18"/>
                <w:color w:val="auto"/>
              </w:rPr>
              <w:t>Authorized 750.0 shares, issued 259.8 shares and 259.2 shares in 2025 and 2024,</w:t>
            </w:r>
          </w:p>
        </w:tc>
        <w:tc>
          <w:tcPr>
            <w:tcW w:w="2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 at cost 16.3 shares and 16.2 shares in 2025 and 2024, respectively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23"/>
        </w:trPr>
        <w:tc>
          <w:tcPr>
            <w:tcW w:w="76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2024</w:t>
            </w: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617</w:t>
            </w:r>
          </w:p>
        </w:tc>
        <w:tc>
          <w:tcPr>
            <w:tcW w:w="120" w:type="dxa"/>
            <w:vAlign w:val="bottom"/>
          </w:tcPr>
          <w:p>
            <w:pPr>
              <w:spacing w:after="0"/>
              <w:rPr>
                <w:sz w:val="17"/>
                <w:szCs w:val="17"/>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564</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68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3"/>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202"/>
        </w:trPr>
        <w:tc>
          <w:tcPr>
            <w:tcW w:w="7680" w:type="dxa"/>
            <w:vAlign w:val="bottom"/>
          </w:tcPr>
          <w:p>
            <w:pPr>
              <w:ind w:left="360"/>
              <w:spacing w:after="0"/>
              <w:rPr>
                <w:sz w:val="20"/>
                <w:szCs w:val="20"/>
                <w:color w:val="auto"/>
              </w:rPr>
            </w:pPr>
            <w:r>
              <w:rPr>
                <w:rFonts w:ascii="Arial" w:cs="Arial" w:eastAsia="Arial" w:hAnsi="Arial"/>
                <w:sz w:val="14"/>
                <w:szCs w:val="14"/>
                <w:color w:val="auto"/>
              </w:rPr>
              <w:t>Share-based compensation</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3"/>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Restructuring and asset impairment charges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02"/>
        </w:trPr>
        <w:tc>
          <w:tcPr>
            <w:tcW w:w="7680" w:type="dxa"/>
            <w:vAlign w:val="bottom"/>
          </w:tcPr>
          <w:p>
            <w:pPr>
              <w:ind w:left="360"/>
              <w:spacing w:after="0"/>
              <w:rPr>
                <w:sz w:val="20"/>
                <w:szCs w:val="20"/>
                <w:color w:val="auto"/>
              </w:rPr>
            </w:pPr>
            <w:r>
              <w:rPr>
                <w:rFonts w:ascii="Arial" w:cs="Arial" w:eastAsia="Arial" w:hAnsi="Arial"/>
                <w:sz w:val="14"/>
                <w:szCs w:val="14"/>
                <w:color w:val="auto"/>
              </w:rPr>
              <w:t>Loss from sale of businesses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7680" w:type="dxa"/>
            <w:vAlign w:val="bottom"/>
          </w:tcPr>
          <w:p>
            <w:pPr>
              <w:ind w:left="360"/>
              <w:spacing w:after="0"/>
              <w:rPr>
                <w:sz w:val="20"/>
                <w:szCs w:val="20"/>
                <w:color w:val="auto"/>
              </w:rPr>
            </w:pPr>
            <w:r>
              <w:rPr>
                <w:rFonts w:ascii="Arial" w:cs="Arial" w:eastAsia="Arial" w:hAnsi="Arial"/>
                <w:sz w:val="14"/>
                <w:szCs w:val="14"/>
                <w:color w:val="auto"/>
              </w:rPr>
              <w:t>Payments for restructuring</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assets and liabilities (net of acquisitions):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7680" w:type="dxa"/>
            <w:vAlign w:val="bottom"/>
          </w:tcPr>
          <w:p>
            <w:pPr>
              <w:ind w:left="360"/>
              <w:spacing w:after="0"/>
              <w:rPr>
                <w:sz w:val="20"/>
                <w:szCs w:val="20"/>
                <w:color w:val="auto"/>
              </w:rPr>
            </w:pPr>
            <w:r>
              <w:rPr>
                <w:rFonts w:ascii="Arial" w:cs="Arial" w:eastAsia="Arial" w:hAnsi="Arial"/>
                <w:sz w:val="14"/>
                <w:szCs w:val="14"/>
                <w:color w:val="auto"/>
              </w:rPr>
              <w:t>Changes in receivables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3"/>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inventories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02"/>
        </w:trPr>
        <w:tc>
          <w:tcPr>
            <w:tcW w:w="7680" w:type="dxa"/>
            <w:vAlign w:val="bottom"/>
          </w:tcPr>
          <w:p>
            <w:pPr>
              <w:ind w:left="360"/>
              <w:spacing w:after="0"/>
              <w:rPr>
                <w:sz w:val="20"/>
                <w:szCs w:val="20"/>
                <w:color w:val="auto"/>
              </w:rPr>
            </w:pPr>
            <w:r>
              <w:rPr>
                <w:rFonts w:ascii="Arial" w:cs="Arial" w:eastAsia="Arial" w:hAnsi="Arial"/>
                <w:sz w:val="14"/>
                <w:szCs w:val="14"/>
                <w:color w:val="auto"/>
              </w:rPr>
              <w:t>Changes in accounts payable</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3"/>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accrued and deferred taxes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2"/>
        </w:trPr>
        <w:tc>
          <w:tcPr>
            <w:tcW w:w="76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196"/>
        </w:trPr>
        <w:tc>
          <w:tcPr>
            <w:tcW w:w="7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Cash –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color w:val="auto"/>
              </w:rPr>
              <w:t>Acquisitions of businesses, net of cash acquired</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businesses, net of cash disposed</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color w:val="auto"/>
              </w:rPr>
              <w:t>Proceeds from the sale of property, plant and equipment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received from investments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01"/>
        </w:trPr>
        <w:tc>
          <w:tcPr>
            <w:tcW w:w="7680" w:type="dxa"/>
            <w:vAlign w:val="bottom"/>
          </w:tcPr>
          <w:p>
            <w:pPr>
              <w:ind w:left="140"/>
              <w:spacing w:after="0"/>
              <w:rPr>
                <w:sz w:val="20"/>
                <w:szCs w:val="20"/>
                <w:color w:val="auto"/>
              </w:rPr>
            </w:pPr>
            <w:r>
              <w:rPr>
                <w:rFonts w:ascii="Arial" w:cs="Arial" w:eastAsia="Arial" w:hAnsi="Arial"/>
                <w:sz w:val="14"/>
                <w:szCs w:val="14"/>
                <w:color w:val="auto"/>
              </w:rPr>
              <w:t>Cash paid for investments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equity investments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color w:val="auto"/>
              </w:rPr>
              <w:t>Cash paid for asset acquisition</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received from cross-currency swaps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02"/>
        </w:trPr>
        <w:tc>
          <w:tcPr>
            <w:tcW w:w="7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Cash – Investing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debt issued, net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color w:val="auto"/>
              </w:rPr>
              <w:t>Short-term debt repaid</w:t>
            </w:r>
          </w:p>
        </w:tc>
        <w:tc>
          <w:tcPr>
            <w:tcW w:w="4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repaid</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3"/>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employee stock options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02"/>
        </w:trPr>
        <w:tc>
          <w:tcPr>
            <w:tcW w:w="768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03"/>
        </w:trPr>
        <w:tc>
          <w:tcPr>
            <w:tcW w:w="7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Net Cash – Financing activities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r>
      <w:tr>
        <w:trPr>
          <w:trHeight w:val="196"/>
        </w:trPr>
        <w:tc>
          <w:tcPr>
            <w:tcW w:w="7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Effect of exchange rate changes on cash</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7680" w:type="dxa"/>
            <w:vAlign w:val="bottom"/>
          </w:tcPr>
          <w:p>
            <w:pPr>
              <w:ind w:left="140"/>
              <w:spacing w:after="0"/>
              <w:rPr>
                <w:sz w:val="20"/>
                <w:szCs w:val="20"/>
                <w:color w:val="auto"/>
              </w:rPr>
            </w:pPr>
            <w:r>
              <w:rPr>
                <w:rFonts w:ascii="Arial" w:cs="Arial" w:eastAsia="Arial" w:hAnsi="Arial"/>
                <w:sz w:val="14"/>
                <w:szCs w:val="14"/>
                <w:color w:val="auto"/>
              </w:rPr>
              <w:t>Increase in cash classified within assets held for sale</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Decrease in cash classified within assets held for sale</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680" w:type="dxa"/>
            <w:vAlign w:val="bottom"/>
          </w:tcPr>
          <w:p>
            <w:pPr>
              <w:ind w:left="120"/>
              <w:spacing w:after="0"/>
              <w:rPr>
                <w:sz w:val="20"/>
                <w:szCs w:val="20"/>
                <w:color w:val="auto"/>
              </w:rPr>
            </w:pPr>
            <w:r>
              <w:rPr>
                <w:rFonts w:ascii="Arial" w:cs="Arial" w:eastAsia="Arial" w:hAnsi="Arial"/>
                <w:sz w:val="14"/>
                <w:szCs w:val="14"/>
                <w:b w:val="1"/>
                <w:bCs w:val="1"/>
                <w:color w:val="auto"/>
              </w:rPr>
              <w:t>Changes in cash classified within assets held for sale</w:t>
            </w:r>
          </w:p>
        </w:tc>
        <w:tc>
          <w:tcPr>
            <w:tcW w:w="4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6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2"/>
        </w:trPr>
        <w:tc>
          <w:tcPr>
            <w:tcW w:w="7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Cash and cash equivalents at beginning of year</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r>
      <w:tr>
        <w:trPr>
          <w:trHeight w:val="262"/>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r>
      <w:tr>
        <w:trPr>
          <w:trHeight w:val="162"/>
        </w:trPr>
        <w:tc>
          <w:tcPr>
            <w:tcW w:w="76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04"/>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during the period for:</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1"/>
        </w:trPr>
        <w:tc>
          <w:tcPr>
            <w:tcW w:w="7680" w:type="dxa"/>
            <w:vAlign w:val="bottom"/>
          </w:tcPr>
          <w:p>
            <w:pPr>
              <w:ind w:left="220"/>
              <w:spacing w:after="0"/>
              <w:rPr>
                <w:sz w:val="20"/>
                <w:szCs w:val="20"/>
                <w:color w:val="auto"/>
              </w:rPr>
            </w:pPr>
            <w:r>
              <w:rPr>
                <w:rFonts w:ascii="Arial" w:cs="Arial" w:eastAsia="Arial" w:hAnsi="Arial"/>
                <w:sz w:val="14"/>
                <w:szCs w:val="14"/>
                <w:color w:val="auto"/>
              </w:rPr>
              <w:t>Interest</w:t>
            </w:r>
          </w:p>
        </w:tc>
        <w:tc>
          <w:tcPr>
            <w:tcW w:w="40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17"/>
                <w:szCs w:val="17"/>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4"/>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(net of refunds received)</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2024 ("2024 Annual Report") in preparing these unaudited condensed consolidated financial statements. These condensed consolidated financial statements should be read in conjunction with the audited consolidated financial statements and the notes included in our 2024 Annual Report. Certain prior year amounts have been reclassified to conform to the current year presentation.</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valuation of assets and liabilities classified as held for sale, goodwill and indefinite-lived intangible impairment testing and contingent liabilities. Actual results could differ from these estimates.</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117"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 xml:space="preserve">In September 2025, the Financial Accounting Standards Board (FASB) issued Accounting Standards Update (ASU) No. 2025-06, </w:t>
      </w:r>
      <w:r>
        <w:rPr>
          <w:rFonts w:ascii="Arial" w:cs="Arial" w:eastAsia="Arial" w:hAnsi="Arial"/>
          <w:sz w:val="17"/>
          <w:szCs w:val="17"/>
          <w:i w:val="1"/>
          <w:iCs w:val="1"/>
          <w:color w:val="auto"/>
        </w:rPr>
        <w:t>“Intangibles—Goodwill and Other—Internal-Use Software (Subtopic 350-40): Targeted Improvements to the Accounting for Internal-Use</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i w:val="1"/>
          <w:iCs w:val="1"/>
          <w:color w:val="auto"/>
        </w:rPr>
        <w:t>Software”</w:t>
      </w:r>
      <w:r>
        <w:rPr>
          <w:rFonts w:ascii="Arial" w:cs="Arial" w:eastAsia="Arial" w:hAnsi="Arial"/>
          <w:sz w:val="18"/>
          <w:szCs w:val="18"/>
          <w:color w:val="auto"/>
        </w:rPr>
        <w:t>. This ASU amends the capitalization criteria for internal-use software and requires entities to make certain disclosure of costs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under this subtopic. This ASU also supersedes existing guidance on web site development costs. The standard is effective for annual reporting periods beginning after December 15, 2027, and interim reporting periods within those annual reporting periods, with early adoption permitted. Prospective, retrospective, or modified transition adoption methods are all permitted under this ASU. We are currently evaluating the impact and method of adoption of this amendment.</w:t>
      </w:r>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In July 2025, the Financial Accounting Standards Board (FASB) issued Accounting Standards Update (ASU) No. 2025-05,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 (Topic 326): Measurement of Credit Losses for Accounts Receivable and Contract Assets”</w:t>
      </w:r>
      <w:r>
        <w:rPr>
          <w:rFonts w:ascii="Arial" w:cs="Arial" w:eastAsia="Arial" w:hAnsi="Arial"/>
          <w:sz w:val="18"/>
          <w:szCs w:val="18"/>
          <w:color w:val="auto"/>
        </w:rPr>
        <w:t>. This ASU provides a</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practical expedient for entities to assume the current conditions as of the balance sheet date do not change for the remaining life of the asset when assessing expected credit losses on current accounts receivable and current contract asset balances arising from transactions accounted for under Topic 606. The standard is effective for annual reporting periods beginning after December 15, 2025, and interim reporting periods within those annual reporting periods, with early adoption permitted. If the practical expedient is elected, it will apply prospectively. We do not expect the adoption of the amendment and the election of the practical expedient to have a material impact on our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2024, the Financial Accounting Standards Board (FASB) issued Accounting Standards Update (ASU) No. 2024-03, "</w:t>
      </w:r>
      <w:r>
        <w:rPr>
          <w:rFonts w:ascii="Arial" w:cs="Arial" w:eastAsia="Arial" w:hAnsi="Arial"/>
          <w:sz w:val="18"/>
          <w:szCs w:val="18"/>
          <w:i w:val="1"/>
          <w:iCs w:val="1"/>
          <w:color w:val="auto"/>
        </w:rPr>
        <w:t>Expense</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Disaggregation Disclosures (Subtopic 220-40): Disaggregation of Income Statement Expenses</w:t>
      </w:r>
      <w:r>
        <w:rPr>
          <w:rFonts w:ascii="Arial" w:cs="Arial" w:eastAsia="Arial" w:hAnsi="Arial"/>
          <w:sz w:val="18"/>
          <w:szCs w:val="18"/>
          <w:color w:val="auto"/>
        </w:rPr>
        <w:t>". This ASU requires a footnote disclosure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 each relevant expense caption on the face of the income statement that includes specific natural expense categories. In addition, the standard requires disclosure of selling expenses on an annual and interim basis. The standard is effective in annual reporting periods beginning after December 15, 2026, and interim periods within annual reporting periods beginning after December 15, 2027. Early adoption is permitted. The standard is required to be adopted prospectively, but retrospective adoption is permitted. The Company is currently evaluating the method of adoption and the impacts of the guidance on our disclosures in future periods.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ASU is intended to improve income tax disclosure requirements, primarily through additional disclosures about a reporting entity’s effective tax rate reconciliations as well as 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 of the guidance on our disclosures in future periods.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Asset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Vacom Systems, LLC</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the beginning of the second quarter, we acquired Vacom Systems, LLC ("Vacom"), a wastewater treatment company that specializes in non-fouling, non-scaling evaporator and crystallizer systems, headquartered in Utah, U.S. The transaction has a total cash consideration of $42 million, of which $37 million was paid at closing. The remaining cash consideration will be paid over the next 12 to 18 months, subject to working capital and other customary adjustments. Additionally, the transaction consideration contained an earn out of 5% royalty on future revenue generated in connection with Vacom's proprietary technologies during the first five years following the acquisition. The earn out has a maximum pay out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line="262" w:lineRule="auto"/>
        <w:rPr>
          <w:sz w:val="20"/>
          <w:szCs w:val="20"/>
          <w:color w:val="auto"/>
        </w:rPr>
      </w:pPr>
      <w:r>
        <w:rPr>
          <w:rFonts w:ascii="Arial" w:cs="Arial" w:eastAsia="Arial" w:hAnsi="Arial"/>
          <w:sz w:val="18"/>
          <w:szCs w:val="18"/>
          <w:color w:val="auto"/>
        </w:rPr>
        <w:t>The Vacom transaction was accounted for as an asset acquisition because substantially all of the fair value of gross assets acquired were concentrated in its developed technology. On the acquisition date, the developed technology recognized in the condensed consolidated balance sheet is $49 million. The developed technology has a useful life of 15 years and will be amortized over its useful life on a straight-line basis within the Water Solutions and Services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Simply Clean Air and Water, Inc.</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January 31, 2025, we acquired Simply Clean Air and Water, Inc. ("Simply Clean"), a water service company that specializes in high-purity water systems for life sciences and pharmaceutical markets, for the net cash acquisition price of $7 million. The company is headquartered in Connecticut, U.S. with 20 employees. Our consolidated financial statements include Simply Clean's results of operations within the Water Solutions and Services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EMX Holdings, Inc.</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23, 2025, we acquired 100% ownership interest in EMX Holdings, Inc. and its subsidiary ("EnviroMix"). EnviroMix is headquartered in South Carolina, U.S., and provides mixing and process control products and services to municipal and industrial customers. This acquisition expands the Company's treatment offerings, and provides synergy opportunities.</w:t>
      </w:r>
    </w:p>
    <w:p>
      <w:pPr>
        <w:spacing w:after="0" w:line="6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total fair value of consideration transferred was $106 million, which was paid in cash on closing date, subject to final closing working capital and other ordinary adjustments.</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operating results of EnviroMix have been included in the Company's results of operations since the acquisition date within the Water Infrastructure segment.</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summarizes the preliminary acquisition date fair value of net tangible and intangible assets acquired, net of liabilities assumed from EnviroMix:</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1"/>
                <w:szCs w:val="21"/>
                <w:color w:val="auto"/>
              </w:rPr>
            </w:pPr>
          </w:p>
        </w:tc>
        <w:tc>
          <w:tcPr>
            <w:tcW w:w="2160" w:type="dxa"/>
            <w:vAlign w:val="bottom"/>
          </w:tcPr>
          <w:p>
            <w:pPr>
              <w:jc w:val="right"/>
              <w:ind w:right="83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52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accrued liabilities</w:t>
            </w:r>
          </w:p>
        </w:tc>
        <w:tc>
          <w:tcPr>
            <w:tcW w:w="520" w:type="dxa"/>
            <w:vAlign w:val="bottom"/>
            <w:tcBorders>
              <w:bottom w:val="single" w:sz="8" w:color="auto"/>
            </w:tcBorders>
            <w:shd w:val="clear" w:color="auto" w:fill="CCEEFF"/>
          </w:tcPr>
          <w:p>
            <w:pPr>
              <w:spacing w:after="0"/>
              <w:rPr>
                <w:sz w:val="23"/>
                <w:szCs w:val="23"/>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r>
    </w:tbl>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preliminary purchase price allocation is subject to further refinement and may require significant adjustments to arrive at the final purchase price allocation. The above fair values of assets acquired and liabilities assumed are preliminary. The fair values of the intangible assets acquired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$76 million of goodwill recognized, which is not deductible for U.S. income tax purposes, is primarily attributable to management know-how and costs and revenue synergies expected from combining the operations of EnviroMix with Xylem.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EnviroMix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8"/>
                <w:szCs w:val="18"/>
                <w:color w:val="auto"/>
              </w:rPr>
            </w:pPr>
          </w:p>
        </w:tc>
        <w:tc>
          <w:tcPr>
            <w:tcW w:w="168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5"/>
              </w:rPr>
              <w:t>Useful Life</w:t>
            </w:r>
            <w:r>
              <w:rPr>
                <w:rFonts w:ascii="Arial" w:cs="Arial" w:eastAsia="Arial" w:hAnsi="Arial"/>
                <w:sz w:val="23"/>
                <w:szCs w:val="23"/>
                <w:b w:val="1"/>
                <w:bCs w:val="1"/>
                <w:color w:val="auto"/>
                <w:w w:val="95"/>
                <w:vertAlign w:val="superscript"/>
              </w:rPr>
              <w:t>(a)</w:t>
            </w:r>
          </w:p>
        </w:tc>
        <w:tc>
          <w:tcPr>
            <w:tcW w:w="480" w:type="dxa"/>
            <w:vAlign w:val="bottom"/>
          </w:tcPr>
          <w:p>
            <w:pPr>
              <w:spacing w:after="0"/>
              <w:rPr>
                <w:sz w:val="18"/>
                <w:szCs w:val="18"/>
                <w:color w:val="auto"/>
              </w:rPr>
            </w:pPr>
          </w:p>
        </w:tc>
        <w:tc>
          <w:tcPr>
            <w:tcW w:w="1580" w:type="dxa"/>
            <w:vAlign w:val="bottom"/>
          </w:tcPr>
          <w:p>
            <w:pPr>
              <w:jc w:val="right"/>
              <w:ind w:right="431"/>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10 years</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Backlog</w:t>
            </w:r>
          </w:p>
        </w:tc>
        <w:tc>
          <w:tcPr>
            <w:tcW w:w="1680" w:type="dxa"/>
            <w:vAlign w:val="bottom"/>
          </w:tcPr>
          <w:p>
            <w:pPr>
              <w:jc w:val="center"/>
              <w:ind w:left="90"/>
              <w:spacing w:after="0"/>
              <w:rPr>
                <w:sz w:val="20"/>
                <w:szCs w:val="20"/>
                <w:color w:val="auto"/>
              </w:rPr>
            </w:pPr>
            <w:r>
              <w:rPr>
                <w:rFonts w:ascii="Arial" w:cs="Arial" w:eastAsia="Arial" w:hAnsi="Arial"/>
                <w:sz w:val="18"/>
                <w:szCs w:val="18"/>
                <w:color w:val="auto"/>
                <w:w w:val="99"/>
              </w:rPr>
              <w:t>8 months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8"/>
              </w:rPr>
              <w:t>5 years</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1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6 years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rPr>
              <w:t>8.1 years</w:t>
            </w: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Useful life approximates weighted average useful life.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preliminary estimates of fair value of EnviroMix’s identifiable intangible assets were determined using the income approach. The fair value measurements were primarily based on significant inputs that are not observable in the market and thus represent a Level 3 measurement of the fair value hierarchy as defined in ASC 820, Fair Value Measurements. Intangible assets consisting of the customer relationships, backlog, trade name, and non-compete agreements were valued using the multi-period excess earnings method (“MEEM”), the relief from royalty (“RFR”) method, or the with and without method, all of which are forms of the income approach.</w:t>
      </w:r>
    </w:p>
    <w:p>
      <w:pPr>
        <w:spacing w:after="0" w:line="71" w:lineRule="exact"/>
        <w:rPr>
          <w:sz w:val="20"/>
          <w:szCs w:val="20"/>
          <w:color w:val="auto"/>
        </w:rPr>
      </w:pPr>
    </w:p>
    <w:p>
      <w:pPr>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and backlog intangible assets were valued using the MEEM. The MEEM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trade name intangible asset was valued using the RFR method. The RFR method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2" w:lineRule="exact"/>
        <w:rPr>
          <w:rFonts w:ascii="Arial" w:cs="Arial" w:eastAsia="Arial" w:hAnsi="Arial"/>
          <w:sz w:val="18"/>
          <w:szCs w:val="18"/>
          <w:color w:val="auto"/>
        </w:rPr>
      </w:pPr>
    </w:p>
    <w:p>
      <w:pPr>
        <w:ind w:left="660" w:right="200" w:hanging="328"/>
        <w:spacing w:after="0" w:line="31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non-compete agreement was valued using the with and without method. The with and without method of valuation is an approach that considers the hypothetical impact to the projected cash flows of the business if the intangible asset was not in place.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Pro forma results of operations have not been included, as the acquisition of EnviroMix was not material to our results of operations for any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Divestiture</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On February 7, 2025, we completed the divestiture of our previously held for sale Evoqua Magneto business, which was part of the Water Infrastructure segment, for a cash selling price of $61 million ($48 million, net of cash transferred). As a result of the sale, we recorded an additional loss of $8 million, reflecting the impact of the final working capital adjustment. The loss is presented on the Condensed Consolidated Income Statement within "Loss on sale of businesses" in the in the nine months ended September 30,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Assets Held For Sale</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quarter ended September 30, 2025, the Company committed to a plan to sell the international metering business, a part of the Measurement and Control Solutions segment, within one year. The international metering business offers a portfolio of water and heat meters for residential, commercial, and industrial applications.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a result, assets and liabilities of the business were reclassified as held for sale as of September 30, 2025, and loss on assets held for sale of $39 million was recorded during the nine months ended September 30, 2025, because the carrying value of the international metering business is greater than its estimated fair value less cost to sell. The loss is presented within "Loss on sale of businesses" on our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2024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Omnium Idrica, S.L.</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26, 2023, we acquired a 25.1% equity interest in Global Omnium Idrica S.L. (“Idrica”), a global company specializing in digital transformation for the water industry, offering innovative services and technological solutions for comprehensive water cycle management for $51 million. In connection with the transaction, the Company was granted the right to purchase a majority interest in Idrica from the joint venture partner at a fixed price. The investment was accounted for as an equity method investment as the Company had significant influence but did not have control over Idrica.</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10, 2024, we acquired an additional 35.9% equity interest in Idrica for $154 million ($150 million, net of cash received) by exercising our call right and now hold an aggregate ownership interest in Idrica of 61.0%. This was accounted for as a step acquisition where the Company has applied the acquisition method of accounting in accordance with ASC 805, Business Combinations. The fair value of our call right was included within the fair value of previously held equity interest and recognized as part of the consideration transferred and the gain on remeasurement of our call right was also included in the gain on remeasurement of previously held equity interest (as discussed below). The Company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spacing w:after="0" w:line="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total fair value of consideration transferred was $637 million, which includes cash paid to Idrica, the remeasurement to fair value of our previously held equity interest, the fair value of the redeemable non-controlling interest, and the settlement of a preexisting contractual relationship between the Company and Idrica. This relationship related to a distribution agreement that the Company had previously recognized in other non-current assets.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r>
              <w:rPr>
                <w:rFonts w:ascii="Arial" w:cs="Arial" w:eastAsia="Arial" w:hAnsi="Arial"/>
                <w:sz w:val="18"/>
                <w:szCs w:val="18"/>
                <w:color w:val="auto"/>
              </w:rPr>
              <w:t>The acquisition-date fair value of the consideration consisted of the following:</w:t>
            </w: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8"/>
        </w:trPr>
        <w:tc>
          <w:tcPr>
            <w:tcW w:w="85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4"/>
                <w:szCs w:val="24"/>
                <w:color w:val="auto"/>
              </w:rPr>
            </w:pPr>
          </w:p>
        </w:tc>
        <w:tc>
          <w:tcPr>
            <w:tcW w:w="24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 of Purchase</w:t>
            </w:r>
          </w:p>
        </w:tc>
      </w:tr>
      <w:tr>
        <w:trPr>
          <w:trHeight w:val="255"/>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Consideration</w:t>
            </w:r>
          </w:p>
        </w:tc>
      </w:tr>
      <w:tr>
        <w:trPr>
          <w:trHeight w:val="25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Fair value of previously held equity interest</w:t>
            </w:r>
          </w:p>
        </w:tc>
        <w:tc>
          <w:tcPr>
            <w:tcW w:w="26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redeemable non-controlling interest</w:t>
            </w:r>
          </w:p>
        </w:tc>
        <w:tc>
          <w:tcPr>
            <w:tcW w:w="260" w:type="dxa"/>
            <w:vAlign w:val="bottom"/>
            <w:shd w:val="clear" w:color="auto" w:fill="CCEEFF"/>
          </w:tcPr>
          <w:p>
            <w:pPr>
              <w:spacing w:after="0"/>
              <w:rPr>
                <w:sz w:val="23"/>
                <w:szCs w:val="23"/>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preexisting relationship</w:t>
            </w: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5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remeasured its previously held 25.1% equity interest in Idrica immediately prior to the completion of the acquisition to its estimated fair value of approximately $ 193 million. This fair value was derived by using the discounted cash flow method of the income approach, which considers future cash flows that are discounted to present value at a rate of return commensurate with the business and financial risks associated with the expected achievement of the projected cash flows. As a result of the remeasurement of its previously held equity interest, the Company recognized a gain of approximately $152 million in the fourth quarter of 2024. The gain reflects the excess of the estimated fair value of $193 million for the Company’s previously held 25.1% equity interest over its carrying value of approximately $41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2" w:name="page13"/>
    <w:bookmarkEnd w:id="12"/>
    <w:p>
      <w:pPr>
        <w:ind w:right="460"/>
        <w:spacing w:after="0" w:line="287" w:lineRule="auto"/>
        <w:rPr>
          <w:sz w:val="20"/>
          <w:szCs w:val="20"/>
          <w:color w:val="auto"/>
        </w:rPr>
      </w:pPr>
      <w:r>
        <w:rPr>
          <w:rFonts w:ascii="Arial" w:cs="Arial" w:eastAsia="Arial" w:hAnsi="Arial"/>
          <w:sz w:val="18"/>
          <w:szCs w:val="18"/>
          <w:color w:val="auto"/>
        </w:rPr>
        <w:t>The following table summarizes the preliminary acquisition date fair value of net tangible and intangible assets acquired, net of liabilities assumed from Idrica: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Fair Value</w:t>
            </w:r>
          </w:p>
        </w:tc>
      </w:tr>
      <w:tr>
        <w:trPr>
          <w:trHeight w:val="251"/>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borrowings and current maturities of long-term debt</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accrued liabilities</w:t>
            </w:r>
          </w:p>
        </w:tc>
        <w:tc>
          <w:tcPr>
            <w:tcW w:w="5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preliminary purchase price allocation is subject to further refinement and may require significant adjustments to arrive at the final purchase price allocation. The above fair values of assets acquired and liabilities assumed are preliminary. The fair values of the intangible assets acquired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revenue and net loss attributable to the Idrica acquisition for the year ended December 31, 2024 and nine months ended September 30, 2025 were not material. The $522 million of goodwill recognized, which is not deductible for U.S. income tax purposes, is primarily attributable to costs and revenue synergies and economies of scale expected from combining the operations of Idrica with Xylem.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Idrica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8"/>
                <w:szCs w:val="18"/>
                <w:color w:val="auto"/>
              </w:rPr>
            </w:pPr>
          </w:p>
        </w:tc>
        <w:tc>
          <w:tcPr>
            <w:tcW w:w="1640" w:type="dxa"/>
            <w:vAlign w:val="bottom"/>
          </w:tcPr>
          <w:p>
            <w:pPr>
              <w:jc w:val="center"/>
              <w:ind w:left="90"/>
              <w:spacing w:after="0"/>
              <w:rPr>
                <w:sz w:val="20"/>
                <w:szCs w:val="20"/>
                <w:color w:val="auto"/>
              </w:rPr>
            </w:pPr>
            <w:r>
              <w:rPr>
                <w:rFonts w:ascii="Arial" w:cs="Arial" w:eastAsia="Arial" w:hAnsi="Arial"/>
                <w:sz w:val="18"/>
                <w:szCs w:val="18"/>
                <w:color w:val="auto"/>
              </w:rPr>
              <w:t>Useful Life</w:t>
            </w:r>
          </w:p>
        </w:tc>
        <w:tc>
          <w:tcPr>
            <w:tcW w:w="520" w:type="dxa"/>
            <w:vAlign w:val="bottom"/>
          </w:tcPr>
          <w:p>
            <w:pPr>
              <w:spacing w:after="0"/>
              <w:rPr>
                <w:sz w:val="18"/>
                <w:szCs w:val="18"/>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Fair Value</w:t>
            </w:r>
          </w:p>
        </w:tc>
      </w:tr>
      <w:tr>
        <w:trPr>
          <w:trHeight w:val="240"/>
        </w:trPr>
        <w:tc>
          <w:tcPr>
            <w:tcW w:w="7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rPr>
              <w:t>(in years)(a)</w:t>
            </w:r>
          </w:p>
        </w:tc>
        <w:tc>
          <w:tcPr>
            <w:tcW w:w="52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(in millions)</w:t>
            </w: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24</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Backlog</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w w:val="99"/>
              </w:rPr>
              <w:t>9</w:t>
            </w:r>
          </w:p>
        </w:tc>
        <w:tc>
          <w:tcPr>
            <w:tcW w:w="5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7</w:t>
            </w:r>
          </w:p>
        </w:tc>
        <w:tc>
          <w:tcPr>
            <w:tcW w:w="5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640" w:type="dxa"/>
            <w:vAlign w:val="bottom"/>
          </w:tcPr>
          <w:p>
            <w:pPr>
              <w:jc w:val="center"/>
              <w:ind w:left="150"/>
              <w:spacing w:after="0"/>
              <w:rPr>
                <w:sz w:val="20"/>
                <w:szCs w:val="20"/>
                <w:color w:val="auto"/>
              </w:rPr>
            </w:pPr>
            <w:r>
              <w:rPr>
                <w:rFonts w:ascii="Arial" w:cs="Arial" w:eastAsia="Arial" w:hAnsi="Arial"/>
                <w:sz w:val="18"/>
                <w:szCs w:val="18"/>
                <w:color w:val="auto"/>
                <w:w w:val="99"/>
              </w:rPr>
              <w:t>10</w:t>
            </w:r>
          </w:p>
        </w:tc>
        <w:tc>
          <w:tcPr>
            <w:tcW w:w="5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Under Construction</w:t>
            </w:r>
          </w:p>
        </w:tc>
        <w:tc>
          <w:tcPr>
            <w:tcW w:w="16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10</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r>
      <w:tr>
        <w:trPr>
          <w:trHeight w:val="25"/>
        </w:trPr>
        <w:tc>
          <w:tcPr>
            <w:tcW w:w="75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Useful life approximates weighted average useful life.</w:t>
      </w:r>
    </w:p>
    <w:p>
      <w:pPr>
        <w:spacing w:after="0" w:line="117" w:lineRule="exact"/>
        <w:rPr>
          <w:sz w:val="20"/>
          <w:szCs w:val="20"/>
          <w:color w:val="auto"/>
        </w:rPr>
      </w:pPr>
    </w:p>
    <w:p>
      <w:pPr>
        <w:ind w:left="660" w:right="16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preliminary estimates of fair value of Idrica’s identifiable intangible assets were determined using a combination of the income and cost approaches. The fair value measurements were primarily based on significant inputs that are not observable in the market and thus represent a Level 3 measurement of the fair value hierarchy as defined in ASC 820, Fair Value Measurements. Intangible assets consisting of the customer relationships, backlog, and trade name were valued using the multi-period excess earnings method (“MEEM”) or the relief from royalty (“RFR”) method, both of which are forms of the income approach. The intangible asset related to Idrica’s developed technology was valued using the replacement cost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 and backlog intangible assets were valued using the MEEM. The MEEM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trade name intangible asset was valued using the RFR method. The RFR method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2"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developed technology intangible asset was valued using the replacement cost approach. The replacement cost approach is a valuation method that relies on estimating the replacement costs of assets based on the principle that an asset would not be purchased for a price higher than the cost to replace it with an asset of comparable utility.</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Pro forma results of operations have not been included, as the acquisition of Idrica was not material to our results of operations for any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Heusser</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December 5, 2024, we acquired all issued and outstanding shares of Heusser Water Solutions AG ("Heusser"), a leading distributor and provider of advanced pumping systems and treatment solutions in Switzerland, for $40 million ($35 million, net of cash received). Heusser, a privately-owned company headquartered in Cham, Switzerland, has approximately 90 employees. Our consolidated financial statements include Heusser's results of operations prospectively from December 5, 2024 primarily within the Water Infrastructure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7"/>
                <w:szCs w:val="17"/>
                <w:color w:val="auto"/>
              </w:rPr>
            </w:pPr>
          </w:p>
        </w:tc>
        <w:tc>
          <w:tcPr>
            <w:tcW w:w="266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1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12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3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70"/>
        </w:trPr>
        <w:tc>
          <w:tcPr>
            <w:tcW w:w="5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Building Solutions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70"/>
        </w:trPr>
        <w:tc>
          <w:tcPr>
            <w:tcW w:w="5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Smart Metering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Analytics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70"/>
        </w:trPr>
        <w:tc>
          <w:tcPr>
            <w:tcW w:w="5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Capital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30"/>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70"/>
        </w:trPr>
        <w:tc>
          <w:tcPr>
            <w:tcW w:w="5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755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1,185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5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740" w:hanging="328"/>
        <w:spacing w:after="0" w:line="286"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Contract Balances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353</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(343)</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September 30, 2024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2025</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322</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(227)</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receivable balances, which are disclosed on the Condensed Consolidated Balance Sheets</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September 30, 2025, the aggregate amount of the transaction price allocated to performance obligations that are unsatisfied or partially unsatisfied for contracts with performance obligations, amount to $1,980 million.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and nine months ended September 30, 2025, we incurred restructuring charges of $ 23 million and $62 million, respectively. The incurred charges primarily related to actions taken to further streamline our organization through simplification efforts in order to strengthen our competitive positioning and ability to better serve our customers.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During the three and nine months ended September 30, 2024, we incurred restructuring costs of $4 million and $36 million, respectively. The charges incurred primarily related to strengthening our competitive positioning and the integration of Evoqua.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2024</w:t>
            </w: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restructuring accruals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52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52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7"/>
        </w:trPr>
        <w:tc>
          <w:tcPr>
            <w:tcW w:w="552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6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displays a roll-forward of the restructuring accruals, presented on our Condensed Consolidated Balance Sheets within "Accrued and other current liabilities" and "Other non-current accrued liabilities", for the nine months ended September 30,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2024</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 expense included within AOCL</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September 30</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4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40" w:type="dxa"/>
            <w:vAlign w:val="bottom"/>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left="340" w:right="180" w:hanging="332"/>
        <w:spacing w:after="0" w:line="304"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presents expected restructuring spend in 2025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Water Solutions</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Services</w:t>
            </w: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Q2 2025</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Q3 2025</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56"/>
        </w:trPr>
        <w:tc>
          <w:tcPr>
            <w:tcW w:w="26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in 2024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Q1 2025</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Q3 2025</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actions commenced in 2025 consist primarily of severance charges. The actions are expected to continue through the end of 2026.</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During the third quarter of 2025, we recorded $3 million in fixed asset impairment charges due to restructuring actions within our Water Infrastructure segment.</w:t>
      </w:r>
    </w:p>
    <w:p>
      <w:pPr>
        <w:spacing w:after="0" w:line="4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During the second quarter of 2025, we recognized $1 million in fixed asset impairment charges due to restructuring actions within our Measurement and Control Solutions segment.</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actions commenced in 2024 consist primarily of severance and asset impairment charges. The actions are expected to continue through the end of 2025.</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During the third quarter of 2024, we recognized $3 million in fixed asset impairment charges due to restructuring actions within our Water Solutions and Services segment.</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Through the second quarter of 2024, we recognized $16 million in impairment charges primarily related to customer relationships and trademarks due to restructuring actions within our Water Solutions and Services segment. Refer to Note 9, "Goodwill and Other Intangible Assets," for additional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During the second quarter of 2025, we recognized $4 million of impairment charges for internally developed software and software assets within our Measurement and Control Solutions segment and Corporate.</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first quarter of 2025, we recognized $4 million of impairment charges for internally developed software within our Water Solutions and Services and Water Infrastructure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recognized $1 million of impairment charges for internally developed software within Corporate.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income tax provision for the three months ended September 30, 2025 was $71 million resulting in an effective tax rate of 23.9%, compared to a $52 million expense resulting in an effective tax rate of 19.3% for the same period in 2024. The income tax provision for the nine months ended September 30, 2025 was $196 million resulting in an effective tax rate of 24.1%, compared to a $148 million expense resulting in an effective tax rate of 20.7% for the same period in 2024. The effective tax rate for the three and nine month periods ended September 30, 2025 was higher than the U.S. federal statutory rate primarily due to the mix of earnings across different jurisdictions.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impacts of the OBBBA are reflected in our results for the quarter ended September 30, 2025, and there was no material impact to our income tax expense. As of the quarter ended September 30, 2025, we expect certain provisions of the OBBBA will change the timing of cash tax payments in the current year and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$89 million),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June 2024, the STA filed a notice of appeal of this decision to the Supreme Administrative Court, which declined to hear the case and remanded one issue back to the County Administrative Court for further consideration.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September 30, 2025, we do not have any unrecognized tax benefits related to this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r>
      <w:tr>
        <w:trPr>
          <w:trHeight w:val="204"/>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w w:val="96"/>
              </w:rPr>
              <w:t>2024</w:t>
            </w:r>
          </w:p>
        </w:tc>
      </w:tr>
      <w:tr>
        <w:trPr>
          <w:trHeight w:val="224"/>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Xylem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10"/>
        </w:trPr>
        <w:tc>
          <w:tcPr>
            <w:tcW w:w="588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243,436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243,297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242,425</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243,454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242,932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242,453</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244,091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243,910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243,437</w:t>
            </w:r>
          </w:p>
        </w:tc>
      </w:tr>
      <w:tr>
        <w:trPr>
          <w:trHeight w:val="223"/>
        </w:trPr>
        <w:tc>
          <w:tcPr>
            <w:tcW w:w="588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0.89</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bl>
    <w:p>
      <w:pPr>
        <w:spacing w:after="0" w:line="242" w:lineRule="exact"/>
        <w:rPr>
          <w:sz w:val="20"/>
          <w:szCs w:val="20"/>
          <w:color w:val="auto"/>
        </w:rPr>
      </w:pPr>
    </w:p>
    <w:p>
      <w:pPr>
        <w:ind w:left="340" w:right="180" w:hanging="332"/>
        <w:spacing w:after="0" w:line="286"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stockholders are considered participating securities for purposes of computing earnings per share.</w:t>
      </w:r>
    </w:p>
    <w:p>
      <w:pPr>
        <w:spacing w:after="0" w:line="47" w:lineRule="exact"/>
        <w:rPr>
          <w:rFonts w:ascii="Arial" w:cs="Arial" w:eastAsia="Arial" w:hAnsi="Arial"/>
          <w:sz w:val="16"/>
          <w:szCs w:val="16"/>
          <w:color w:val="auto"/>
        </w:rPr>
      </w:pPr>
    </w:p>
    <w:p>
      <w:pPr>
        <w:ind w:left="340" w:right="40" w:hanging="332"/>
        <w:spacing w:after="0" w:line="262"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7"/>
                <w:szCs w:val="17"/>
                <w:color w:val="auto"/>
              </w:rPr>
            </w:pPr>
          </w:p>
        </w:tc>
        <w:tc>
          <w:tcPr>
            <w:tcW w:w="286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ind w:right="455"/>
              <w:spacing w:after="0"/>
              <w:rPr>
                <w:sz w:val="20"/>
                <w:szCs w:val="20"/>
                <w:color w:val="auto"/>
              </w:rPr>
            </w:pPr>
            <w:r>
              <w:rPr>
                <w:rFonts w:ascii="Arial" w:cs="Arial" w:eastAsia="Arial" w:hAnsi="Arial"/>
                <w:sz w:val="14"/>
                <w:szCs w:val="14"/>
                <w:color w:val="auto"/>
              </w:rPr>
              <w:t>2024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415"/>
              <w:spacing w:after="0"/>
              <w:rPr>
                <w:sz w:val="20"/>
                <w:szCs w:val="20"/>
                <w:color w:val="auto"/>
              </w:rPr>
            </w:pPr>
            <w:r>
              <w:rPr>
                <w:rFonts w:ascii="Arial" w:cs="Arial" w:eastAsia="Arial" w:hAnsi="Arial"/>
                <w:sz w:val="14"/>
                <w:szCs w:val="14"/>
                <w:color w:val="auto"/>
              </w:rPr>
              <w:t>2024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Performance share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1"/>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8. Inventories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34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3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5340" w:type="dxa"/>
            <w:vAlign w:val="bottom"/>
            <w:tcBorders>
              <w:bottom w:val="single" w:sz="8" w:color="CCEEFF"/>
            </w:tcBorders>
            <w:gridSpan w:val="2"/>
            <w:vMerge w:val="continue"/>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5340" w:type="dxa"/>
            <w:vAlign w:val="bottom"/>
            <w:gridSpan w:val="2"/>
          </w:tcPr>
          <w:p>
            <w:pPr>
              <w:ind w:left="360"/>
              <w:spacing w:after="0"/>
              <w:rPr>
                <w:sz w:val="20"/>
                <w:szCs w:val="20"/>
                <w:color w:val="auto"/>
              </w:rPr>
            </w:pPr>
            <w:r>
              <w:rPr>
                <w:rFonts w:ascii="Arial" w:cs="Arial" w:eastAsia="Arial" w:hAnsi="Arial"/>
                <w:sz w:val="18"/>
                <w:szCs w:val="18"/>
                <w:color w:val="auto"/>
              </w:rPr>
              <w:t>Total inventories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1,035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nine months ended September 30, 2025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and</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Water Solutions</w:t>
            </w:r>
          </w:p>
        </w:tc>
        <w:tc>
          <w:tcPr>
            <w:tcW w:w="340" w:type="dxa"/>
            <w:vAlign w:val="bottom"/>
          </w:tcPr>
          <w:p>
            <w:pPr>
              <w:spacing w:after="0"/>
              <w:rPr>
                <w:sz w:val="14"/>
                <w:szCs w:val="14"/>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 Solutions</w:t>
            </w:r>
          </w:p>
        </w:tc>
        <w:tc>
          <w:tcPr>
            <w:tcW w:w="140" w:type="dxa"/>
            <w:vAlign w:val="bottom"/>
          </w:tcPr>
          <w:p>
            <w:pPr>
              <w:spacing w:after="0"/>
              <w:rPr>
                <w:sz w:val="16"/>
                <w:szCs w:val="16"/>
                <w:color w:val="auto"/>
              </w:rPr>
            </w:pPr>
          </w:p>
        </w:tc>
        <w:tc>
          <w:tcPr>
            <w:tcW w:w="1100" w:type="dxa"/>
            <w:vAlign w:val="bottom"/>
          </w:tcPr>
          <w:p>
            <w:pPr>
              <w:jc w:val="right"/>
              <w:ind w:right="93"/>
              <w:spacing w:after="0"/>
              <w:rPr>
                <w:sz w:val="20"/>
                <w:szCs w:val="20"/>
                <w:color w:val="auto"/>
              </w:rPr>
            </w:pPr>
            <w:r>
              <w:rPr>
                <w:rFonts w:ascii="Arial" w:cs="Arial" w:eastAsia="Arial" w:hAnsi="Arial"/>
                <w:sz w:val="14"/>
                <w:szCs w:val="14"/>
                <w:b w:val="1"/>
                <w:bCs w:val="1"/>
                <w:color w:val="auto"/>
              </w:rPr>
              <w:t>and Services</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as of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2,835</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7,980</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i w:val="1"/>
                <w:iCs w:val="1"/>
                <w:color w:val="auto"/>
              </w:rPr>
              <w:t>Activity in 2025</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Reclassification to assets held for sale (a)</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Arial" w:cs="Arial" w:eastAsia="Arial" w:hAnsi="Arial"/>
                <w:sz w:val="18"/>
                <w:szCs w:val="18"/>
                <w:b w:val="1"/>
                <w:bCs w:val="1"/>
                <w:color w:val="auto"/>
              </w:rPr>
              <w:t>Balance as of September 30,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2,856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8,280</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60" w:hanging="332"/>
        <w:spacing w:after="0" w:line="268"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Relates to the reclassification of goodwill allocated for the International Metering business divestiture. Refer to Note 3 Acquisitions and Divestitures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2024</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040" w:type="dxa"/>
            <w:vAlign w:val="bottom"/>
          </w:tcPr>
          <w:p>
            <w:pPr>
              <w:jc w:val="right"/>
              <w:ind w:right="254"/>
              <w:spacing w:after="0" w:line="14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ind w:left="340"/>
              <w:spacing w:after="0" w:line="143"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3"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Intangibles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6"/>
        </w:trPr>
        <w:tc>
          <w:tcPr>
            <w:tcW w:w="30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and distributor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2,190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1,514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Amortization expense related to finite-lived intangible assets was $ 78 million and $231 million for the three and nine-month periods ended September 30, 2025, respectively. Amortization expense related to finite-lived intangible assets was $73 million and $229 million for the three and nine-month periods ended September 30, 2024, respectively.</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second quarter of 2025, we recognized a $2 million impairment charge for internally developed software within our Measurement and Control Solutions segment and a $2 million impairment charge for software within Corporate.</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During the first quarter of 2025, we recognized $1 million and $3 million impairment charges for internally developed software within our Water Infrastructure and Water Solutions and Services segments, respectively.</w:t>
      </w:r>
    </w:p>
    <w:p>
      <w:pPr>
        <w:spacing w:after="0" w:line="4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During the second quarter of 2024, we recognized a $13 million impairment charge primarily related to customer relationships and trademarks due to restructuring actions within our Water Solutions and Services segment.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$193 million and $657 million as of September 30, 2025 and December 31, 2024, respectively. As of September 30, 2025,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$74 million, $53 million, $29 million, $13 million, $11 million, $7 million, and</w:t>
      </w:r>
    </w:p>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 million, respectively. As of December 31, 2024,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$258 million, $169 million, $90 million, $42 million, $40 million, $34 million, and $24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$3,160 million and $2,181 million as of September 30, 2025 and December 31, 2024, respectively.</w:t>
      </w:r>
    </w:p>
    <w:p>
      <w:pPr>
        <w:spacing w:after="0" w:line="6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May 2025, we completed a transaction to effectively amend and extend the cross-currency swaps maturing in July 2031. The liability position of the existing cross-currency swaps was blended into a new cross-currency swap agreement with a notional amount of $1,200 million maturing in January 2032.</w:t>
      </w:r>
    </w:p>
    <w:p>
      <w:pPr>
        <w:spacing w:after="0" w:line="63"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In February 2025, we completed a transaction to effectively amend and extend the cross-currency swaps maturing in January 2028. The liability position of the existing cross-currency swaps was blended into a new cross-currency swap agreement with a notional amount of $509 million maturing in July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right="120"/>
        <w:spacing w:after="0" w:line="268" w:lineRule="auto"/>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 Statements of Comprehensive Income. Items in the table below reflect changes in "Other comprehensive income (loss)" ("OCI/L") within the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0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0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September 30,</w:t>
            </w:r>
          </w:p>
        </w:tc>
      </w:tr>
      <w:tr>
        <w:trPr>
          <w:trHeight w:val="19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color w:val="auto"/>
              </w:rPr>
              <w:t>2024</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recognized in OCI/L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Amount of (gain) loss reclassified from OCI/L into Revenue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reclassified from OCI/L into Cost of revenue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Net Investment Hedges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recognized in OCI/L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6400" w:type="dxa"/>
            <w:vAlign w:val="bottom"/>
          </w:tcPr>
          <w:p>
            <w:pPr>
              <w:ind w:left="240"/>
              <w:spacing w:after="0"/>
              <w:rPr>
                <w:sz w:val="20"/>
                <w:szCs w:val="20"/>
                <w:color w:val="auto"/>
              </w:rPr>
            </w:pPr>
            <w:r>
              <w:rPr>
                <w:rFonts w:ascii="Arial" w:cs="Arial" w:eastAsia="Arial" w:hAnsi="Arial"/>
                <w:sz w:val="18"/>
                <w:szCs w:val="18"/>
                <w:color w:val="auto"/>
              </w:rPr>
              <w:t>Amount of income recognized in Interest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$13 million of net gains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no gains or losses on the net investment hedges are expected to be reclassified into earnings over their duration.</w:t>
      </w:r>
    </w:p>
    <w:p>
      <w:pPr>
        <w:spacing w:after="0" w:line="117"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Cash Flow Hedges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Cash Flow Hedges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11.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 to 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$255 million and $250 million as of September 30, 2025 and December 31, 2024, respectively.</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the nine months ended September 30,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b w:val="1"/>
                <w:bCs w:val="1"/>
                <w:color w:val="auto"/>
              </w:rPr>
              <w:t>2025</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r>
      <w:tr>
        <w:trPr>
          <w:trHeight w:val="256"/>
        </w:trPr>
        <w:tc>
          <w:tcPr>
            <w:tcW w:w="836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70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782</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70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w:t>
            </w:r>
          </w:p>
        </w:tc>
      </w:tr>
      <w:tr>
        <w:trPr>
          <w:trHeight w:val="256"/>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7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September 30</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Financing due 2025 to 2032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0" w:hanging="332"/>
        <w:spacing w:after="0" w:line="260"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$495 million and $488 million as of September 30, 2025 and December 31, 2024, respectively. The fair value of our Senior Notes due 2028 was $477 million and $459 million as of September 30, 2025 and December 31, 2024, respectively. The fair value of our Senior Notes due 2031 was $449 million and $427 million as of September 30, 2025 and December 31, 2024, respectively. The fair value of our Senior Notes due 2046 was $338 million and $327 million as of September 30, 2025 and December 31, 2024, respectively.</w:t>
      </w:r>
    </w:p>
    <w:p>
      <w:pPr>
        <w:spacing w:after="0" w:line="83"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September 30, 2025,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September 30, 2025, we are in compliance with all covenants for the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September 30, 2025, the 2023 Credit Facility was undrawn, and we are in compliance with all revolver covenants. The 2023 Credit Facility has availability of $1 billion, comprised of the $1 billion aggregate principal as of September 30,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has secured financing agreements that require providing a security interest in specified equipment and, in some cases, the underlying contract and related receivables. As of September 30, 2025, the gross and net amounts of those assets are included on the Consolidated Balance Sheets as follows:</w:t>
      </w:r>
    </w:p>
    <w:p>
      <w:pPr>
        <w:spacing w:after="0" w:line="103"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Net</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As of September 30, 2025 the future maturities of our debt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Maturity</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From October 1, 2025 through December 31, 2025</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Maturities</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 and unamortized discount (a)</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300" w:hanging="332"/>
        <w:spacing w:after="0" w:line="286"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September 30, 2025 and December 31, 2024, none of the Company's $600 million U.S. Dollar commercial paper program was outstanding,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$587 million) which may be denominated in a variety of currencies. The maximum issuing balance may be increased in accordance with the Dealer Agreement. As of September 30, 2025 and December 31, 2024,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4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2024</w:t>
            </w:r>
          </w:p>
        </w:tc>
      </w:tr>
      <w:tr>
        <w:trPr>
          <w:trHeight w:val="212"/>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(loss)" of less than $1 million, for each of the three and nine months ended September 30, 2025 and 2024, respectively.</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contributed $18 million and $16 million to our defined benefit plans for the nine months ended September 30, 2025 and 2024, respectively. Additional contributions ranging between approximately $2 million and $6 million are expected to be made during the remainder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(Loss) Income</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10,647</w:t>
            </w: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Xylem</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($0.40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attributable to non-</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10,822</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Xylem</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($0.40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Distribution to minority</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attributable to non-</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11,081</w:t>
            </w: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Xylem</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($0.40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Net income attributable to non-</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controlling interests</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8,735</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3,469</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(767)</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11,219</w:t>
            </w:r>
          </w:p>
        </w:tc>
        <w:tc>
          <w:tcPr>
            <w:tcW w:w="0" w:type="dxa"/>
            <w:vAlign w:val="bottom"/>
          </w:tcPr>
          <w:p>
            <w:pPr>
              <w:spacing w:after="0"/>
              <w:rPr>
                <w:sz w:val="1"/>
                <w:szCs w:val="1"/>
                <w:color w:val="auto"/>
              </w:rPr>
            </w:pPr>
          </w:p>
        </w:tc>
      </w:tr>
      <w:tr>
        <w:trPr>
          <w:trHeight w:val="221"/>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080" w:type="dxa"/>
            <w:vAlign w:val="bottom"/>
            <w:gridSpan w:val="3"/>
          </w:tcPr>
          <w:p>
            <w:pPr>
              <w:ind w:left="1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Retained</w:t>
            </w:r>
          </w:p>
        </w:tc>
        <w:tc>
          <w:tcPr>
            <w:tcW w:w="17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Non-</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80" w:type="dxa"/>
            <w:vAlign w:val="bottom"/>
            <w:gridSpan w:val="3"/>
          </w:tcPr>
          <w:p>
            <w:pPr>
              <w:ind w:left="100"/>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Stock</w:t>
            </w:r>
          </w:p>
        </w:tc>
        <w:tc>
          <w:tcPr>
            <w:tcW w:w="108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176"/>
        </w:trPr>
        <w:tc>
          <w:tcPr>
            <w:tcW w:w="2540" w:type="dxa"/>
            <w:vAlign w:val="bottom"/>
          </w:tcPr>
          <w:p>
            <w:pPr>
              <w:ind w:left="140"/>
              <w:spacing w:after="0" w:line="176"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2540" w:type="dxa"/>
            <w:vAlign w:val="bottom"/>
          </w:tcPr>
          <w:p>
            <w:pPr>
              <w:ind w:left="140"/>
              <w:spacing w:after="0"/>
              <w:rPr>
                <w:sz w:val="20"/>
                <w:szCs w:val="20"/>
                <w:color w:val="auto"/>
              </w:rPr>
            </w:pPr>
            <w:r>
              <w:rPr>
                <w:rFonts w:ascii="Arial" w:cs="Arial" w:eastAsia="Arial" w:hAnsi="Arial"/>
                <w:sz w:val="18"/>
                <w:szCs w:val="18"/>
                <w:color w:val="auto"/>
              </w:rPr>
              <w:t>Xylem</w:t>
            </w: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176"/>
        </w:trPr>
        <w:tc>
          <w:tcPr>
            <w:tcW w:w="2540" w:type="dxa"/>
            <w:vAlign w:val="bottom"/>
          </w:tcPr>
          <w:p>
            <w:pPr>
              <w:ind w:left="140"/>
              <w:spacing w:after="0" w:line="176"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2540" w:type="dxa"/>
            <w:vAlign w:val="bottom"/>
          </w:tcPr>
          <w:p>
            <w:pPr>
              <w:ind w:left="140"/>
              <w:spacing w:after="0"/>
              <w:rPr>
                <w:sz w:val="20"/>
                <w:szCs w:val="20"/>
                <w:color w:val="auto"/>
              </w:rPr>
            </w:pPr>
            <w:r>
              <w:rPr>
                <w:rFonts w:ascii="Arial" w:cs="Arial" w:eastAsia="Arial" w:hAnsi="Arial"/>
                <w:sz w:val="18"/>
                <w:szCs w:val="18"/>
                <w:color w:val="auto"/>
              </w:rPr>
              <w:t>Xylem</w:t>
            </w: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176"/>
        </w:trPr>
        <w:tc>
          <w:tcPr>
            <w:tcW w:w="2540" w:type="dxa"/>
            <w:vAlign w:val="bottom"/>
          </w:tcPr>
          <w:p>
            <w:pPr>
              <w:ind w:left="140"/>
              <w:spacing w:after="0" w:line="176" w:lineRule="exact"/>
              <w:rPr>
                <w:sz w:val="20"/>
                <w:szCs w:val="20"/>
                <w:color w:val="auto"/>
              </w:rPr>
            </w:pPr>
            <w:r>
              <w:rPr>
                <w:rFonts w:ascii="Arial" w:cs="Arial" w:eastAsia="Arial" w:hAnsi="Arial"/>
                <w:sz w:val="18"/>
                <w:szCs w:val="18"/>
                <w:color w:val="auto"/>
              </w:rPr>
              <w:t>Net income attributable to</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2540" w:type="dxa"/>
            <w:vAlign w:val="bottom"/>
          </w:tcPr>
          <w:p>
            <w:pPr>
              <w:ind w:left="140"/>
              <w:spacing w:after="0"/>
              <w:rPr>
                <w:sz w:val="20"/>
                <w:szCs w:val="20"/>
                <w:color w:val="auto"/>
              </w:rPr>
            </w:pPr>
            <w:r>
              <w:rPr>
                <w:rFonts w:ascii="Arial" w:cs="Arial" w:eastAsia="Arial" w:hAnsi="Arial"/>
                <w:sz w:val="18"/>
                <w:szCs w:val="18"/>
                <w:color w:val="auto"/>
              </w:rPr>
              <w:t>Xylem</w:t>
            </w: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Distribution to minority</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shareholders</w:t>
            </w: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Acquisition activity</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5"/>
        </w:trPr>
        <w:tc>
          <w:tcPr>
            <w:tcW w:w="2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Share-based compensation expense was $12 million and $37 million during the three and nine months ended September 30, 2025, respectively, and $12 million and $43 million during the three and nine months ended September 30, 2024, respectively. The unrecognized compensation expense related to our stock options, restricted stock units and performance share units was $10 million, $ 40 million and $18 million, respectively, at September 30, 2025 and is expected to be recognized over a weighted average period of 2.0, 1.9 and 1.9 years, respectively. The amount of cash received from the exercise of stock options was $11 million and $66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As of September 30, 2025, there were 4.7 million shares of common stock available for future awards.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nine months ended September 30, 2025</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September 30, 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nine months ended September 30, 2025 was $11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2025 grants:</w:t>
      </w: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9"/>
                <w:szCs w:val="19"/>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36.94</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The following is a summary of restricted stock unit activity for the nine months ended September 30, 2025</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130.14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ROIC and Adjusted EBITDA Performance Share Unit Grants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is a summary of our return on invested capital ("ROIC") and adjusted EBITDA grants for the nine months ended September 30, 2025. The fair value of the ROIC and adjusted EBITDA performance share units is determined using the closing share price on the date of the grant:</w:t>
      </w:r>
    </w:p>
    <w:tbl>
      <w:tblPr>
        <w:tblLayout w:type="fixed"/>
        <w:tblInd w:w="0" w:type="dxa"/>
        <w:tblCellMar>
          <w:top w:w="0" w:type="dxa"/>
          <w:left w:w="0" w:type="dxa"/>
          <w:bottom w:w="0" w:type="dxa"/>
          <w:right w:w="0" w:type="dxa"/>
        </w:tblCellMar>
      </w:tblPr>
      <w:tr>
        <w:trPr>
          <w:trHeight w:val="153"/>
        </w:trPr>
        <w:tc>
          <w:tcPr>
            <w:tcW w:w="7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2025</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113.89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8"/>
        <w:spacing w:after="0" w:line="286"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nine months ended September 30, 2025:</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180.70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150.24</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September 30, 2025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157.41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8"/>
        <w:spacing w:after="0" w:line="286"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 decrease in the number of original TSR performance share units awarded based on the final market condition achievement at the end of the performance period of such awards.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2025 grants: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7"/>
        </w:trPr>
        <w:tc>
          <w:tcPr>
            <w:tcW w:w="608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72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is a summary of our Revenue performance share unit grants for the nine months ended September 30, 2025 The fair value of the revenue performance share unit awards is determined using the closing price of our common stock on date of grant: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2025</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113.89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8"/>
        <w:spacing w:after="0" w:line="286"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revenue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EPS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earnings per share ("EPS") performance share unit grants for the nine months ended September 30,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EPS performance share unit awards is determined using the closing price of our common stock on date of grant: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3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September 30, 2025</w:t>
            </w: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performance share units were each awarded at a target of 100% with actual payout for each type of grant contingent upon the achievement of performance targets as follows:</w:t>
      </w:r>
    </w:p>
    <w:p>
      <w:pPr>
        <w:spacing w:after="0" w:line="4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ROIC performance share units — a pre-set, three-year adjusted ROIC performance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EBITDA performance share units — a third-year adjusted EBITDA performance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TSR performance share units — a relative TSR performance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performance share units — a pre-set third year revenue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EPS performance share units — a cumulative three-year EPS performance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16. Capital Stock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and nine months ended September 30, 2025 the Company repurchased less than 0.1 million shares of common stock for $1 million and 0.1 million shares of common stock for $14 million, respectively. For the three and nine months ended September 30, 2024 the Company repurchased less than 0.1 million shares of common stock for approximately $1 million and 0.2 million shares of common stock for $19 million, respectively. Repurchases may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and nine months ended September 30, 2025 and September 30, 2024. There are up to $182 million in shares that may still be purchased under this plan as of September 30, 2025.</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Aside from the aforementioned repurchase programs, we repurchased less than 0.1 million shares and 0.1 million shares for $1 million and $14 million for the three and nine months ended September 30, 2025, and less than 0.1 million shares and 0.2 million shares for $1 million and $19 million for the three and nine months ended September 30, 2024, respectively, in relation to settlement of employee tax withholding obligations due as a result of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table provides the components of accumulated other comprehensive loss ("AOCL") for the nine months ended September 30, 2025:</w:t>
      </w:r>
    </w:p>
    <w:tbl>
      <w:tblPr>
        <w:tblLayout w:type="fixed"/>
        <w:tblInd w:w="0" w:type="dxa"/>
        <w:tblCellMar>
          <w:top w:w="0" w:type="dxa"/>
          <w:left w:w="0" w:type="dxa"/>
          <w:bottom w:w="0" w:type="dxa"/>
          <w:right w:w="0" w:type="dxa"/>
        </w:tblCellMar>
      </w:tblPr>
      <w:tr>
        <w:trPr>
          <w:trHeight w:val="149"/>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Amount of currency translation adjustment relating to divestiture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foreign subsidiaries reclassified into net income</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actuarial loss on post-retirement benefit plans</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into other non-operating income, net</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unrealized gain on derivative hedge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2025</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table provides the components of AOCL for the nine months ended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March 31, 2024</w:t>
            </w:r>
          </w:p>
        </w:tc>
        <w:tc>
          <w:tcPr>
            <w:tcW w:w="22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unrealized gain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2024</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$4 million as of September 30, 2025 and December 31, 2024 for these general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September 30, 2025 and December 31, 2024, the amount of surety bonds, bank guarantees, insurance letters of credit, and stand-by letters of credit was $821 million and $758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Our accrued environmental liabilities represent our best estimates related to the investigation and remediation of environmental media such as water, soil, soil vapor, air and structures at these sites, as well as related legal fees. Liabilities for these environmental expenditures are recorded on an undiscounted basis. We have estimated and accrued $4 million as of September 30, 2025 and December 31, 2024 for environmental matters.</w:t>
      </w:r>
    </w:p>
    <w:p>
      <w:pPr>
        <w:spacing w:after="0" w:line="74"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Given the complexities and uncertainties involved in on-going and future investigation and remediation projects, the process to estimate environmental remediation liabilities requires judgment. We believe the total amount accrued is reasonable based on existing facts and circumstances.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defects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2024</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September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19. Segment Information</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treatment equipment: filtration and separation, disinfection, wastewater solutions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71" w:lineRule="exact"/>
        <w:rPr>
          <w:sz w:val="20"/>
          <w:szCs w:val="20"/>
          <w:color w:val="auto"/>
        </w:rPr>
      </w:pPr>
    </w:p>
    <w:p>
      <w:pPr>
        <w:ind w:right="480"/>
        <w:spacing w:after="0" w:line="318" w:lineRule="auto"/>
        <w:rPr>
          <w:sz w:val="20"/>
          <w:szCs w:val="20"/>
          <w:color w:val="auto"/>
        </w:rPr>
      </w:pPr>
      <w:r>
        <w:rPr>
          <w:rFonts w:ascii="Arial" w:cs="Arial" w:eastAsia="Arial" w:hAnsi="Arial"/>
          <w:sz w:val="17"/>
          <w:szCs w:val="17"/>
          <w:color w:val="auto"/>
        </w:rPr>
        <w:t>Disaggregated asset information by segment is not provided to the chief operating decision maker ("CODM") for review, therefore, such information is not presented. The following tables contain financial information provided to the CODM for each reportable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and</w:t>
            </w: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 Solutions</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for three months ended September 30,</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Corporate and other operating (loss)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20" w:type="dxa"/>
            <w:vAlign w:val="bottom"/>
          </w:tcPr>
          <w:p>
            <w:pPr>
              <w:spacing w:after="0"/>
              <w:rPr>
                <w:sz w:val="14"/>
                <w:szCs w:val="1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Measurement and</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Control Solutions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20"/>
              <w:spacing w:after="0" w:line="156" w:lineRule="exact"/>
              <w:rPr>
                <w:sz w:val="20"/>
                <w:szCs w:val="20"/>
                <w:color w:val="auto"/>
              </w:rPr>
            </w:pPr>
            <w:r>
              <w:rPr>
                <w:rFonts w:ascii="Arial" w:cs="Arial" w:eastAsia="Arial" w:hAnsi="Arial"/>
                <w:sz w:val="18"/>
                <w:szCs w:val="18"/>
                <w:color w:val="auto"/>
              </w:rPr>
              <w:t>Balance for three months ended September 30,</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88"/>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operating (loss)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Water</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Measurement and</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Control Solutions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for nine months ended September 30,</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6,638</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945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operating (loss)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for nine months ended September 30,</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6,306</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operating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20" w:firstLine="8"/>
        <w:spacing w:after="0" w:line="266" w:lineRule="auto"/>
        <w:tabs>
          <w:tab w:leader="none" w:pos="2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cost of revenue and adjusted operating expenses represent segment-level information that are regularly provided to the CODM. These balances represent cost of revenue and operating expenses, respectively, adjusted to exclude purchase accounting intangible amortization, restructuring and realignment expenses and special charges.</w:t>
      </w:r>
    </w:p>
    <w:p>
      <w:pPr>
        <w:spacing w:after="0" w:line="76" w:lineRule="exact"/>
        <w:rPr>
          <w:rFonts w:ascii="Arial" w:cs="Arial" w:eastAsia="Arial" w:hAnsi="Arial"/>
          <w:sz w:val="16"/>
          <w:szCs w:val="16"/>
          <w:color w:val="auto"/>
        </w:rPr>
      </w:pPr>
    </w:p>
    <w:p>
      <w:pPr>
        <w:ind w:right="20" w:firstLine="8"/>
        <w:spacing w:after="0" w:line="275" w:lineRule="auto"/>
        <w:tabs>
          <w:tab w:leader="none" w:pos="2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segment items for each segment represents purchase accounting intangible amortization, restructuring and realignment expenses and special charges, which are excluded from the above significant expense categories regularly provided to the CODM in line with our adjusted measures as outlined in Item 7 "Management's Discussion and Analysis of Financial Condition and Results of Operations" in our Annual Report.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 1 in the Annual Report. The following table contains financial information for each reportable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5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980" w:type="dxa"/>
            <w:vAlign w:val="bottom"/>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1" w:name="page42"/>
    <w:bookmarkEnd w:id="41"/>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Redeemable Non-Controlling Interest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holder of the non-controlling interest in Idrica, which is a consolidated subsidiary of the Company, has a right to sell the remaining equity interest in Idrica to the Company for cash (the “Put Right”). The Put Right is exercisable after December 10, 2027 and has a fixed strike price of €168 million during the first two years after it is exercisable. Beginning in the third year of exercisability, the Put Right is exercisable at the fair market value of underlying equity interests. Redeemable non-controlling interest is reflected in the consolidated balance sheets at the greater of the carrying value or the redemption value. As of September 30, 2025, the redeemable non-controlling interest is reflected in the consolidated balance sheet at its carrying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redeemable non-controlling interest for the nine months ended September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940" w:right="2260" w:hanging="917"/>
        <w:spacing w:after="0" w:line="249" w:lineRule="auto"/>
        <w:tabs>
          <w:tab w:leader="none" w:pos="9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80"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inflation and related monetary policy by governments in response to inflation, and the strength of the residential and commercial real estate markets, on economic activity and our operations; geopolitical events, including ongoing, possible escalation or outbreak of international conflicts, as well as regulatory, economic and other risks associated with our global sales and operations, including those related to domestic content requirements applicable to projects receiving governmental funding; manufacturing and operating cost increases due to macroeconomic conditions, including inflation, energy supply, supply chain shortages, logistics challenges, tight labor markets, prevailing price changes, tariffs, trade policies or agreements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safe and compliant treatment and handling of water, wastewater and hazardous materials; failure to successfully execute large projects, including with respect to meeting performance guarantees and customers’ budgets, timelines and safety requirements; our ability to retain and attract leadership and other key talent, as well as competition for overall talent and labor; defects, security, warranty and liability claims, and recalls related to our products; uncertainty around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including the effects of climate change; risks related to our sustainability commitments and related disclosures; fluctuations in foreign currency exchange rates; difficulty predicting our financial results; risk of future impairments to goodwill and other intangible assets; changes in our effective tax rates or tax expenses; financial market risks related to our pension and other defined benefit plans; failure to comply with, or changes in, laws or regulations, pertaining to our business conduct, operations, products and services, including anti-corruption, artificial intelligence,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2024 ("2024 Annual Report") and in subsequent filings we make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43" w:name="page44"/>
    <w:bookmarkEnd w:id="43"/>
    <w:p>
      <w:pPr>
        <w:ind w:right="60"/>
        <w:spacing w:after="0" w:line="255"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spacing w:after="0" w:line="74" w:lineRule="exact"/>
        <w:rPr>
          <w:sz w:val="20"/>
          <w:szCs w:val="20"/>
          <w:color w:val="auto"/>
        </w:rPr>
      </w:pPr>
    </w:p>
    <w:p>
      <w:pPr>
        <w:ind w:left="660" w:right="34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transportation and treatment of water, offering a range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water, wastewater and storm water pumps, controls and systems; treatment equipment: filtration and separation, disinfection, wastewater solutions for municipal and industrial applications.</w:t>
      </w:r>
    </w:p>
    <w:p>
      <w:pPr>
        <w:spacing w:after="0" w:line="62"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w:t>
      </w:r>
    </w:p>
    <w:p>
      <w:pPr>
        <w:spacing w:after="0" w:line="4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and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w:t>
      </w:r>
    </w:p>
    <w:p>
      <w:pPr>
        <w:spacing w:after="0" w:line="31" w:lineRule="exact"/>
        <w:rPr>
          <w:rFonts w:ascii="Arial" w:cs="Arial" w:eastAsia="Arial" w:hAnsi="Arial"/>
          <w:sz w:val="18"/>
          <w:szCs w:val="18"/>
          <w:color w:val="auto"/>
        </w:rPr>
      </w:pPr>
    </w:p>
    <w:p>
      <w:pPr>
        <w:ind w:left="660" w:hanging="328"/>
        <w:spacing w:after="0" w:line="237" w:lineRule="exact"/>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outsourced water, recycle/reuse, pipeline assessment services, specialty dewatering and emergency response service alternatives to improve operational reliability, performance and environmental compliance.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Xylem reported revenue for the third quarter of 2025 of $2,268 million, an increase of 7.8% compared to $2,104 million reported in the third quarter of 2024. The revenue increase consisted primarily of organic growth of 6.9% across all of our segments, led by double digit organic growth in our Measurement and Control Solutions and Water Solutions and Services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September 30, 2025 include the following:</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Orders of $2,181 million, down 0.9% from $2,201 million in the prior year period, and down 2.0% on an organic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per share of $0.93, up 4.5% compared to prior year ($1.37, up 23.4% versus prior year, on an adjusted basis).</w:t>
      </w:r>
    </w:p>
    <w:p>
      <w:pPr>
        <w:spacing w:after="0" w:line="117"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attributable to Xylem as a percent of revenue of 10.0%, down 30 basis points compared to 10.3% in the prior year. Adjusted EBITDA margin of 23.2%, up 200 basis points when compared to 21.2%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200" w:hanging="328"/>
        <w:spacing w:after="0" w:line="26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attributable to Xylem and corresponding earnings per share, respectively, adjusted to exclude restructuring and realignment costs, amortization of acquired intangible assets, gain or loss from sale of businesses, special charges and tax-related special items, as applicable. A reconciliation of adjusted net income and adjusted earnings per share is provided below.</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40" w:type="dxa"/>
            <w:vAlign w:val="bottom"/>
            <w:shd w:val="clear" w:color="auto" w:fill="CCEEFF"/>
          </w:tcPr>
          <w:p>
            <w:pPr>
              <w:ind w:left="140"/>
              <w:spacing w:after="0" w:line="157" w:lineRule="exact"/>
              <w:rPr>
                <w:sz w:val="20"/>
                <w:szCs w:val="20"/>
                <w:color w:val="auto"/>
              </w:rPr>
            </w:pPr>
            <w:r>
              <w:rPr>
                <w:rFonts w:ascii="Arial" w:cs="Arial" w:eastAsia="Arial" w:hAnsi="Arial"/>
                <w:sz w:val="18"/>
                <w:szCs w:val="18"/>
                <w:b w:val="1"/>
                <w:bCs w:val="1"/>
                <w:color w:val="auto"/>
              </w:rPr>
              <w:t>Net income attributable to Xylem &amp;</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3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center"/>
              <w:ind w:left="94"/>
              <w:spacing w:after="0"/>
              <w:rPr>
                <w:sz w:val="20"/>
                <w:szCs w:val="20"/>
                <w:color w:val="auto"/>
              </w:rPr>
            </w:pPr>
            <w:r>
              <w:rPr>
                <w:rFonts w:ascii="Arial" w:cs="Arial" w:eastAsia="Arial" w:hAnsi="Arial"/>
                <w:sz w:val="18"/>
                <w:szCs w:val="18"/>
                <w:b w:val="1"/>
                <w:bCs w:val="1"/>
                <w:color w:val="auto"/>
                <w:w w:val="96"/>
              </w:rPr>
              <w:t>2.55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2.32</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340" w:type="dxa"/>
            <w:vAlign w:val="bottom"/>
            <w:gridSpan w:val="3"/>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94"/>
              <w:spacing w:after="0"/>
              <w:rPr>
                <w:sz w:val="20"/>
                <w:szCs w:val="20"/>
                <w:color w:val="auto"/>
              </w:rPr>
            </w:pPr>
            <w:r>
              <w:rPr>
                <w:rFonts w:ascii="Arial" w:cs="Arial" w:eastAsia="Arial" w:hAnsi="Arial"/>
                <w:sz w:val="18"/>
                <w:szCs w:val="18"/>
                <w:b w:val="1"/>
                <w:bCs w:val="1"/>
                <w:color w:val="auto"/>
                <w:w w:val="96"/>
              </w:rPr>
              <w:t>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6"/>
              </w:rPr>
              <w:t>0.23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amortization</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94"/>
              <w:spacing w:after="0"/>
              <w:rPr>
                <w:sz w:val="20"/>
                <w:szCs w:val="20"/>
                <w:color w:val="auto"/>
              </w:rPr>
            </w:pPr>
            <w:r>
              <w:rPr>
                <w:rFonts w:ascii="Arial" w:cs="Arial" w:eastAsia="Arial" w:hAnsi="Arial"/>
                <w:sz w:val="18"/>
                <w:szCs w:val="18"/>
                <w:b w:val="1"/>
                <w:bCs w:val="1"/>
                <w:color w:val="auto"/>
                <w:w w:val="96"/>
              </w:rPr>
              <w:t>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0.67</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94"/>
              <w:spacing w:after="0"/>
              <w:rPr>
                <w:sz w:val="20"/>
                <w:szCs w:val="20"/>
                <w:color w:val="auto"/>
              </w:rPr>
            </w:pPr>
            <w:r>
              <w:rPr>
                <w:rFonts w:ascii="Arial" w:cs="Arial" w:eastAsia="Arial" w:hAnsi="Arial"/>
                <w:sz w:val="18"/>
                <w:szCs w:val="18"/>
                <w:b w:val="1"/>
                <w:bCs w:val="1"/>
                <w:color w:val="auto"/>
                <w:w w:val="96"/>
              </w:rPr>
              <w:t>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6"/>
              </w:rPr>
              <w:t>0.15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94"/>
              <w:spacing w:after="0"/>
              <w:rPr>
                <w:sz w:val="20"/>
                <w:szCs w:val="20"/>
                <w:color w:val="auto"/>
              </w:rPr>
            </w:pPr>
            <w:r>
              <w:rPr>
                <w:rFonts w:ascii="Arial" w:cs="Arial" w:eastAsia="Arial" w:hAnsi="Arial"/>
                <w:sz w:val="18"/>
                <w:szCs w:val="18"/>
                <w:b w:val="1"/>
                <w:bCs w:val="1"/>
                <w:color w:val="auto"/>
                <w:w w:val="96"/>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Loss from sale of business</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94"/>
              <w:spacing w:after="0"/>
              <w:rPr>
                <w:sz w:val="20"/>
                <w:szCs w:val="20"/>
                <w:color w:val="auto"/>
              </w:rPr>
            </w:pPr>
            <w:r>
              <w:rPr>
                <w:rFonts w:ascii="Arial" w:cs="Arial" w:eastAsia="Arial" w:hAnsi="Arial"/>
                <w:sz w:val="18"/>
                <w:szCs w:val="18"/>
                <w:b w:val="1"/>
                <w:bCs w:val="1"/>
                <w:color w:val="auto"/>
                <w:w w:val="96"/>
              </w:rPr>
              <w:t>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6"/>
              </w:rPr>
              <w:t>0.02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(a)</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74"/>
              <w:spacing w:after="0"/>
              <w:rPr>
                <w:sz w:val="20"/>
                <w:szCs w:val="20"/>
                <w:color w:val="auto"/>
              </w:rPr>
            </w:pPr>
            <w:r>
              <w:rPr>
                <w:rFonts w:ascii="Arial" w:cs="Arial" w:eastAsia="Arial" w:hAnsi="Arial"/>
                <w:sz w:val="18"/>
                <w:szCs w:val="18"/>
                <w:b w:val="1"/>
                <w:bCs w:val="1"/>
                <w:color w:val="auto"/>
              </w:rPr>
              <w:t>(0.28)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55"/>
        </w:trPr>
        <w:tc>
          <w:tcPr>
            <w:tcW w:w="324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net income &amp; Adjusted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892</w:t>
            </w:r>
          </w:p>
        </w:tc>
        <w:tc>
          <w:tcPr>
            <w:tcW w:w="34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center"/>
              <w:ind w:left="94"/>
              <w:spacing w:after="0"/>
              <w:rPr>
                <w:sz w:val="20"/>
                <w:szCs w:val="20"/>
                <w:color w:val="auto"/>
              </w:rPr>
            </w:pPr>
            <w:r>
              <w:rPr>
                <w:rFonts w:ascii="Arial" w:cs="Arial" w:eastAsia="Arial" w:hAnsi="Arial"/>
                <w:sz w:val="18"/>
                <w:szCs w:val="18"/>
                <w:b w:val="1"/>
                <w:bCs w:val="1"/>
                <w:color w:val="auto"/>
                <w:w w:val="96"/>
              </w:rPr>
              <w:t>3.66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6"/>
              </w:rPr>
              <w:t>3.10</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4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Weighted average number of</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shares - diluted</w:t>
            </w:r>
          </w:p>
        </w:tc>
        <w:tc>
          <w:tcPr>
            <w:tcW w:w="2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80" w:right="520" w:hanging="6"/>
        <w:spacing w:after="0" w:line="268" w:lineRule="auto"/>
        <w:tabs>
          <w:tab w:leader="none" w:pos="92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tax effects of adjustments are calculated using the statutory tax rate, taking into consideration the nature of the item and the relevant taxing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left="328" w:right="540"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 as applicable.</w:t>
      </w:r>
    </w:p>
    <w:p>
      <w:pPr>
        <w:spacing w:after="0" w:line="44" w:lineRule="exact"/>
        <w:rPr>
          <w:rFonts w:ascii="Arial" w:cs="Arial" w:eastAsia="Arial" w:hAnsi="Arial"/>
          <w:sz w:val="18"/>
          <w:szCs w:val="18"/>
          <w:color w:val="auto"/>
        </w:rPr>
      </w:pPr>
    </w:p>
    <w:p>
      <w:pPr>
        <w:ind w:left="328" w:right="40" w:hanging="328"/>
        <w:spacing w:after="0" w:line="262"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gain or loss from sale of businesses, gain on remeasurement of previously held equity interest, special charges and tax-related special items, as applicable, and "adjusted operating margin" defined as adjusted operating income divided by total revenue.</w:t>
      </w:r>
    </w:p>
    <w:p>
      <w:pPr>
        <w:spacing w:after="0" w:line="68" w:lineRule="exact"/>
        <w:rPr>
          <w:rFonts w:ascii="Arial" w:cs="Arial" w:eastAsia="Arial" w:hAnsi="Arial"/>
          <w:sz w:val="18"/>
          <w:szCs w:val="18"/>
          <w:color w:val="auto"/>
        </w:rPr>
      </w:pPr>
    </w:p>
    <w:p>
      <w:pPr>
        <w:ind w:left="328" w:right="120" w:hanging="328"/>
        <w:spacing w:after="0" w:line="262"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adjustments to EBITDA to exclude share-based compensation charges, restructuring and realignment costs, gain or loss from sale of businesses and special charges, and "adjusted EBITDA margin" defined as adjusted EBITDA divided by total revenue.</w:t>
      </w:r>
    </w:p>
    <w:p>
      <w:pPr>
        <w:spacing w:after="0" w:line="68" w:lineRule="exact"/>
        <w:rPr>
          <w:rFonts w:ascii="Arial" w:cs="Arial" w:eastAsia="Arial" w:hAnsi="Arial"/>
          <w:sz w:val="18"/>
          <w:szCs w:val="18"/>
          <w:color w:val="auto"/>
        </w:rPr>
      </w:pPr>
    </w:p>
    <w:p>
      <w:pPr>
        <w:ind w:left="328" w:right="260"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color w:val="auto"/>
        </w:rPr>
      </w:pPr>
    </w:p>
    <w:p>
      <w:pPr>
        <w:ind w:left="328" w:right="220"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 charges" defined as non-recurring costs incurred by the Company, such as those related to acquisitions and integrations, divestitures and non-cash impairment charges.</w:t>
      </w:r>
    </w:p>
    <w:p>
      <w:pPr>
        <w:spacing w:after="0" w:line="44" w:lineRule="exact"/>
        <w:rPr>
          <w:rFonts w:ascii="Arial" w:cs="Arial" w:eastAsia="Arial" w:hAnsi="Arial"/>
          <w:sz w:val="18"/>
          <w:szCs w:val="18"/>
          <w:color w:val="auto"/>
        </w:rPr>
      </w:pPr>
    </w:p>
    <w:p>
      <w:pPr>
        <w:ind w:left="328" w:right="420"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328" w:hanging="328"/>
        <w:spacing w:after="0" w:line="268"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13" w:lineRule="exact"/>
        <w:rPr>
          <w:sz w:val="20"/>
          <w:szCs w:val="20"/>
          <w:color w:val="auto"/>
        </w:rPr>
      </w:pPr>
    </w:p>
    <w:tbl>
      <w:tblPr>
        <w:tblLayout w:type="fixed"/>
        <w:tblInd w:w="248"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9"/>
              </w:rPr>
              <w:t>698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9"/>
              </w:rPr>
              <w:t>688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77"/>
              <w:spacing w:after="0"/>
              <w:rPr>
                <w:sz w:val="20"/>
                <w:szCs w:val="20"/>
                <w:color w:val="auto"/>
              </w:rPr>
            </w:pPr>
            <w:r>
              <w:rPr>
                <w:rFonts w:ascii="Arial" w:cs="Arial" w:eastAsia="Arial" w:hAnsi="Arial"/>
                <w:sz w:val="18"/>
                <w:szCs w:val="18"/>
                <w:b w:val="1"/>
                <w:bCs w:val="1"/>
                <w:color w:val="auto"/>
                <w:w w:val="99"/>
              </w:rPr>
              <w:t>(248)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53"/>
              <w:spacing w:after="0"/>
              <w:rPr>
                <w:sz w:val="20"/>
                <w:szCs w:val="20"/>
                <w:color w:val="auto"/>
              </w:rPr>
            </w:pPr>
            <w:r>
              <w:rPr>
                <w:rFonts w:ascii="Arial" w:cs="Arial" w:eastAsia="Arial" w:hAnsi="Arial"/>
                <w:sz w:val="18"/>
                <w:szCs w:val="18"/>
                <w:color w:val="auto"/>
                <w:w w:val="99"/>
              </w:rPr>
              <w:t>(221)</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Free cash flow</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9"/>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453"/>
              <w:spacing w:after="0"/>
              <w:rPr>
                <w:sz w:val="20"/>
                <w:szCs w:val="20"/>
                <w:color w:val="auto"/>
              </w:rPr>
            </w:pPr>
            <w:r>
              <w:rPr>
                <w:rFonts w:ascii="Arial" w:cs="Arial" w:eastAsia="Arial" w:hAnsi="Arial"/>
                <w:sz w:val="18"/>
                <w:szCs w:val="18"/>
                <w:color w:val="auto"/>
                <w:w w:val="99"/>
              </w:rPr>
              <w:t>467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center"/>
              <w:ind w:left="677"/>
              <w:spacing w:after="0" w:line="203" w:lineRule="exact"/>
              <w:rPr>
                <w:sz w:val="20"/>
                <w:szCs w:val="20"/>
                <w:color w:val="auto"/>
              </w:rPr>
            </w:pPr>
            <w:r>
              <w:rPr>
                <w:rFonts w:ascii="Arial" w:cs="Arial" w:eastAsia="Arial" w:hAnsi="Arial"/>
                <w:sz w:val="18"/>
                <w:szCs w:val="18"/>
                <w:b w:val="1"/>
                <w:bCs w:val="1"/>
                <w:color w:val="auto"/>
                <w:w w:val="99"/>
              </w:rPr>
              <w:t>(329)</w:t>
            </w:r>
          </w:p>
        </w:tc>
        <w:tc>
          <w:tcPr>
            <w:tcW w:w="100" w:type="dxa"/>
            <w:vAlign w:val="bottom"/>
          </w:tcPr>
          <w:p>
            <w:pPr>
              <w:spacing w:after="0"/>
              <w:rPr>
                <w:sz w:val="17"/>
                <w:szCs w:val="17"/>
                <w:color w:val="auto"/>
              </w:rPr>
            </w:pPr>
          </w:p>
        </w:tc>
        <w:tc>
          <w:tcPr>
            <w:tcW w:w="660" w:type="dxa"/>
            <w:vAlign w:val="bottom"/>
          </w:tcPr>
          <w:p>
            <w:pPr>
              <w:jc w:val="right"/>
              <w:ind w:right="4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center"/>
              <w:ind w:left="453"/>
              <w:spacing w:after="0" w:line="203" w:lineRule="exact"/>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by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center"/>
              <w:ind w:left="677"/>
              <w:spacing w:after="0"/>
              <w:rPr>
                <w:sz w:val="20"/>
                <w:szCs w:val="20"/>
                <w:color w:val="auto"/>
              </w:rPr>
            </w:pPr>
            <w:r>
              <w:rPr>
                <w:rFonts w:ascii="Arial" w:cs="Arial" w:eastAsia="Arial" w:hAnsi="Arial"/>
                <w:sz w:val="18"/>
                <w:szCs w:val="18"/>
                <w:b w:val="1"/>
                <w:bCs w:val="1"/>
                <w:color w:val="auto"/>
                <w:w w:val="99"/>
              </w:rPr>
              <w:t>(382)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9"/>
              </w:rPr>
              <w:t>(520)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2"/>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52" w:top="1201"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6,638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2,543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1,673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 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334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176"/>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rPr>
              <w:t>Interest and other non-operating</w:t>
            </w:r>
          </w:p>
        </w:tc>
        <w:tc>
          <w:tcPr>
            <w:tcW w:w="280" w:type="dxa"/>
            <w:vAlign w:val="bottom"/>
          </w:tcPr>
          <w:p>
            <w:pPr>
              <w:spacing w:after="0"/>
              <w:rPr>
                <w:sz w:val="15"/>
                <w:szCs w:val="15"/>
                <w:color w:val="auto"/>
              </w:rPr>
            </w:pPr>
          </w:p>
        </w:tc>
        <w:tc>
          <w:tcPr>
            <w:tcW w:w="92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43"/>
        </w:trPr>
        <w:tc>
          <w:tcPr>
            <w:tcW w:w="308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sale of businesses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1,750.0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683.3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226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Net loss attributable to non-</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controlling interest</w:t>
            </w:r>
          </w:p>
        </w:tc>
        <w:tc>
          <w:tcPr>
            <w:tcW w:w="2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3"/>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080" w:type="dxa"/>
            <w:vAlign w:val="bottom"/>
          </w:tcPr>
          <w:p>
            <w:pPr>
              <w:ind w:left="140"/>
              <w:spacing w:after="0"/>
              <w:rPr>
                <w:sz w:val="20"/>
                <w:szCs w:val="20"/>
                <w:color w:val="auto"/>
              </w:rPr>
            </w:pPr>
            <w:r>
              <w:rPr>
                <w:rFonts w:ascii="Arial" w:cs="Arial" w:eastAsia="Arial" w:hAnsi="Arial"/>
                <w:sz w:val="18"/>
                <w:szCs w:val="18"/>
                <w:color w:val="auto"/>
              </w:rPr>
              <w:t>Net income attributable to Xylem</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rPr>
              <w:t>227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622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generated during the three and nine months ended September 30, 2025 was $ 2,268 million and $6,638 million, respectively, reflecting an increase of $ 164 million, or 7.8%, and an increase of $332 million, or 5.3%, compared to the prior year. Organic revenue increased $145 million, or 6.9%, and $332 million, or 5.3%, for the three and nine months ended September 30, 2025, respectively. Foreign currency translation had a favorable impact on revenue of $ 26 million for the three months ended September 30, 2025, and a favorable impact on revenue of $23 million for the nine months ended September 30, 2025. Revenue growth was negatively impacted by $ 7 million and $23 million due to acquisitions and divestitures, net, for the three and nine months ended September 30, 2025, respectively. The increase in organic revenue for the three months ended September 30, 2025 is driven by strength in the U.S. and Canada mostly due to price realization and increased volume. For the nine months ended September 30, 2025, organic growth is driven by price realization, increased volume, and backlog execution in the U.S.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the three and nine months ended September 30,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Water Infrastructure</w:t>
            </w:r>
          </w:p>
        </w:tc>
        <w:tc>
          <w:tcPr>
            <w:tcW w:w="18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60"/>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60"/>
              <w:spacing w:after="0"/>
              <w:rPr>
                <w:sz w:val="20"/>
                <w:szCs w:val="20"/>
                <w:color w:val="auto"/>
              </w:rPr>
            </w:pPr>
            <w:r>
              <w:rPr>
                <w:rFonts w:ascii="Arial" w:cs="Arial" w:eastAsia="Arial" w:hAnsi="Arial"/>
                <w:sz w:val="14"/>
                <w:szCs w:val="14"/>
                <w:color w:val="auto"/>
              </w:rPr>
              <w:t>$ Change   %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920" w:type="dxa"/>
            <w:vAlign w:val="bottom"/>
          </w:tcPr>
          <w:p>
            <w:pPr>
              <w:jc w:val="right"/>
              <w:spacing w:after="0"/>
              <w:rPr>
                <w:sz w:val="20"/>
                <w:szCs w:val="20"/>
                <w:color w:val="auto"/>
              </w:rPr>
            </w:pPr>
            <w:r>
              <w:rPr>
                <w:rFonts w:ascii="Arial" w:cs="Arial" w:eastAsia="Arial" w:hAnsi="Arial"/>
                <w:sz w:val="18"/>
                <w:szCs w:val="18"/>
                <w:color w:val="auto"/>
              </w:rPr>
              <w:t>5.5 %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94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94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2,268</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360" w:hanging="332"/>
        <w:spacing w:after="0" w:line="286"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Euro, British Pound and the Swedish Krona.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4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Applied Water</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9"/>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60" w:type="dxa"/>
            <w:vAlign w:val="bottom"/>
          </w:tcPr>
          <w:p>
            <w:pPr>
              <w:ind w:left="140"/>
              <w:spacing w:after="0"/>
              <w:rPr>
                <w:sz w:val="20"/>
                <w:szCs w:val="20"/>
                <w:color w:val="auto"/>
              </w:rPr>
            </w:pPr>
            <w:r>
              <w:rPr>
                <w:rFonts w:ascii="Arial" w:cs="Arial" w:eastAsia="Arial" w:hAnsi="Arial"/>
                <w:sz w:val="14"/>
                <w:szCs w:val="14"/>
                <w:color w:val="auto"/>
              </w:rPr>
              <w:t>$ Change   % Change</w:t>
            </w:r>
          </w:p>
        </w:tc>
        <w:tc>
          <w:tcPr>
            <w:tcW w:w="190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920" w:type="dxa"/>
            <w:vAlign w:val="bottom"/>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9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94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92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w:t>
            </w:r>
          </w:p>
        </w:tc>
        <w:tc>
          <w:tcPr>
            <w:tcW w:w="94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1,887</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1,825</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6,638</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360" w:hanging="332"/>
        <w:spacing w:after="0" w:line="286"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Euro and the British Pound, partially offset by the weakening of the Canadian Dollar.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Water Infrastructure revenue increased $33 million, or 5.3%, for the third quarter of 2025 as compared to the prior year. Revenue growth for the quarter included organic revenue growth of $34 million, or 5.5%, and $14 million of favorable impacts from foreign currency translation partially offset by a loss of $15 million of revenue from net divestiture and acquisition activity. The transport applications contributed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$19 million of organic revenue growth, driven by increased sales volume and price realization in the U.S. and timing of projects in western Europe, partially offset by reduced backlog execution due to softness in the emerging markets. Organic growth for the treatment application was $15 million, driven by backlog execution in the U.S., partially offset by timing of project revenue in western Europe and reduced volume due to softness in the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20"/>
        <w:spacing w:after="0" w:line="278" w:lineRule="auto"/>
        <w:rPr>
          <w:sz w:val="20"/>
          <w:szCs w:val="20"/>
          <w:color w:val="auto"/>
        </w:rPr>
      </w:pPr>
      <w:r>
        <w:rPr>
          <w:rFonts w:ascii="Arial" w:cs="Arial" w:eastAsia="Arial" w:hAnsi="Arial"/>
          <w:sz w:val="17"/>
          <w:szCs w:val="17"/>
          <w:color w:val="auto"/>
        </w:rPr>
        <w:t>Water Infrastructure revenue increased $59 million, or 3.2%, for the nine months ended September 30, 2025 as compared to the prior year. Revenue growth included organic revenue growth of $88 million, or 4.8% and $15 million of favorable impacts from foreign currency translation partially offset by a loss of $44 million of revenue from net divestiture and acquisition activity. The treatment application contributed $ 46 million of organic revenue growth, led by strong backlog execution in the U.S. and the emerging markets. Organic growth for the transport application was $42 million, led by higher volume in the U.S., and strong backlog execution and order intake in western Europe.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Applied Water revenue increased $9 million, or 2.0%, for the third quarter of 2025 as compared to the prior year. Revenue growth for the quarter included organic revenue growth of $4 million, or 0.9%, and $5 million of favorable foreign currency translation. Organic growth was driven by growth in the building solutions applications of $10 million, led by backlog execution and price realization in the U.S, partially offset by order softness in the emerging markets. These increases were partially offset by organic declines of $6 million in the industrial application, primarily due to order softness in the emerging markets.</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Applied Water revenue increased $35 million, or 2.6%, for the nine months ended September 30, 2025 as compared to the prior year. Revenue growth included organic revenue growth of $30 million, or 2.2%, and $5 million of favorable foreign currency translation. Organic growth was driven by growth in the building solutions applications of $33 million, led by price and backlog execution in the U.S., partially offset by order softness in the emerging markets. These industrial application saw organic declines of $3 million due to order softness in the emerging markets, partially offset by backlog execution in Canada and increased sales volume in western Europe.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Measurement and Control Solutions revenue increased $ 64 million, or 14.0%, for the third quarter of 2025 as compared to the prior year. The revenue growth was primarily driven by organic growth of $50 million, or 10.9%, with an additional increase from acquisitions of $8 million, and $6 million of favorable foreign currency translation. Organic revenue growth during the quarter was driven by $45 million from the smart metering and other applications, driven by increased volumes and price realization primarily in energy for north America, and increased backlog execution in western Europe in water. The analytics application was up $5 million due to increased project revenue and price realization in western Europe.</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Measurement and Control Solutions revenue increased $150 million, or 10.7%, for the nine months ended September 30, 2025 as compared to the prior year. The revenue increase was primarily driven by organic growth of $ 123 million, or 8.8%, with an additional increase from acquisitions of $21 million. Organic revenue increased by $116 million in the smart metering and other applications, due primarily to backlog execution from energy in North America and water project deliveries in the western Europe. These increases were partially offset by organic declines in water in the U.S. due to lower demand, following strong prior year backlog execution. The analytics application was up $ 7 million organically, driven by price realization in western Europe and the U.S., partially offset by lower sales volume due to market softness in the emerging markets.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Water Solutions and Services revenue increased $58 million, or 10.1%, for the third quarter of 2025 as compared to the prior year. The revenue growth was primarily driven by organic revenue growth of $57 million, or 9.9%, and $1 million of favorable impacts from foreign currency translation. Organic revenue growth was led by growth in the capital and other applications of $38 million, primarily due to increased project execution and price realization in the U.S. and sales volume in the emerging markets. Organic revenue from the service application increased by $19 million due to increased volume and price realization in the U.S.</w:t>
      </w:r>
    </w:p>
    <w:p>
      <w:pPr>
        <w:spacing w:after="0" w:line="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Water Solutions and Services revenue increased $88 million, or 5.1%, for the nine months ended September 30, 2025 as compared to the prior year. The revenue growth was primarily driven by organic revenue growth of $91 million, or 5.2%, partially offset by $3 million of unfavorable impacts from foreign currency translation. Organic revenue growth was led by service growth of $52 million, primarily due to increased volume and price realization in the U.S. and increased volume in the emerging markets. Organic revenue from the capital and other applications increased by $39 million due to increased project revenue in the U.S. and increased volume in the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tables illustrate the impact from organic decline/growth, recent acquisitions and divestitures, and foreign currency translation in relation to orders during the three and nine months ended September 30,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60" w:type="dxa"/>
            <w:vAlign w:val="bottom"/>
          </w:tcPr>
          <w:p>
            <w:pPr>
              <w:ind w:left="140"/>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900" w:type="dxa"/>
            <w:vAlign w:val="bottom"/>
          </w:tcPr>
          <w:p>
            <w:pPr>
              <w:ind w:left="180"/>
              <w:spacing w:after="0"/>
              <w:rPr>
                <w:sz w:val="20"/>
                <w:szCs w:val="20"/>
                <w:color w:val="auto"/>
              </w:rPr>
            </w:pPr>
            <w:r>
              <w:rPr>
                <w:rFonts w:ascii="Arial" w:cs="Arial" w:eastAsia="Arial" w:hAnsi="Arial"/>
                <w:sz w:val="14"/>
                <w:szCs w:val="14"/>
                <w:color w:val="auto"/>
              </w:rPr>
              <w:t>$ Change   %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Orders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Orders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2,181</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360" w:hanging="332"/>
        <w:spacing w:after="0" w:line="286"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Euro, British Pound and the Swedish Krona.</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2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Water Infrastructure</w:t>
            </w:r>
          </w:p>
        </w:tc>
        <w:tc>
          <w:tcPr>
            <w:tcW w:w="18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Applied Water</w:t>
            </w: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0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2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60"/>
              <w:spacing w:after="0"/>
              <w:rPr>
                <w:sz w:val="20"/>
                <w:szCs w:val="20"/>
                <w:color w:val="auto"/>
              </w:rPr>
            </w:pPr>
            <w:r>
              <w:rPr>
                <w:rFonts w:ascii="Arial" w:cs="Arial" w:eastAsia="Arial" w:hAnsi="Arial"/>
                <w:sz w:val="14"/>
                <w:szCs w:val="14"/>
                <w:color w:val="auto"/>
              </w:rPr>
              <w:t>$ Change   % Change</w:t>
            </w:r>
          </w:p>
        </w:tc>
        <w:tc>
          <w:tcPr>
            <w:tcW w:w="920" w:type="dxa"/>
            <w:vAlign w:val="bottom"/>
          </w:tcPr>
          <w:p>
            <w:pPr>
              <w:ind w:left="180"/>
              <w:spacing w:after="0"/>
              <w:rPr>
                <w:sz w:val="20"/>
                <w:szCs w:val="20"/>
                <w:color w:val="auto"/>
              </w:rPr>
            </w:pPr>
            <w:r>
              <w:rPr>
                <w:rFonts w:ascii="Arial" w:cs="Arial" w:eastAsia="Arial" w:hAnsi="Arial"/>
                <w:sz w:val="14"/>
                <w:szCs w:val="14"/>
                <w:color w:val="auto"/>
              </w:rPr>
              <w:t>$ Change</w:t>
            </w:r>
          </w:p>
        </w:tc>
        <w:tc>
          <w:tcPr>
            <w:tcW w:w="980" w:type="dxa"/>
            <w:vAlign w:val="bottom"/>
          </w:tcPr>
          <w:p>
            <w:pPr>
              <w:ind w:left="140"/>
              <w:spacing w:after="0"/>
              <w:rPr>
                <w:sz w:val="20"/>
                <w:szCs w:val="20"/>
                <w:color w:val="auto"/>
              </w:rPr>
            </w:pPr>
            <w:r>
              <w:rPr>
                <w:rFonts w:ascii="Arial" w:cs="Arial" w:eastAsia="Arial" w:hAnsi="Arial"/>
                <w:sz w:val="14"/>
                <w:szCs w:val="14"/>
                <w:color w:val="auto"/>
              </w:rPr>
              <w:t>% Change</w:t>
            </w:r>
          </w:p>
        </w:tc>
        <w:tc>
          <w:tcPr>
            <w:tcW w:w="188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700" w:type="dxa"/>
            <w:vAlign w:val="bottom"/>
          </w:tcPr>
          <w:p>
            <w:pPr>
              <w:jc w:val="center"/>
              <w:ind w:left="8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Orders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2,036</w:t>
            </w: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w:t>
            </w: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1,917</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w:t>
            </w: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980" w:type="dxa"/>
            <w:vAlign w:val="bottom"/>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98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Orders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1,981</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1,285</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6,513</w:t>
            </w: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360" w:hanging="332"/>
        <w:spacing w:after="0" w:line="286" w:lineRule="auto"/>
        <w:tabs>
          <w:tab w:leader="none" w:pos="3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Euro and the British Pound, partially offset by the weakening of the Canadian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$4,819 million at September 30, 2025, a decrease of $434 million, or 8.3%, as compared to September 30, 2024 backlog of $5,253 million. The decrease in backlog was driven by increased revenue outpacing order intake and contract wins in the current period, partially offset by favorable impacts from foreign currency translation. The backlog decrease was led by the Measurement and Control Solutions and Water Solutions and Services segments due to strong backlog execution and improved lead times. These backlog declines were partially offset by backlog growth in the Water Infrastructure and Applied Water segments primarily due to orders and contract wins outpacing revenue, and favorable foreign currency impacts. Backlog decreased $251 million, or 5.0%, at September 30, 2025, as compared to December 31, 2024 backlog of $5,070 million. We anticipate that approximately 30% of the backlog as of September 30, 2025 will be recognized as revenue in the remainder of 2025. There were no significant order cancellations during the quarter.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margin as a percentage of revenue increased 160 basis points t</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38.9% for the three months ended September 30, 2025, as compared to 37.3% for the three months ended September 30, 2024. The gross margin increase was partially offset by unfavorable impacts of 20 basis points from increases in acquired intangible amortization and restructuring and realignment costs as compared to the prior year. Gross margin expansion was driven by 430 basis points of favorable operational impacts, led by 230 basis points of productivity savings and 140 basis points of price realization. These increases in gross margin were partially offset by 250 basis points of unfavorable operational impacts driven by 200 basis points of inflation and 40 basis points of unfavorable mix.</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Gross margin as a percentage of revenue increased 100 basis points to 38.3% for the nine months ended September 30, 2025, as compared to 37.3% for the nine months ended </w:t>
      </w:r>
      <w:r>
        <w:rPr>
          <w:rFonts w:ascii="Arial" w:cs="Arial" w:eastAsia="Arial" w:hAnsi="Arial"/>
          <w:sz w:val="16"/>
          <w:szCs w:val="16"/>
          <w:color w:val="auto"/>
        </w:rPr>
        <w:t>September 30,</w:t>
      </w:r>
      <w:r>
        <w:rPr>
          <w:rFonts w:ascii="Arial" w:cs="Arial" w:eastAsia="Arial" w:hAnsi="Arial"/>
          <w:sz w:val="18"/>
          <w:szCs w:val="18"/>
          <w:color w:val="auto"/>
        </w:rPr>
        <w:t xml:space="preserve"> 2024. The gross margin increase included favorable impacts of 20 basis points from decreases in acquired intangible amortization and special charges, partially offset by increased restructuring and realignment charges as compared to the prior year. Gross margin expansion included favorable operational impacts of 360 basis points, driven almost entirely by 220 basis points of productivity savings and 130 basis points of price realization. These increases in gross margin were offset by 280 basis points of unfavorable operational impacts driven by 190 basis points of inflation and 70 basis points of unfavorable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nine months ended September 30, 2025 and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8"/>
                <w:szCs w:val="18"/>
                <w:color w:val="auto"/>
              </w:rPr>
              <w:t>Selling, general and administrative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474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1,437</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(30) bp</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(70) bp</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(30) bp</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(20) bp</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Restructuring and asset impairment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549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1,673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 bp</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SG&amp;A expenses increased by $29 million to $474 million, or 20.9% of revenue, in the third quarter of 2025, as compared to $445 million, or 21.2% of revenue, in the comparable 2024 period, and increased $33 million to $1,437 million, or 21.6% of revenue, in the nine month period ended September 30, 2025. The increase in SG&amp;A in the third quarter of 2025 as compared to the prior year was driven by $15 million of increased spending on strategic investments and $ 13 million of inflation. The increase in SG&amp;A in the nine month period ended September 30, 2025 as compared to the prior year was primarily driven by $42 million of inflation with increased spending on strategic initiatives being more than offset by productivity savings.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R&amp;D expense was $ 52 million, or 2.3% of revenue, in the third quarter of 2025, as compared to $ 55 million, or 2.6% of revenue, in the third quarter of 2024, and was $166 million, or 2.5% of revenue, in the nine months ended September 30, 2025, as compared to $172 million, or 2.7% of revenue, in the nine months ended September 30, 2024. R&amp;D expense was fairly consistent year over year and in line with planned spending in this area.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During the three and nine months ended September 30, 2025, we incurred restructuring charges of $23 million and $62 million, respectively. During the three and nine months ended September 30, 2024, we incurred restructuring charges of $4 million and $36 million, respectively, For the three and nine months ended September 30, 2025, the incurred charges primarily related to actions taken to further streamline our organization through simplification efforts in order to strengthen our competitive positioning and ability to better serve our customers.</w:t>
      </w:r>
    </w:p>
    <w:p>
      <w:pPr>
        <w:spacing w:after="0" w:line="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Actions commenced in 2025 and 2024 consist primarily of severance charges. We currently expect to incur between $90 and $100 million in restructuring costs for the full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"Restructuring and Asset Impairment Charges"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2" w:name="page53"/>
    <w:bookmarkEnd w:id="52"/>
    <w:p>
      <w:pPr>
        <w:ind w:right="420"/>
        <w:spacing w:after="0" w:line="279" w:lineRule="auto"/>
        <w:rPr>
          <w:sz w:val="20"/>
          <w:szCs w:val="20"/>
          <w:color w:val="auto"/>
        </w:rPr>
      </w:pPr>
      <w:r>
        <w:rPr>
          <w:rFonts w:ascii="Arial" w:cs="Arial" w:eastAsia="Arial" w:hAnsi="Arial"/>
          <w:sz w:val="18"/>
          <w:szCs w:val="18"/>
          <w:color w:val="auto"/>
        </w:rPr>
        <w:t xml:space="preserve">The following is a roll-forward for the </w:t>
      </w:r>
      <w:r>
        <w:rPr>
          <w:rFonts w:ascii="Arial" w:cs="Arial" w:eastAsia="Arial" w:hAnsi="Arial"/>
          <w:sz w:val="16"/>
          <w:szCs w:val="16"/>
          <w:color w:val="auto"/>
        </w:rPr>
        <w:t>nine months ended</w:t>
      </w:r>
      <w:r>
        <w:rPr>
          <w:rFonts w:ascii="Arial" w:cs="Arial" w:eastAsia="Arial" w:hAnsi="Arial"/>
          <w:sz w:val="18"/>
          <w:szCs w:val="18"/>
          <w:color w:val="auto"/>
        </w:rPr>
        <w:t xml:space="preserve"> September 30, 2025 and 2024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40" w:type="dxa"/>
            <w:vAlign w:val="bottom"/>
            <w:gridSpan w:val="2"/>
          </w:tcPr>
          <w:p>
            <w:pPr>
              <w:ind w:left="9100"/>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2024</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382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858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(711)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Planned reductions - September 30</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529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
        </w:trPr>
        <w:tc>
          <w:tcPr>
            <w:tcW w:w="8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Refer to Note 9, "Goodwill and Other Intangible Assets" for more information on intangible asset impairment charges incurred during the three months ended September 30,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$334 million (operating margin of 14.7%) during the third quarter of 2025, an increase of $54 million, or 19.3%, when compared to operating income of $280 million (operating margin of 13.3%) during the prior year. Operating margin increased 140 basis points. Operating margin expansion was partially offset by 90 basis points of unfavorable impacts from increased restructuring and realignment costs, acquired intangible amortization, and special charges relative to the prior year period. Additionally, operating margin expansion included 560 basis points of favorable operational impacts driven by 320 basis points of productivity savings and 190 basis points of price realization. These favorable impacts were partially offset by 330 basis points of unfavorable operational impacts, driven by 230 basis points of inflation, 40 basis points of increased spending on strategic investments, and 40 basis points of unfavorable mix. Excluding acquired intangible asset amortization, restructuring and realignment costs, and special charges, adjusted operating income was $429 million (adjusted operating margin of 18.9%) for the third quarter of 2025 as compared to adjusted operating income of $350 million (adjusted operating margin of 16.6%) during the comparable quarter in the prior year.</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attributable to Xylem for the third quarter was $227 million (net income margin of 10.0%), an increase of $ 10 million as compared to net income attributable to Xylem in the prior year of $217 million (net income margin of 10.3%). The increase in net income attributable to Xylem was driven by increased operating income of $54 million, increased non-operating income of $5 million, decreased interest expense of $4 million, and the net loss attributable to non-controlling interest of $1 million, partially offset by increased loss from sale of businesses of $35 million and increased income tax expense of $19 million.</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EBITDA was $527 million (adjusted EBITDA margin of 23.2%) during the third quarter of 2025, an increase of $80 million, or 18.0%, when compared to adjusted EBITDA of $447 million (adjusted EBITDA margin of 21.2%) during the comparable quarter in the prior year, an increase to adjusted EBITDA margin of 200 basis points. The increase in adjusted EBITDA margin was primarily driven by the same factors impacting the adjusted operating margin increase.</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income was $870 million (operating margin of 13.1%) during the nine months ended September 30, 2025, an increase of $128 million, or 17.3%, when compared to operating income of $742 million (operating margin of 11.8%) during the prior year. Operating margin increased 130 basis points, which included net unfavorable impacts of 30 basis points from increased restructuring and realignment costs and acquired intangible amortization, slightly offset by decreased special charges compared to the prior year. Additionally, operating margin expansion included 560 basis points of favorable operational impacts driven by 350 basis points of productivity savings and 170 basis points of price realization. These favorable impacts were partially offset by 400 basis points of unfavorable operational impacts, driven by 240 basis points of inflation, 70 basis points of unfavorable mix, and 40 basis points of increased spending on strategic investments. Excluding acquired intangible asset amortization, restructuring and realignment costs, and special charges, adjusted operating income was $1,156 million (adjusted operating margin of 17.4%) for the nine months ended September 30, 2025 as compared to adjusted operating income of $996 million (adjusted operating margin of 15.8%) during the comparable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right="60"/>
        <w:spacing w:after="0" w:line="259" w:lineRule="auto"/>
        <w:rPr>
          <w:sz w:val="20"/>
          <w:szCs w:val="20"/>
          <w:color w:val="auto"/>
        </w:rPr>
      </w:pPr>
      <w:r>
        <w:rPr>
          <w:rFonts w:ascii="Arial" w:cs="Arial" w:eastAsia="Arial" w:hAnsi="Arial"/>
          <w:sz w:val="18"/>
          <w:szCs w:val="18"/>
          <w:color w:val="auto"/>
        </w:rPr>
        <w:t>Net income attributable to Xylem for the nine months ended September 30, 2025 was $ 622 million (net income margin of 9.4%), an increase of $ 58 million as compared to net income attributable to Xylem in the prior year of $564 million (net income margin of 8.9%). The increase in net income attributable to Xylem was driven by increased operating income of $128 million, decreased interest expense of $12 million, increased non-operating income of $2 million, and the net loss attributable to non-controlling interest of $5 million offset by increased loss from sale of businesses of $41 million, and increased income tax expense of $48 million.</w:t>
      </w:r>
    </w:p>
    <w:p>
      <w:pPr>
        <w:spacing w:after="0" w:line="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Adjusted EBITDA was $1,452 million (adjusted EBITDA margin of 21.9%) during the nine months ended September 30, 2025, an increase of $162 million, or 12.6%, when compared to adjusted EBITDA of $ 1,290 million (adjusted EBITDA margin of 20.5%) during the comparable prior year period, an increase in adjusted EBITDA margin of 140 basis points. Adjusted EBITDA margin was impacted by the same offsetting factors impacting the adjusted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4" w:name="page55"/>
    <w:bookmarkEnd w:id="54"/>
    <w:p>
      <w:pPr>
        <w:ind w:right="20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31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7"/>
        </w:trPr>
        <w:tc>
          <w:tcPr>
            <w:tcW w:w="3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113</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296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15.4 %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290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(9.1)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22.1 %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17.8 %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430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16.4 %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370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85</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241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18.6 %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15.9 %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270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Restructuring and realignment costs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216.7</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19.5 %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16.3 %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320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15.6 %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330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and Control Solutions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64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188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14.4 %</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(210) bp</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(320) 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(200.0)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4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4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150.0</w:t>
            </w:r>
          </w:p>
        </w:tc>
        <w:tc>
          <w:tcPr>
            <w:tcW w:w="4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400.0</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17.9 %</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i w:val="1"/>
                <w:iCs w:val="1"/>
                <w:color w:val="auto"/>
              </w:rPr>
              <w:t>(70) bp</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18.8 %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i w:val="1"/>
                <w:iCs w:val="1"/>
                <w:color w:val="auto"/>
              </w:rPr>
              <w:t>(140) 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Solutions and Services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98</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220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15.5 %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10.9 %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460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290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(25.0)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(3.8)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(53.8)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16.3 %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370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bp</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15.9 %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110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(26)</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28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restart"/>
          </w:tcPr>
          <w:p>
            <w:pPr>
              <w:jc w:val="right"/>
              <w:ind w:right="58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(43.8) %</w:t>
            </w:r>
          </w:p>
        </w:tc>
        <w:tc>
          <w:tcPr>
            <w:tcW w:w="0" w:type="dxa"/>
            <w:vAlign w:val="bottom"/>
          </w:tcPr>
          <w:p>
            <w:pPr>
              <w:spacing w:after="0"/>
              <w:rPr>
                <w:sz w:val="1"/>
                <w:szCs w:val="1"/>
                <w:color w:val="auto"/>
              </w:rPr>
            </w:pPr>
          </w:p>
        </w:tc>
      </w:tr>
      <w:tr>
        <w:trPr>
          <w:trHeight w:val="210"/>
        </w:trPr>
        <w:tc>
          <w:tcPr>
            <w:tcW w:w="3580" w:type="dxa"/>
            <w:vAlign w:val="bottom"/>
          </w:tcPr>
          <w:p>
            <w:pPr>
              <w:ind w:left="680"/>
              <w:spacing w:after="0"/>
              <w:rPr>
                <w:sz w:val="20"/>
                <w:szCs w:val="20"/>
                <w:color w:val="auto"/>
              </w:rPr>
            </w:pPr>
            <w:r>
              <w:rPr>
                <w:rFonts w:ascii="Arial" w:cs="Arial" w:eastAsia="Arial" w:hAnsi="Arial"/>
                <w:sz w:val="16"/>
                <w:szCs w:val="16"/>
                <w:color w:val="auto"/>
              </w:rPr>
              <w:t>Adjusted operating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Xylem</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334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870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13.3 %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13.1 %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28.6</w:t>
            </w:r>
          </w:p>
        </w:tc>
        <w:tc>
          <w:tcPr>
            <w:tcW w:w="4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2"/>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16.6 %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230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15.8 %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160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ind w:left="720"/>
              <w:spacing w:after="0"/>
              <w:rPr>
                <w:sz w:val="20"/>
                <w:szCs w:val="20"/>
                <w:color w:val="auto"/>
              </w:rPr>
            </w:pPr>
            <w:r>
              <w:rPr>
                <w:rFonts w:ascii="Arial" w:cs="Arial" w:eastAsia="Arial" w:hAnsi="Arial"/>
                <w:sz w:val="18"/>
                <w:szCs w:val="18"/>
                <w:b w:val="1"/>
                <w:bCs w:val="1"/>
                <w:color w:val="auto"/>
                <w:w w:val="98"/>
              </w:rPr>
              <w:t>Three Months Ended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9"/>
                <w:szCs w:val="19"/>
                <w:color w:val="auto"/>
              </w:rPr>
            </w:pPr>
          </w:p>
        </w:tc>
      </w:tr>
      <w:tr>
        <w:trPr>
          <w:trHeight w:val="235"/>
        </w:trPr>
        <w:tc>
          <w:tcPr>
            <w:tcW w:w="38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Change</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tcPr>
          <w:p>
            <w:pPr>
              <w:spacing w:after="0"/>
              <w:rPr>
                <w:sz w:val="19"/>
                <w:szCs w:val="19"/>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Xylem</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bp</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bp</w:t>
            </w: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2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Loss attributable to non-controlling interests</w:t>
            </w:r>
          </w:p>
        </w:tc>
        <w:tc>
          <w:tcPr>
            <w:tcW w:w="22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23.2 %</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bp</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bp</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September 30, 2025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Water Infrastructure</w:t>
            </w:r>
          </w:p>
        </w:tc>
        <w:tc>
          <w:tcPr>
            <w:tcW w:w="280" w:type="dxa"/>
            <w:vAlign w:val="bottom"/>
          </w:tcPr>
          <w:p>
            <w:pPr>
              <w:spacing w:after="0"/>
              <w:rPr>
                <w:sz w:val="14"/>
                <w:szCs w:val="14"/>
                <w:color w:val="auto"/>
              </w:rPr>
            </w:pPr>
          </w:p>
        </w:tc>
        <w:tc>
          <w:tcPr>
            <w:tcW w:w="1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Applied Water</w:t>
            </w:r>
          </w:p>
        </w:tc>
        <w:tc>
          <w:tcPr>
            <w:tcW w:w="2160" w:type="dxa"/>
            <w:vAlign w:val="bottom"/>
            <w:gridSpan w:val="3"/>
          </w:tcPr>
          <w:p>
            <w:pPr>
              <w:ind w:left="20"/>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160" w:type="dxa"/>
            <w:vAlign w:val="bottom"/>
          </w:tcPr>
          <w:p>
            <w:pPr>
              <w:spacing w:after="0"/>
              <w:rPr>
                <w:sz w:val="14"/>
                <w:szCs w:val="14"/>
                <w:color w:val="auto"/>
              </w:rPr>
            </w:pPr>
          </w:p>
        </w:tc>
        <w:tc>
          <w:tcPr>
            <w:tcW w:w="186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460" w:type="dxa"/>
            <w:vAlign w:val="bottom"/>
          </w:tcPr>
          <w:p>
            <w:pPr>
              <w:ind w:left="660"/>
              <w:spacing w:after="0"/>
              <w:rPr>
                <w:sz w:val="20"/>
                <w:szCs w:val="20"/>
                <w:color w:val="auto"/>
              </w:rPr>
            </w:pPr>
            <w:r>
              <w:rPr>
                <w:rFonts w:ascii="Arial" w:cs="Arial" w:eastAsia="Arial" w:hAnsi="Arial"/>
                <w:sz w:val="16"/>
                <w:szCs w:val="16"/>
                <w:b w:val="1"/>
                <w:bCs w:val="1"/>
                <w:color w:val="auto"/>
              </w:rPr>
              <w:t>Solutions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17.2 %</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18.6 %</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15.5 %</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(gain) attributable to non-</w:t>
            </w:r>
          </w:p>
        </w:tc>
        <w:tc>
          <w:tcPr>
            <w:tcW w:w="18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18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color w:val="auto"/>
              </w:rPr>
              <w:t>Gain (loss) on sale of</w:t>
            </w:r>
          </w:p>
        </w:tc>
        <w:tc>
          <w:tcPr>
            <w:tcW w:w="180" w:type="dxa"/>
            <w:vAlign w:val="bottom"/>
          </w:tcPr>
          <w:p>
            <w:pPr>
              <w:spacing w:after="0"/>
              <w:rPr>
                <w:sz w:val="14"/>
                <w:szCs w:val="14"/>
                <w:color w:val="auto"/>
              </w:rPr>
            </w:pPr>
          </w:p>
        </w:tc>
        <w:tc>
          <w:tcPr>
            <w:tcW w:w="1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spacing w:after="0"/>
              <w:rPr>
                <w:sz w:val="14"/>
                <w:szCs w:val="14"/>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businesses</w:t>
            </w:r>
          </w:p>
        </w:tc>
        <w:tc>
          <w:tcPr>
            <w:tcW w:w="18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3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139</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93</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&amp; realignment</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180" w:type="dxa"/>
            <w:vAlign w:val="bottom"/>
          </w:tcPr>
          <w:p>
            <w:pPr>
              <w:spacing w:after="0"/>
              <w:rPr>
                <w:sz w:val="18"/>
                <w:szCs w:val="18"/>
                <w:color w:val="auto"/>
              </w:rPr>
            </w:pPr>
          </w:p>
        </w:tc>
        <w:tc>
          <w:tcPr>
            <w:tcW w:w="20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(Gain) loss on sale of</w:t>
            </w: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businesses</w:t>
            </w:r>
          </w:p>
        </w:tc>
        <w:tc>
          <w:tcPr>
            <w:tcW w:w="18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color w:val="auto"/>
              </w:rPr>
              <w:t>(Loss) gain attributable to non-</w:t>
            </w:r>
          </w:p>
        </w:tc>
        <w:tc>
          <w:tcPr>
            <w:tcW w:w="180" w:type="dxa"/>
            <w:vAlign w:val="bottom"/>
          </w:tcPr>
          <w:p>
            <w:pPr>
              <w:spacing w:after="0"/>
              <w:rPr>
                <w:sz w:val="14"/>
                <w:szCs w:val="14"/>
                <w:color w:val="auto"/>
              </w:rPr>
            </w:pPr>
          </w:p>
        </w:tc>
        <w:tc>
          <w:tcPr>
            <w:tcW w:w="202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4"/>
                <w:szCs w:val="14"/>
                <w:color w:val="auto"/>
              </w:rPr>
            </w:pPr>
          </w:p>
        </w:tc>
        <w:tc>
          <w:tcPr>
            <w:tcW w:w="186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spacing w:after="0"/>
              <w:rPr>
                <w:sz w:val="14"/>
                <w:szCs w:val="14"/>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controlling interests</w:t>
            </w:r>
          </w:p>
        </w:tc>
        <w:tc>
          <w:tcPr>
            <w:tcW w:w="1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24.4 %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21.7 %</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21.8 %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26.3 %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ind w:left="94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jc w:val="right"/>
              <w:ind w:right="159"/>
              <w:spacing w:after="0"/>
              <w:rPr>
                <w:sz w:val="20"/>
                <w:szCs w:val="20"/>
                <w:color w:val="auto"/>
              </w:rPr>
            </w:pPr>
            <w:r>
              <w:rPr>
                <w:rFonts w:ascii="Arial" w:cs="Arial" w:eastAsia="Arial" w:hAnsi="Arial"/>
                <w:sz w:val="18"/>
                <w:szCs w:val="18"/>
                <w:b w:val="1"/>
                <w:bCs w:val="1"/>
                <w:color w:val="auto"/>
              </w:rPr>
              <w:t>September 30, 2024</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Water Infrastructure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Applied Water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ind w:left="20"/>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240"/>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Solutions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71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15.4 %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15.9 %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b w:val="1"/>
                <w:bCs w:val="1"/>
                <w:color w:val="auto"/>
              </w:rPr>
              <w:t>14.4 %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10.9 %</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sale of businesses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500" w:type="dxa"/>
            <w:vAlign w:val="bottom"/>
          </w:tcPr>
          <w:p>
            <w:pPr>
              <w:ind w:left="20"/>
              <w:spacing w:after="0" w:line="162" w:lineRule="exact"/>
              <w:rPr>
                <w:sz w:val="20"/>
                <w:szCs w:val="20"/>
                <w:color w:val="auto"/>
              </w:rPr>
            </w:pPr>
            <w:r>
              <w:rPr>
                <w:rFonts w:ascii="Arial" w:cs="Arial" w:eastAsia="Arial" w:hAnsi="Arial"/>
                <w:sz w:val="16"/>
                <w:szCs w:val="16"/>
                <w:color w:val="auto"/>
              </w:rPr>
              <w:t>Other non-operating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vMerge w:val="restart"/>
          </w:tcPr>
          <w:p>
            <w:pPr>
              <w:jc w:val="right"/>
              <w:ind w:right="58"/>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excluding interest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120</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79</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sale of businesses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127</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83</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20.4 %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18.6 %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24.7 %</w:t>
            </w:r>
          </w:p>
        </w:tc>
        <w:tc>
          <w:tcPr>
            <w:tcW w:w="0" w:type="dxa"/>
            <w:vAlign w:val="bottom"/>
          </w:tcPr>
          <w:p>
            <w:pPr>
              <w:spacing w:after="0"/>
              <w:rPr>
                <w:sz w:val="1"/>
                <w:szCs w:val="1"/>
                <w:color w:val="auto"/>
              </w:rPr>
            </w:pPr>
          </w:p>
        </w:tc>
      </w:tr>
      <w:tr>
        <w:trPr>
          <w:trHeight w:val="337"/>
        </w:trPr>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2025 versus 2024</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Water Infrastructure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Applied Water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ind w:left="240"/>
              <w:spacing w:after="0" w:line="163" w:lineRule="exact"/>
              <w:rPr>
                <w:sz w:val="20"/>
                <w:szCs w:val="20"/>
                <w:color w:val="auto"/>
              </w:rPr>
            </w:pPr>
            <w:r>
              <w:rPr>
                <w:rFonts w:ascii="Arial" w:cs="Arial" w:eastAsia="Arial" w:hAnsi="Arial"/>
                <w:sz w:val="16"/>
                <w:szCs w:val="16"/>
                <w:b w:val="1"/>
                <w:bCs w:val="1"/>
                <w:color w:val="auto"/>
              </w:rPr>
              <w:t>Measurement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jc w:val="right"/>
              <w:ind w:right="380"/>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4"/>
          </w:tcPr>
          <w:p>
            <w:pPr>
              <w:ind w:left="240"/>
              <w:spacing w:after="0"/>
              <w:rPr>
                <w:sz w:val="20"/>
                <w:szCs w:val="20"/>
                <w:color w:val="auto"/>
              </w:rPr>
            </w:pPr>
            <w:r>
              <w:rPr>
                <w:rFonts w:ascii="Arial" w:cs="Arial" w:eastAsia="Arial" w:hAnsi="Arial"/>
                <w:sz w:val="16"/>
                <w:szCs w:val="16"/>
                <w:b w:val="1"/>
                <w:bCs w:val="1"/>
                <w:color w:val="auto"/>
              </w:rPr>
              <w:t>Control Solutions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5"/>
        </w:trPr>
        <w:tc>
          <w:tcPr>
            <w:tcW w:w="2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tcBorders>
              <w:top w:val="single" w:sz="8" w:color="CCEEFF"/>
            </w:tcBorders>
            <w:gridSpan w:val="2"/>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 bps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270 bps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 bps</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460 bps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Loss (gain) attributable to non-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Gain (loss) on sale of businesses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Other non-operating income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(expense), excluding interest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(Gain) loss from sale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businesses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(Loss) gain attributable to non-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 bps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310 bps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 bps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 bps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5"/>
          </w:tcPr>
          <w:p>
            <w:pPr>
              <w:ind w:left="1020"/>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5"/>
          </w:tcPr>
          <w:p>
            <w:pPr>
              <w:ind w:left="1020"/>
              <w:spacing w:after="0"/>
              <w:rPr>
                <w:sz w:val="20"/>
                <w:szCs w:val="20"/>
                <w:color w:val="auto"/>
              </w:rPr>
            </w:pPr>
            <w:r>
              <w:rPr>
                <w:rFonts w:ascii="Arial" w:cs="Arial" w:eastAsia="Arial" w:hAnsi="Arial"/>
                <w:sz w:val="16"/>
                <w:szCs w:val="16"/>
                <w:b w:val="1"/>
                <w:bCs w:val="1"/>
                <w:color w:val="auto"/>
              </w:rPr>
              <w:t>September 30, 2025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Water Infrastructure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Applied Water</w:t>
            </w:r>
          </w:p>
        </w:tc>
        <w:tc>
          <w:tcPr>
            <w:tcW w:w="20" w:type="dxa"/>
            <w:vAlign w:val="bottom"/>
          </w:tcPr>
          <w:p>
            <w:pPr>
              <w:spacing w:after="0"/>
              <w:rPr>
                <w:sz w:val="14"/>
                <w:szCs w:val="14"/>
                <w:color w:val="auto"/>
              </w:rPr>
            </w:pPr>
          </w:p>
        </w:tc>
        <w:tc>
          <w:tcPr>
            <w:tcW w:w="2160" w:type="dxa"/>
            <w:vAlign w:val="bottom"/>
            <w:gridSpan w:val="4"/>
          </w:tcPr>
          <w:p>
            <w:pPr>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160" w:type="dxa"/>
            <w:vAlign w:val="bottom"/>
          </w:tcPr>
          <w:p>
            <w:pPr>
              <w:spacing w:after="0"/>
              <w:rPr>
                <w:sz w:val="14"/>
                <w:szCs w:val="14"/>
                <w:color w:val="auto"/>
              </w:rPr>
            </w:pPr>
          </w:p>
        </w:tc>
        <w:tc>
          <w:tcPr>
            <w:tcW w:w="186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ind w:left="640"/>
              <w:spacing w:after="0"/>
              <w:rPr>
                <w:sz w:val="20"/>
                <w:szCs w:val="20"/>
                <w:color w:val="auto"/>
              </w:rPr>
            </w:pPr>
            <w:r>
              <w:rPr>
                <w:rFonts w:ascii="Arial" w:cs="Arial" w:eastAsia="Arial" w:hAnsi="Arial"/>
                <w:sz w:val="16"/>
                <w:szCs w:val="16"/>
                <w:b w:val="1"/>
                <w:bCs w:val="1"/>
                <w:color w:val="auto"/>
              </w:rPr>
              <w:t>Solutions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4"/>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15.7 %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17.5 %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12.1 %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12.1 %</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(gain) attributable to non-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2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Loss from sale of businesses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79"/>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122</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rPr>
              <w:t>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Other non-operating expense,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excluding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421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Loss from sale of businesses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gain attributable to non-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2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442</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22.4 %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21.0 %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22.0 %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24.2 %</w:t>
            </w:r>
          </w:p>
        </w:tc>
        <w:tc>
          <w:tcPr>
            <w:tcW w:w="0" w:type="dxa"/>
            <w:vAlign w:val="bottom"/>
          </w:tcPr>
          <w:p>
            <w:pPr>
              <w:spacing w:after="0"/>
              <w:rPr>
                <w:sz w:val="1"/>
                <w:szCs w:val="1"/>
                <w:color w:val="auto"/>
              </w:rPr>
            </w:pPr>
          </w:p>
        </w:tc>
      </w:tr>
      <w:tr>
        <w:trPr>
          <w:trHeight w:val="445"/>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5"/>
          </w:tcPr>
          <w:p>
            <w:pPr>
              <w:ind w:left="1040"/>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5"/>
          </w:tcPr>
          <w:p>
            <w:pPr>
              <w:ind w:left="1040"/>
              <w:spacing w:after="0"/>
              <w:rPr>
                <w:sz w:val="20"/>
                <w:szCs w:val="20"/>
                <w:color w:val="auto"/>
              </w:rPr>
            </w:pPr>
            <w:r>
              <w:rPr>
                <w:rFonts w:ascii="Arial" w:cs="Arial" w:eastAsia="Arial" w:hAnsi="Arial"/>
                <w:sz w:val="16"/>
                <w:szCs w:val="16"/>
                <w:b w:val="1"/>
                <w:bCs w:val="1"/>
                <w:color w:val="auto"/>
              </w:rPr>
              <w:t>September 30, 2024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Water Infrastructure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Applied Water</w:t>
            </w:r>
          </w:p>
        </w:tc>
        <w:tc>
          <w:tcPr>
            <w:tcW w:w="20" w:type="dxa"/>
            <w:vAlign w:val="bottom"/>
          </w:tcPr>
          <w:p>
            <w:pPr>
              <w:spacing w:after="0"/>
              <w:rPr>
                <w:sz w:val="14"/>
                <w:szCs w:val="14"/>
                <w:color w:val="auto"/>
              </w:rPr>
            </w:pPr>
          </w:p>
        </w:tc>
        <w:tc>
          <w:tcPr>
            <w:tcW w:w="2160" w:type="dxa"/>
            <w:vAlign w:val="bottom"/>
            <w:gridSpan w:val="4"/>
          </w:tcPr>
          <w:p>
            <w:pPr>
              <w:ind w:left="20"/>
              <w:spacing w:after="0" w:line="163" w:lineRule="exact"/>
              <w:rPr>
                <w:sz w:val="20"/>
                <w:szCs w:val="20"/>
                <w:color w:val="auto"/>
              </w:rPr>
            </w:pPr>
            <w:r>
              <w:rPr>
                <w:rFonts w:ascii="Arial" w:cs="Arial" w:eastAsia="Arial" w:hAnsi="Arial"/>
                <w:sz w:val="16"/>
                <w:szCs w:val="16"/>
                <w:b w:val="1"/>
                <w:bCs w:val="1"/>
                <w:color w:val="auto"/>
              </w:rPr>
              <w:t>Measurement and Control</w:t>
            </w:r>
          </w:p>
        </w:tc>
        <w:tc>
          <w:tcPr>
            <w:tcW w:w="160" w:type="dxa"/>
            <w:vAlign w:val="bottom"/>
          </w:tcPr>
          <w:p>
            <w:pPr>
              <w:spacing w:after="0"/>
              <w:rPr>
                <w:sz w:val="14"/>
                <w:szCs w:val="14"/>
                <w:color w:val="auto"/>
              </w:rPr>
            </w:pPr>
          </w:p>
        </w:tc>
        <w:tc>
          <w:tcPr>
            <w:tcW w:w="186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ind w:left="660"/>
              <w:spacing w:after="0"/>
              <w:rPr>
                <w:sz w:val="20"/>
                <w:szCs w:val="20"/>
                <w:color w:val="auto"/>
              </w:rPr>
            </w:pPr>
            <w:r>
              <w:rPr>
                <w:rFonts w:ascii="Arial" w:cs="Arial" w:eastAsia="Arial" w:hAnsi="Arial"/>
                <w:sz w:val="16"/>
                <w:szCs w:val="16"/>
                <w:b w:val="1"/>
                <w:bCs w:val="1"/>
                <w:color w:val="auto"/>
              </w:rPr>
              <w:t>Solutions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215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12.8 %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15.2 %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9.2 %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sale of businesses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color w:val="auto"/>
              </w:rPr>
              <w:t>Other non-operating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59"/>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excluding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306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353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&amp; realignment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sale of businesses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354</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410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19.4 %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17.6 %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22.5 %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151" w:right="379" w:bottom="1440" w:gutter="0" w:footer="0" w:header="0"/>
        </w:sectPr>
      </w:pPr>
    </w:p>
    <w:bookmarkStart w:id="58" w:name="page59"/>
    <w:bookmarkEnd w:id="58"/>
    <w:tbl>
      <w:tblPr>
        <w:tblLayout w:type="fixed"/>
        <w:tblInd w:w="16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2025 versus 2024</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Water Infrastructure</w:t>
            </w:r>
          </w:p>
        </w:tc>
        <w:tc>
          <w:tcPr>
            <w:tcW w:w="280" w:type="dxa"/>
            <w:vAlign w:val="bottom"/>
          </w:tcPr>
          <w:p>
            <w:pPr>
              <w:spacing w:after="0"/>
              <w:rPr>
                <w:sz w:val="14"/>
                <w:szCs w:val="14"/>
                <w:color w:val="auto"/>
              </w:rPr>
            </w:pPr>
          </w:p>
        </w:tc>
        <w:tc>
          <w:tcPr>
            <w:tcW w:w="18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Applied Water</w:t>
            </w:r>
          </w:p>
        </w:tc>
        <w:tc>
          <w:tcPr>
            <w:tcW w:w="220" w:type="dxa"/>
            <w:vAlign w:val="bottom"/>
          </w:tcPr>
          <w:p>
            <w:pPr>
              <w:spacing w:after="0"/>
              <w:rPr>
                <w:sz w:val="14"/>
                <w:szCs w:val="14"/>
                <w:color w:val="auto"/>
              </w:rPr>
            </w:pPr>
          </w:p>
        </w:tc>
        <w:tc>
          <w:tcPr>
            <w:tcW w:w="1880" w:type="dxa"/>
            <w:vAlign w:val="bottom"/>
            <w:gridSpan w:val="2"/>
          </w:tcPr>
          <w:p>
            <w:pPr>
              <w:ind w:left="100"/>
              <w:spacing w:after="0" w:line="163" w:lineRule="exact"/>
              <w:rPr>
                <w:sz w:val="20"/>
                <w:szCs w:val="20"/>
                <w:color w:val="auto"/>
              </w:rPr>
            </w:pPr>
            <w:r>
              <w:rPr>
                <w:rFonts w:ascii="Arial" w:cs="Arial" w:eastAsia="Arial" w:hAnsi="Arial"/>
                <w:sz w:val="16"/>
                <w:szCs w:val="16"/>
                <w:b w:val="1"/>
                <w:bCs w:val="1"/>
                <w:color w:val="auto"/>
              </w:rPr>
              <w:t>Measurement and</w:t>
            </w:r>
          </w:p>
        </w:tc>
        <w:tc>
          <w:tcPr>
            <w:tcW w:w="160" w:type="dxa"/>
            <w:vAlign w:val="bottom"/>
          </w:tcPr>
          <w:p>
            <w:pPr>
              <w:spacing w:after="0"/>
              <w:rPr>
                <w:sz w:val="14"/>
                <w:szCs w:val="14"/>
                <w:color w:val="auto"/>
              </w:rPr>
            </w:pPr>
          </w:p>
        </w:tc>
        <w:tc>
          <w:tcPr>
            <w:tcW w:w="184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auto"/>
              </w:rPr>
              <w:t>Water Solutions and</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Control Solutions</w:t>
            </w:r>
          </w:p>
        </w:tc>
        <w:tc>
          <w:tcPr>
            <w:tcW w:w="160" w:type="dxa"/>
            <w:vAlign w:val="bottom"/>
          </w:tcPr>
          <w:p>
            <w:pPr>
              <w:spacing w:after="0"/>
              <w:rPr>
                <w:sz w:val="18"/>
                <w:szCs w:val="18"/>
                <w:color w:val="auto"/>
              </w:rPr>
            </w:pP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Services</w:t>
            </w:r>
          </w:p>
        </w:tc>
        <w:tc>
          <w:tcPr>
            <w:tcW w:w="0" w:type="dxa"/>
            <w:vAlign w:val="bottom"/>
          </w:tcPr>
          <w:p>
            <w:pPr>
              <w:spacing w:after="0"/>
              <w:rPr>
                <w:sz w:val="1"/>
                <w:szCs w:val="1"/>
                <w:color w:val="auto"/>
              </w:rPr>
            </w:pPr>
          </w:p>
        </w:tc>
      </w:tr>
      <w:tr>
        <w:trPr>
          <w:trHeight w:val="234"/>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290 bps</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 bps</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(320) bps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290 bps</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Loss (gain) attributable to non-</w:t>
            </w:r>
          </w:p>
        </w:tc>
        <w:tc>
          <w:tcPr>
            <w:tcW w:w="160" w:type="dxa"/>
            <w:vAlign w:val="bottom"/>
            <w:shd w:val="clear" w:color="auto" w:fill="CCEEFF"/>
          </w:tcPr>
          <w:p>
            <w:pPr>
              <w:spacing w:after="0"/>
              <w:rPr>
                <w:sz w:val="14"/>
                <w:szCs w:val="14"/>
                <w:color w:val="auto"/>
              </w:rPr>
            </w:pPr>
          </w:p>
        </w:tc>
        <w:tc>
          <w:tcPr>
            <w:tcW w:w="1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160" w:type="dxa"/>
            <w:vAlign w:val="bottom"/>
            <w:shd w:val="clear" w:color="auto" w:fill="CCEEFF"/>
          </w:tcPr>
          <w:p>
            <w:pPr>
              <w:spacing w:after="0"/>
              <w:rPr>
                <w:sz w:val="18"/>
                <w:szCs w:val="18"/>
                <w:color w:val="auto"/>
              </w:rPr>
            </w:pPr>
          </w:p>
        </w:tc>
        <w:tc>
          <w:tcPr>
            <w:tcW w:w="1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(Gain) loss on sale of businesses</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non-operating (expense)</w:t>
            </w:r>
          </w:p>
        </w:tc>
        <w:tc>
          <w:tcPr>
            <w:tcW w:w="1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excluding interest</w:t>
            </w:r>
          </w:p>
        </w:tc>
        <w:tc>
          <w:tcPr>
            <w:tcW w:w="16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Restructuring &amp; realignment</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Gain (loss) on sale of businesses</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(Loss) gain attributable to non-</w:t>
            </w:r>
          </w:p>
        </w:tc>
        <w:tc>
          <w:tcPr>
            <w:tcW w:w="160" w:type="dxa"/>
            <w:vAlign w:val="bottom"/>
            <w:shd w:val="clear" w:color="auto" w:fill="CCEEFF"/>
          </w:tcPr>
          <w:p>
            <w:pPr>
              <w:spacing w:after="0"/>
              <w:rPr>
                <w:sz w:val="14"/>
                <w:szCs w:val="14"/>
                <w:color w:val="auto"/>
              </w:rPr>
            </w:pPr>
          </w:p>
        </w:tc>
        <w:tc>
          <w:tcPr>
            <w:tcW w:w="1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160" w:type="dxa"/>
            <w:vAlign w:val="bottom"/>
            <w:shd w:val="clear" w:color="auto" w:fill="CCEEFF"/>
          </w:tcPr>
          <w:p>
            <w:pPr>
              <w:spacing w:after="0"/>
              <w:rPr>
                <w:sz w:val="18"/>
                <w:szCs w:val="18"/>
                <w:color w:val="auto"/>
              </w:rPr>
            </w:pPr>
          </w:p>
        </w:tc>
        <w:tc>
          <w:tcPr>
            <w:tcW w:w="1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 bps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 bps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 bps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 bps</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Water Infrastructure segment was $113 million (operating margin of 17.2%) during the third quarter of 2025, an increase of $17 million, or 17.7%, when compared to operating income of $96 million (operating margin of 15.4%) during the prior year, or a total increase in operating margin of 180 basis points. Operating margin expansion was partially offset by net unfavorable impacts of 250 basis points from increased restructuring and realignment costs and special charges, partially offset by decreased acquired intangible asset amortization as compared to the prior year. Additionally, operating margin expansion included 850 basis points of favorable operating impacts driven by 430 basis points of productivity and restructuring savings, 260 basis points of price realization, and 70 basis points of favorable mix. Margin expansion was partially offset by 420 basis points of unfavorable operational impacts, driven by 200 basis points of inflation, 120 basis points of decreased volume, and 50 basis points of increased spending on strategic investments. Excluding amortization of acquired intangibles, restructuring and realignment costs and special charges, adjusted operating income was $145 million (adjusted operating margin of 22.1%) for the third quarter of 2025 as compared to adjusted operating income of $111 million (adjusted operating margin of 17.8%) for the third quarter of 2024.</w:t>
      </w:r>
    </w:p>
    <w:p>
      <w:pPr>
        <w:spacing w:after="0" w:line="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Adjusted EBITDA was $160 million (adjusted EBITDA margin of 24.4%) for the third quarter of 2025, an increase of $33 million, or 26.0%, when compared to adjusted EBITDA of $127 million (adjusted EBITDA margin of 20.4%) during the prior year. The increase in adjusted EBITDA margin was primarily driven by the same factors impacting the increase in adjusted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ind w:right="40"/>
        <w:spacing w:after="0" w:line="254" w:lineRule="auto"/>
        <w:rPr>
          <w:sz w:val="20"/>
          <w:szCs w:val="20"/>
          <w:color w:val="auto"/>
        </w:rPr>
      </w:pPr>
      <w:r>
        <w:rPr>
          <w:rFonts w:ascii="Arial" w:cs="Arial" w:eastAsia="Arial" w:hAnsi="Arial"/>
          <w:sz w:val="18"/>
          <w:szCs w:val="18"/>
          <w:color w:val="auto"/>
        </w:rPr>
        <w:t>Operating income for our Water Infrastructure segment was $296 million (operating margin of 15.7%) during the nine months ended September 30, 2025, an increase of $62 million, or 26.5%, when compared to operating income of $234 million (operating margin of 12.8%) during the prior year, or a total increase in operating margin of 290 basis points. Operating margin growth included unfavorable impacts of 80 basis points from increases in restructuring and realignment costs partially offset by declines in acquired intangible amortization compared to the prior year. Operating margin expansion included 740 basis points of favorable operational impacts, driven by 420 basis points of productivity and restructuring savings and 210 basis points of price realization. Margin expansion was partially offset by 370 basis points of unfavorable operating impacts driven by 230 basis points of inflation, 40 basis points of decreased volume and 30 basis points of increased spending on strategic investments. Excluding amortization of acquired intangibles, restructuring and realignment costs, and special charges, adjusted operating income was $379 million (adjusted operating margin of 20.1%) for the nine months ended September 30, 2025 as compared to adjusted operating income of $300 million (adjusted operating margin of 16.4%) for the nine months ended September 30, 2024.</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Adjusted EBITDA was $422 million (adjusted EBITDA margin of 22.4%) for the nine months ended September 30, 2025, an increase of $68 million, or 19.2%, when compared to adjusted EBITDA of $354 million (adjusted EBITDA margin of 19.4%) during the prior year. Adjusted EBITDA margin was impacted by the same offsetting factors impacting the adjusted operating margin; however, adjusted EBITDA margin did not benefit from the relative impact of decreased depreciation and software amortization.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for our Applied Water segment was $85 million (operating margin of 18.6%) during the third quarter of 2025, an increase of $14 million, or 19.7%, when compared to operating income of $71 million (operating margin of 15.9%) during the prior year, or a total increase in operating margin of 270 basis points. Operating margin expansion was negatively impacted by 50 basis points from increases in restructuring and realignment costs as compared to the prior year. Operating margin expansion included 750 basis points of favorable operational impacts, driven by 550 basis points of productivity savings, 90 basis points of favorable mix, and 70 basis points of price realization. Operating margin expansion was offset by 430 basis points of unfavorable operational impacts driven primarily by 270 basis points of inflation, 60 basis points of inventory management costs, 50 basis points of increased spending on strategic investments, and 50 basis points of decreased volume. Excluding restructuring and realignment costs, adjusted operating income was $89 million (adjusted operating margin of 19.5%) for the third quarter of 2025 as compared to adjusted operating income of $73 million (adjusted operating margin of 16.3%) for the third quarter of 2024.</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Adjusted EBITDA was $99 million (adjusted EBITDA margin of 21.7%) for the third quarter of 2025, an increase of $16 million, or 19%, when compared to adjusted EBITDA of $83 million (adjusted EBITDA margin of 18.6%) during the prior year. The increase in adjusted EBITDA margin was primarily due to the same factors impacting the increase in adjusted operating margin.</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for our Applied Water segment was $241 million (operating margin of 17.5%) during the nine months ended September 30, 2025, an increase of $38 million, or 18.7%, when compared to operating income of $203 million (operating margin of 15.2%) during the prior year, or a total increase in operating margin of 230 basis points. Operating margin expansion was negatively impacted by 100 basis points from an increase in restructuring and realignment costs as compared to the prior year. Operating margin expansion included 750 basis points of favorable operational impacts driven by 570 basis points of productivity savings, 110 basis points of price realization, and 50 basis points of favorable mix. Margin expansion was partially offset by 420 basis points of unfavorable operational impacts driven by 270 basis points of inflation and 50 basis points of increased spending on strategic investments. Excluding restructuring and realignment costs, adjusted operating income was $260 million (adjusted operating margin of 18.9%) for the nine months ended September 30, 2025 as compared to adjusted operating income of $209 million (adjusted operating margin of 15.6%) for the nine months ended September 30, 2024.</w:t>
      </w:r>
    </w:p>
    <w:p>
      <w:pPr>
        <w:spacing w:after="0" w:line="7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Adjusted EBITDA was $289 million (adjusted EBITDA margin of 21.0%) for the nine months ended September 30, 2025, an increase of $54 million, or 23.0%, when compared to adjusted EBITDA of $235 million (adjusted EBITDA margin of 17.6%) during the prior year. The increase in adjusted EBITDA margin was primarily due to the same factors impacting the increase in adjusted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Operating income for our Measurement and Control Solutions segment was $64 million (operating margin of 12.3%) during the third quarter of 2025, a decrease of $ 2 million, or 3.0%, when compared to operating income of $66 million (operating margin of 14.4%) during the prior year, or a total decrease in operating margin of 210 basis points. The operating margin decline included unfavorable impacts of 140 basis points from an increase in acquired intangible asset amortization, special charges, and restructuring and realignment costs as compared to the prior year. Additionally, operating margin declines included 640 basis points of unfavorable operational impacts, primarily consisting of 290 basis points of unfavorable mix, 240 basis points of inflation, 70 basis points of increased spending on strategic investments, and 70 basis points of inventory management costs. The decline in margin was partially offset by positive operational impacts of 570 basis points consisting of 340 basis points of productivity savings, 150 basis points of price realization, and 80 basis points of increased volume. Excluding acquired intangible asset amortization, restructuring and realignment costs and special charges, adjusted operating income was $90 million (adjusted operating margin of 17.2%) for the third quarter of 2025 as compared to adjusted operating income of $82 million (adjusted operating margin of 17.9%) for the third quarter of 2024.</w:t>
      </w:r>
    </w:p>
    <w:p>
      <w:pPr>
        <w:spacing w:after="0" w:line="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Adjusted EBITDA was $114 million (adjusted EBITDA margin of 21.8%) for the third quarter of 2025, an increase of $17 million, or 18%, when compared to adjusted EBITDA of $97 million (adjusted EBITDA margin of 21.2%) during the prior year. The increase in adjusted EBITDA margin was due to the same factors as those impacting the decrease in adjusted operating margin; however, adjusted EBITDA benefitted from decreased non-operating expenses and was not negatively impacted by the relative impact of increases in depreciation and software amortization expense.</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Measurement and Control Solutions segment was $188 million (operating margin of 12.1%) during the nine months ended September 30, 2025, a decrease of $27 million, or 12.6%, when compared to operating income of $ 215 million (operating margin of 15.3%) during the prior year, or a total decrease in operating margin of 320 basis points. Operating margin declines included unfavorable impacts of 180 basis points from increased acquired intangible amortization, special charges, and restructuring and realignment costs as compared to the prior year. Additionally, operating margin declines included 710 basis points of unfavorable operational impacts including 260 basis points of unfavorable mix, 230 basis points of inflation, 60 basis points from increased spending on strategic investments, and 50 basis points of negative operating impact from acquisitions. Margin declines were partially offset by favorable operational impacts of 570 basis points consisting of 350 basis points of productivity savings, 130 basis points of price realization, and 90 basis points of increased volume. Excluding acquired intangible asset amortization, restructuring and realignment costs, and special charges, adjusted operating income was $270 million (adjusted operating margin of 17.4%) for the nine months ended September 30, 2025 as compared to adjusted operating income of $264 million (adjusted operating margin of 18.8%) for the nine months ended September 30, 2024.</w:t>
      </w:r>
    </w:p>
    <w:p>
      <w:pPr>
        <w:spacing w:after="0" w:line="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Adjusted EBITDA was $342 million (adjusted EBITDA margin of 22.0%) for the nine months ended September 30, 2025, an increase of $27 million, or 9%, when compared to adjusted EBITDA of $315 million (adjusted EBITDA margin of 22.5%) during the prior year. The decrease in adjusted EBITDA margin was primarily due to the same factors as those impacting the decrease in adjusted operating margin; however, adjusted EBITDA benefitted from decreased non-operating expenses and was not negatively impacted by the relative impact of increases in depreciation and software amortization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Operating income for our Water Solutions and Services segment was $98 million (operating margin of 15.5%) during the third quarter of 2025, an increase of $35 million, or 55.6%, when compared to operating income of $63 million (operating margin of 10.9%) during the prior year, or a total increase in operating margin of 460 basis points. The operating margin expansion included favorable impacts of 90 basis points from slightly decreased restructuring and realignment costs and acquired intangible asset amortization, and flat special charges against increasing revenues over the prior year period. Additionally, operating margin expansion included 690 basis points of favorable operational impacts including 240 basis points of price realization, 160 basis points of increased volume, 110 basis points of decreased investment spending, 80 basis points of productivity savings and 60 basis points of favorable foreign currency impacts. Margin expansion was partially offset by unfavorable operational impacts of 320 basis points driven by 190 basis points of inflation and 50 basis points of unfavorable mix. Excluding acquired intangible asset amortization, restructuring and realignment costs, and special charges, adjusted operating income was $127 million (adjusted operating margin of 20.0%) for the third quarter of 2025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3"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compared to adjusted operating income of $94 million (adjusted operating margin of 16.3%) for the third quarter of 2024.</w:t>
      </w:r>
    </w:p>
    <w:p>
      <w:pPr>
        <w:spacing w:after="0" w:line="117"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color w:val="auto"/>
        </w:rPr>
        <w:t>Adjusted EBITDA was $167 million (adjusted EBITDA margin of 26.3%) for the third quarter of 2025, an increase of $25 million, or 18%, when compared to adjusted EBITDA of $142 million (adjusted EBITDA margin of 24.7%) during the prior year. The increase in adjusted EBITDA margin was primarily due to the same factors as those impacting the increase in adjusted operating margin; however, adjusted EBITDA margin did not benefit from the relative impact of decrease in depreciation and software amortization.</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Water Solutions and Services segment was $220 million (operating margin of 12.1%) during the nine months ended September 30, 2025, an increase of $60 million, or 37.5%, when compared to operating income of $160 million (operating margin of 9.2%) during the prior year, or a total increase in operating margin of 290 basis points. Operating margin expansion included net favorable impacts of 180 basis points due to decreases in restructuring and realignment costs and special charges, partially offset by increases in acquired intangible asset amortization as compared to the prior year. Additionally, operating margin expansion included 440 basis points of favorable operational impacts, driven by 210 basis points of price realization, 120 basis points of productivity savings, and 40 basis points of increased volume. Margin expansion was offset by negative operational impacts of 330 basis points driven by 170 basis points of inflation, 60 basis points of unfavorable mix, and 30 basis points of inventory management costs. Excluding acquired intangible asset amortization, special charges, and restructuring and realignment costs, adjusted operating income was $311 million (adjusted operating margin of 17.0%) for the nine months ended September 30, 2025 as compared to adjusted operating income of $276 million (adjusted operating margin of 15.9%) for the nine months ended September 30, 2024.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was $442 million (adjusted EBITDA margin of 24.2%) for the nine months ended September 30, 2025, an increase of</w:t>
      </w:r>
    </w:p>
    <w:p>
      <w:pPr>
        <w:spacing w:after="0" w:line="27"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$32 million, or 8%, when compared to adjusted EBITDA of $410 million (adjusted EBITDA margin of 23.6%) during the prior year. Adjusted EBITDA margin increased due to the same factors as those impacting the increase in adjusted operating margin; however, adjusted EBITDA margin did not benefit from the impact of essentially flat depreciation and software amortization expense relative to increased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0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Operating loss for corporate and other increased $10 million, or 62.5%, during the third quarter of 2025 compared to the prior year period. Operating loss increased primarily due to increased spending on and timing of strategic investments and inflation. Excluding special charges and restructuring and realignment costs, adjusted operating loss for corporate and other increased $12 million, or 120.0%, for the three months ended September 30, 2025, driven by the same factors as those driving the increase in operating loss.</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Operating loss for corporate and other increased $5 million, or 7.1%, during nine months ended September 30, 2025 compared to the prior year period. The increased operating loss was primarily due to increased spending on strategic investments and inflation, partially offset by lower special charges. Excluding special charges and restructuring and realignment costs, adjusted operating loss for corporate and other increased $11 million, or 20.8%, for the nine months ended September 30,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Interest expense was $6 million for the three months ended September 30, 2025, compared to $10 million for the comparable prior year period. The decrease in interest expense was primarily driven by increased interest income generated on cross currency swaps offsetting interest expense.</w:t>
      </w:r>
    </w:p>
    <w:p>
      <w:pPr>
        <w:spacing w:after="0" w:line="6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Interest expense was $23 million for the nine months ended September 30, 2025, compared to $35 million for the nine months ended September 30, 2024. The decrease in interest expense was primarily driven by increased interest income generated on cross currency swaps offsetting interest expense, and lower debt due to the repayment of the term loan entered into in May 2023 for use in funding the acquisition of Evoqua, which was repaid on April 19, 2024.</w:t>
      </w:r>
    </w:p>
    <w:p>
      <w:pPr>
        <w:spacing w:after="0" w:line="6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See Note 10, “Derivative Financial Instruments” and Note 12, "Credit Facilities and Debt," of our condensed consolidated financial statements for a description of our net investment hedges and credit facilities and long-term debt,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income tax provision for the three months ended September 30, 2025 was $ 71 million resulting in an effective tax rate of 23.9%, compared to $52 million of expense resulting in an effective tax rate of 19.3% for the same period in 2024. The income tax provision for the nine months ended September 30, 2025 was $196 million resulting in an effective tax rate of 24.1%, compared to $148 million of expense resulting in an effective tax rate of 20.7% for the same period in 2024. The effective tax rate for the three and nine month period ended September 30, 2025 was higher than the effective tax rate for the same period in 2024, primarily due to the mix of earnings and the impact of discrete tax benefits recognized in the prior 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Change</w:t>
            </w:r>
          </w:p>
        </w:tc>
      </w:tr>
      <w:tr>
        <w:trPr>
          <w:trHeight w:val="224"/>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cash classified within assets held for sale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Decrease in cash classified within assets held for sale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6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impact is primarily due to strengthening of the Euro and the Canadian Dollar against the U.S. Dollar.</w:t>
      </w:r>
    </w:p>
    <w:p>
      <w:pPr>
        <w:spacing w:after="0" w:line="110" w:lineRule="exact"/>
        <w:rPr>
          <w:rFonts w:ascii="Arial" w:cs="Arial" w:eastAsia="Arial" w:hAnsi="Arial"/>
          <w:sz w:val="16"/>
          <w:szCs w:val="16"/>
          <w:color w:val="auto"/>
        </w:rPr>
      </w:pPr>
    </w:p>
    <w:p>
      <w:pPr>
        <w:ind w:right="8660"/>
        <w:spacing w:after="0" w:line="374"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Cash generated by operating activities was $698 million for the nine months ended September 30, 2025 as compared to cash generated by operating activities of $ 688 million in the comparable prior year period. The increase in cash provided was primarily driven by higher cash earnings, and reduced investment in working capital, reflecting inventory management initiatives. The recognition of receivables on long term contracts, increased payments for infrastructure costs and higher tax payments, partially offset these items.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used in investing activities was $329 million for the nine months ended September 30, 2025 as compared to $193 million used in the comparable prior year period. The increase in cash used primarily reflects cash paid for an acquisitions, including an asset acquisition, higher capital expenditures and increased cash paid for investments. Increased proceeds from the sale of businesses, including the sale of the former Evoqua Magneto business, and cash received from the sale of property plant and equipment partially offset these items.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Cash used in financing activities was $382 million for the nine months ended September 30, 2025 as compared to cash used of $520 million in the comparable prior year period. The decrease in cash used reflects the repayment of a term loan in 2024, partially offset by lower proceeds from employee stock option exercises, increased repayments of equipment financing debt, and higher dividend payments.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3" w:name="page64"/>
    <w:bookmarkEnd w:id="63"/>
    <w:p>
      <w:pPr>
        <w:ind w:right="20"/>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7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$2.2 billion, consisting of $1.2 billion of cash and $1 billion of available credit facilities as disclosed in Note 12, "Credit Facilities and Debt", of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we continue to grow our operations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2024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2024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Outlook</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raising our total revenue growth outlook to 5% to 6%, and organic revenue growth to 4% to 5% in 2025. Our outlook is being provided in the context of the current volatility, including due to geopolitical, trade, macroeconomic and regulatory uncertainty. Our ability to meet our expectations is subject to a number of risks, including, but not limited to, those described in "Item 1A. Risk Factors"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2024 Annual Report.</w:t>
      </w:r>
    </w:p>
    <w:p>
      <w:pPr>
        <w:spacing w:after="0" w:line="200" w:lineRule="exact"/>
        <w:rPr>
          <w:sz w:val="20"/>
          <w:szCs w:val="20"/>
          <w:color w:val="auto"/>
        </w:rPr>
      </w:pPr>
    </w:p>
    <w:p>
      <w:pPr>
        <w:spacing w:after="0" w:line="34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Note 18, "Commitments and Contingencies," to the condensed consolidated financial statements for further information and any updates.</w:t>
      </w:r>
    </w:p>
    <w:p>
      <w:pPr>
        <w:spacing w:after="0" w:line="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2024 Annual Report.</w:t>
      </w:r>
    </w:p>
    <w:p>
      <w:pPr>
        <w:spacing w:after="0" w:line="1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September 30, 2025:</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7/1/25 - 7/30/25</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8/1/25 - 8/31/25</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9/1/25 - 9/30/25</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48"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26"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September 30, 2025. There are up to $182 million in shares that may still be purchased under this plan as of September 30, 2025.</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Trading Plans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quarter ended September 30, 2025, no director or Section 16 officer adopted or terminated any Rule 10b5-1 trading arrangements or non-Rule 10b5-1 trading arrangements (in each case, as defined in Item 408(a) of Regulation S-K).</w:t>
      </w:r>
    </w:p>
    <w:p>
      <w:pPr>
        <w:spacing w:after="0" w:line="2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XYLEM INC.</w:t>
            </w:r>
          </w:p>
        </w:tc>
        <w:tc>
          <w:tcPr>
            <w:tcW w:w="0" w:type="dxa"/>
            <w:vAlign w:val="bottom"/>
          </w:tcPr>
          <w:p>
            <w:pPr>
              <w:spacing w:after="0"/>
              <w:rPr>
                <w:sz w:val="1"/>
                <w:szCs w:val="1"/>
                <w:color w:val="auto"/>
              </w:rPr>
            </w:pPr>
          </w:p>
        </w:tc>
      </w:tr>
      <w:tr>
        <w:trPr>
          <w:trHeight w:val="247"/>
        </w:trPr>
        <w:tc>
          <w:tcPr>
            <w:tcW w:w="19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8"/>
        </w:trPr>
        <w:tc>
          <w:tcPr>
            <w:tcW w:w="1920" w:type="dxa"/>
            <w:vAlign w:val="bottom"/>
          </w:tcPr>
          <w:p>
            <w:pPr>
              <w:jc w:val="center"/>
              <w:ind w:right="1008"/>
              <w:spacing w:after="0"/>
              <w:rPr>
                <w:sz w:val="20"/>
                <w:szCs w:val="20"/>
                <w:color w:val="auto"/>
              </w:rPr>
            </w:pPr>
            <w:r>
              <w:rPr>
                <w:rFonts w:ascii="Arial" w:cs="Arial" w:eastAsia="Arial" w:hAnsi="Arial"/>
                <w:sz w:val="14"/>
                <w:szCs w:val="14"/>
                <w:b w:val="1"/>
                <w:bCs w:val="1"/>
                <w:color w:val="auto"/>
              </w:rPr>
              <w:t>Exhibit</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6800" w:type="dxa"/>
            <w:vAlign w:val="bottom"/>
            <w:vMerge w:val="restart"/>
          </w:tcPr>
          <w:p>
            <w:pPr>
              <w:ind w:left="38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vMerge w:val="continue"/>
          </w:tcPr>
          <w:p>
            <w:pPr>
              <w:spacing w:after="0"/>
              <w:rPr>
                <w:sz w:val="16"/>
                <w:szCs w:val="16"/>
                <w:color w:val="auto"/>
              </w:rPr>
            </w:pPr>
          </w:p>
        </w:tc>
        <w:tc>
          <w:tcPr>
            <w:tcW w:w="6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51" w:lineRule="exact"/>
        <w:rPr>
          <w:sz w:val="20"/>
          <w:szCs w:val="20"/>
          <w:color w:val="auto"/>
        </w:rPr>
      </w:pPr>
    </w:p>
    <w:p>
      <w:pPr>
        <w:ind w:left="1100" w:right="120" w:hanging="790"/>
        <w:spacing w:after="0"/>
        <w:tabs>
          <w:tab w:leader="none" w:pos="1080" w:val="left"/>
        </w:tabs>
        <w:rPr>
          <w:rFonts w:ascii="Arial" w:cs="Arial" w:eastAsia="Arial" w:hAnsi="Arial"/>
          <w:sz w:val="18"/>
          <w:szCs w:val="18"/>
          <w:color w:val="0000FF"/>
        </w:rPr>
      </w:pPr>
      <w:hyperlink r:id="rId79">
        <w:r>
          <w:rPr>
            <w:rFonts w:ascii="Arial" w:cs="Arial" w:eastAsia="Arial" w:hAnsi="Arial"/>
            <w:sz w:val="18"/>
            <w:szCs w:val="18"/>
            <w:u w:val="single" w:color="auto"/>
            <w:color w:val="0000FF"/>
          </w:rPr>
          <w:t>3.1</w:t>
        </w:r>
      </w:hyperlink>
      <w:r>
        <w:rPr>
          <w:rFonts w:ascii="Arial" w:cs="Arial" w:eastAsia="Arial" w:hAnsi="Arial"/>
          <w:sz w:val="18"/>
          <w:szCs w:val="18"/>
          <w:color w:val="0000FF"/>
        </w:rPr>
        <w:tab/>
        <w:t>Fourth Amended and Restated Articles of Incorporation of Xylem Inc.</w:t>
      </w:r>
    </w:p>
    <w:p>
      <w:pPr>
        <w:spacing w:after="0" w:line="59" w:lineRule="exact"/>
        <w:rPr>
          <w:sz w:val="20"/>
          <w:szCs w:val="20"/>
          <w:color w:val="auto"/>
        </w:rPr>
      </w:pPr>
    </w:p>
    <w:p>
      <w:pPr>
        <w:ind w:left="300"/>
        <w:spacing w:after="0"/>
        <w:tabs>
          <w:tab w:leader="none" w:pos="1080" w:val="left"/>
        </w:tabs>
        <w:rPr>
          <w:rFonts w:ascii="Arial" w:cs="Arial" w:eastAsia="Arial" w:hAnsi="Arial"/>
          <w:sz w:val="18"/>
          <w:szCs w:val="18"/>
          <w:color w:val="0000FF"/>
        </w:rPr>
      </w:pPr>
      <w:hyperlink r:id="rId80">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7"/>
          <w:szCs w:val="17"/>
          <w:color w:val="0000FF"/>
        </w:rPr>
        <w:t>Fifth Amended and Restated By-laws of Xylem Inc.</w:t>
      </w:r>
    </w:p>
    <w:p>
      <w:pPr>
        <w:spacing w:after="0" w:line="200" w:lineRule="exact"/>
        <w:rPr>
          <w:sz w:val="20"/>
          <w:szCs w:val="20"/>
          <w:color w:val="auto"/>
        </w:rPr>
      </w:pPr>
    </w:p>
    <w:p>
      <w:pPr>
        <w:spacing w:after="0" w:line="241" w:lineRule="exact"/>
        <w:rPr>
          <w:sz w:val="20"/>
          <w:szCs w:val="20"/>
          <w:color w:val="auto"/>
        </w:rPr>
      </w:pPr>
    </w:p>
    <w:p>
      <w:pPr>
        <w:ind w:left="1100" w:hanging="840"/>
        <w:spacing w:after="0"/>
        <w:tabs>
          <w:tab w:leader="none" w:pos="1080" w:val="left"/>
        </w:tabs>
        <w:rPr>
          <w:sz w:val="20"/>
          <w:szCs w:val="20"/>
          <w:color w:val="auto"/>
        </w:rPr>
      </w:pPr>
      <w:r>
        <w:rPr>
          <w:rFonts w:ascii="Arial" w:cs="Arial" w:eastAsia="Arial" w:hAnsi="Arial"/>
          <w:sz w:val="18"/>
          <w:szCs w:val="18"/>
          <w:u w:val="single" w:color="auto"/>
          <w:color w:val="0000FF"/>
        </w:rPr>
        <w:t>10.1</w:t>
      </w:r>
      <w:r>
        <w:rPr>
          <w:sz w:val="20"/>
          <w:szCs w:val="20"/>
          <w:color w:val="auto"/>
        </w:rPr>
        <w:tab/>
      </w:r>
      <w:r>
        <w:rPr>
          <w:rFonts w:ascii="Arial" w:cs="Arial" w:eastAsia="Arial" w:hAnsi="Arial"/>
          <w:sz w:val="18"/>
          <w:szCs w:val="18"/>
          <w:color w:val="auto"/>
        </w:rPr>
        <w:t>Form of 2011 Omnibus Incentive Plan Restricted Stock Unit Agreement (2025)</w:t>
      </w:r>
    </w:p>
    <w:p>
      <w:pPr>
        <w:spacing w:after="0" w:line="59" w:lineRule="exact"/>
        <w:rPr>
          <w:sz w:val="20"/>
          <w:szCs w:val="20"/>
          <w:color w:val="auto"/>
        </w:rPr>
      </w:pPr>
    </w:p>
    <w:p>
      <w:pPr>
        <w:ind w:left="1100" w:hanging="840"/>
        <w:spacing w:after="0"/>
        <w:tabs>
          <w:tab w:leader="none" w:pos="1080" w:val="left"/>
        </w:tabs>
        <w:rPr>
          <w:sz w:val="20"/>
          <w:szCs w:val="20"/>
          <w:color w:val="auto"/>
        </w:rPr>
      </w:pPr>
      <w:r>
        <w:rPr>
          <w:rFonts w:ascii="Arial" w:cs="Arial" w:eastAsia="Arial" w:hAnsi="Arial"/>
          <w:sz w:val="18"/>
          <w:szCs w:val="18"/>
          <w:u w:val="single" w:color="auto"/>
          <w:color w:val="0000FF"/>
        </w:rPr>
        <w:t>10.2</w:t>
      </w:r>
      <w:r>
        <w:rPr>
          <w:sz w:val="20"/>
          <w:szCs w:val="20"/>
          <w:color w:val="auto"/>
        </w:rPr>
        <w:tab/>
      </w:r>
      <w:r>
        <w:rPr>
          <w:rFonts w:ascii="Arial" w:cs="Arial" w:eastAsia="Arial" w:hAnsi="Arial"/>
          <w:sz w:val="18"/>
          <w:szCs w:val="18"/>
          <w:color w:val="auto"/>
        </w:rPr>
        <w:t>Form of 2011 Omnibus Incentive Plan Restricted Stock Unit Agreement for Senior Leadership Team (2025)</w:t>
      </w:r>
    </w:p>
    <w:p>
      <w:pPr>
        <w:spacing w:after="0" w:line="59" w:lineRule="exact"/>
        <w:rPr>
          <w:sz w:val="20"/>
          <w:szCs w:val="20"/>
          <w:color w:val="auto"/>
        </w:rPr>
      </w:pPr>
    </w:p>
    <w:p>
      <w:pPr>
        <w:jc w:val="right"/>
        <w:ind w:left="260" w:right="180"/>
        <w:spacing w:after="0" w:line="221" w:lineRule="auto"/>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Section 302 of the Sarbanes-Oxley Act of 2002</w:t>
      </w:r>
    </w:p>
    <w:p>
      <w:pPr>
        <w:spacing w:after="0" w:line="59" w:lineRule="exact"/>
        <w:rPr>
          <w:sz w:val="20"/>
          <w:szCs w:val="20"/>
          <w:color w:val="auto"/>
        </w:rPr>
      </w:pPr>
    </w:p>
    <w:p>
      <w:pPr>
        <w:jc w:val="right"/>
        <w:ind w:left="260" w:right="180"/>
        <w:spacing w:after="0" w:line="221" w:lineRule="auto"/>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Section 302 of the Sarbanes-Oxley Act of 2002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Incorporated by reference to Exhibit 3.1 of Xylem Inc.’s Form 8-K filed on May 15, 2017 (CIK No. 1524472, File No. 1-35229).</w:t>
      </w:r>
    </w:p>
    <w:p>
      <w:pPr>
        <w:spacing w:after="0" w:line="59"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Incorporated by reference to Exhibit 3.1 of Xylem Inc.’s Form 8-K filed on November 15, 2022 (CIK No. 1524472, File No.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35229).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41" w:lineRule="exact"/>
        <w:rPr>
          <w:sz w:val="20"/>
          <w:szCs w:val="20"/>
          <w:color w:val="auto"/>
        </w:rPr>
      </w:pPr>
    </w:p>
    <w:p>
      <w:pPr>
        <w:sectPr>
          <w:pgSz w:w="11900" w:h="16838" w:orient="portrait"/>
          <w:cols w:equalWidth="0" w:num="2">
            <w:col w:w="5820" w:space="180"/>
            <w:col w:w="5240"/>
          </w:cols>
          <w:pgMar w:left="320" w:top="890" w:right="339" w:bottom="1440" w:gutter="0" w:footer="0" w:header="0"/>
          <w:type w:val="continuous"/>
        </w:sectPr>
      </w:pPr>
    </w:p>
    <w:p>
      <w:pPr>
        <w:ind w:left="1100" w:right="220" w:hanging="840"/>
        <w:spacing w:after="0" w:line="221" w:lineRule="auto"/>
        <w:tabs>
          <w:tab w:leader="none" w:pos="108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right="20" w:hanging="890"/>
        <w:spacing w:after="0" w:line="234"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September 30,</w:t>
      </w:r>
    </w:p>
    <w:p>
      <w:pPr>
        <w:spacing w:after="0" w:line="1" w:lineRule="exact"/>
        <w:rPr>
          <w:sz w:val="20"/>
          <w:szCs w:val="20"/>
          <w:color w:val="auto"/>
        </w:rPr>
      </w:pPr>
    </w:p>
    <w:p>
      <w:pPr>
        <w:ind w:left="1100" w:right="360"/>
        <w:spacing w:after="0" w:line="221" w:lineRule="auto"/>
        <w:rPr>
          <w:sz w:val="20"/>
          <w:szCs w:val="20"/>
          <w:color w:val="auto"/>
        </w:rPr>
      </w:pPr>
      <w:r>
        <w:rPr>
          <w:rFonts w:ascii="Arial" w:cs="Arial" w:eastAsia="Arial" w:hAnsi="Arial"/>
          <w:sz w:val="17"/>
          <w:szCs w:val="17"/>
          <w:color w:val="auto"/>
        </w:rPr>
        <w:t>2025, formatted in Inline Extensible Business Reporting Language (Inline XBRL): (i) Condensed Consolidated Income Statements, (ii) Condensed Consolidated</w:t>
      </w:r>
    </w:p>
    <w:p>
      <w:pPr>
        <w:ind w:left="1100"/>
        <w:spacing w:after="0" w:line="221" w:lineRule="auto"/>
        <w:rPr>
          <w:sz w:val="20"/>
          <w:szCs w:val="20"/>
          <w:color w:val="auto"/>
        </w:rPr>
      </w:pPr>
      <w:r>
        <w:rPr>
          <w:rFonts w:ascii="Arial" w:cs="Arial" w:eastAsia="Arial" w:hAnsi="Arial"/>
          <w:sz w:val="17"/>
          <w:szCs w:val="17"/>
          <w:color w:val="auto"/>
        </w:rPr>
        <w:t>Statements of Comprehensive Income, (iii) Condensed Consolidated Balance Sheets, (iv) Condensed Consolidated Statements of Cash Flows and (v) Notes to Condensed</w:t>
      </w:r>
    </w:p>
    <w:p>
      <w:pPr>
        <w:ind w:left="1100"/>
        <w:spacing w:after="0"/>
        <w:rPr>
          <w:sz w:val="20"/>
          <w:szCs w:val="20"/>
          <w:color w:val="auto"/>
        </w:rPr>
      </w:pPr>
      <w:r>
        <w:rPr>
          <w:rFonts w:ascii="Arial" w:cs="Arial" w:eastAsia="Arial" w:hAnsi="Arial"/>
          <w:sz w:val="18"/>
          <w:szCs w:val="18"/>
          <w:color w:val="auto"/>
        </w:rPr>
        <w:t>Consolidated Financial Statements</w:t>
      </w:r>
    </w:p>
    <w:p>
      <w:pPr>
        <w:spacing w:after="0" w:line="45" w:lineRule="exact"/>
        <w:rPr>
          <w:sz w:val="20"/>
          <w:szCs w:val="20"/>
          <w:color w:val="auto"/>
        </w:rPr>
      </w:pPr>
    </w:p>
    <w:p>
      <w:pPr>
        <w:jc w:val="right"/>
        <w:ind w:right="20"/>
        <w:spacing w:after="0"/>
        <w:tabs>
          <w:tab w:leader="none" w:pos="476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jc w:val="right"/>
        <w:ind w:right="40"/>
        <w:spacing w:after="0" w:line="219" w:lineRule="auto"/>
        <w:rPr>
          <w:sz w:val="20"/>
          <w:szCs w:val="20"/>
          <w:color w:val="auto"/>
        </w:rPr>
      </w:pPr>
      <w:r>
        <w:rPr>
          <w:rFonts w:ascii="Arial" w:cs="Arial" w:eastAsia="Arial" w:hAnsi="Arial"/>
          <w:sz w:val="18"/>
          <w:szCs w:val="18"/>
          <w:color w:val="auto"/>
        </w:rPr>
        <w:t>10-Q for the period ended September 30, 2025 formatted in</w:t>
      </w:r>
    </w:p>
    <w:p>
      <w:pPr>
        <w:ind w:left="1100"/>
        <w:spacing w:after="0"/>
        <w:rPr>
          <w:sz w:val="20"/>
          <w:szCs w:val="20"/>
          <w:color w:val="auto"/>
        </w:rPr>
      </w:pPr>
      <w:r>
        <w:rPr>
          <w:rFonts w:ascii="Arial" w:cs="Arial" w:eastAsia="Arial" w:hAnsi="Arial"/>
          <w:sz w:val="18"/>
          <w:szCs w:val="18"/>
          <w:color w:val="auto"/>
        </w:rPr>
        <w:t>Inline XBRL and contained in Exhibit 101.0.</w:t>
      </w:r>
    </w:p>
    <w:p>
      <w:pPr>
        <w:spacing w:after="0" w:line="59" w:lineRule="exact"/>
        <w:rPr>
          <w:sz w:val="20"/>
          <w:szCs w:val="20"/>
          <w:color w:val="auto"/>
        </w:rPr>
      </w:pPr>
    </w:p>
    <w:p>
      <w:pPr>
        <w:ind w:left="1100" w:right="900" w:hanging="8"/>
        <w:spacing w:after="0"/>
        <w:tabs>
          <w:tab w:leader="none" w:pos="12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br w:type="column"/>
      </w:r>
    </w:p>
    <w:p>
      <w:pPr>
        <w:ind w:right="120"/>
        <w:spacing w:after="0" w:line="221" w:lineRule="auto"/>
        <w:rPr>
          <w:sz w:val="20"/>
          <w:szCs w:val="20"/>
          <w:color w:val="auto"/>
        </w:rPr>
      </w:pPr>
      <w:r>
        <w:rPr>
          <w:rFonts w:ascii="Arial" w:cs="Arial" w:eastAsia="Arial" w:hAnsi="Arial"/>
          <w:sz w:val="17"/>
          <w:szCs w:val="17"/>
          <w:color w:val="auto"/>
        </w:rPr>
        <w:t>be filed for purposes of Section 18 of the Securities Exchange Act of 1934 or incorporated by reference into any filing under the Securities Act of 1933 or the Securities Exchange Act of 1934,</w:t>
      </w:r>
    </w:p>
    <w:p>
      <w:pPr>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5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400" w:lineRule="exact"/>
        <w:rPr>
          <w:sz w:val="20"/>
          <w:szCs w:val="20"/>
          <w:color w:val="auto"/>
        </w:rPr>
      </w:pPr>
    </w:p>
    <w:p>
      <w:pPr>
        <w:sectPr>
          <w:pgSz w:w="11900" w:h="16838" w:orient="portrait"/>
          <w:cols w:equalWidth="0" w:num="2">
            <w:col w:w="5880" w:space="120"/>
            <w:col w:w="5240"/>
          </w:cols>
          <w:pgMar w:left="320" w:top="89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7" w:name="page68"/>
    <w:bookmarkEnd w:id="6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Geri-Michelle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20"/>
          </w:cols>
          <w:pgMar w:left="320" w:top="1093" w:right="459" w:bottom="1440" w:gutter="0" w:footer="0" w:header="0"/>
        </w:sectPr>
      </w:pPr>
    </w:p>
    <w:bookmarkStart w:id="68" w:name="page69"/>
    <w:bookmarkEnd w:id="68"/>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“[YEAR]” RESTRICTED STOCK UNIT GRANT AGREEMENT</w:t>
      </w:r>
    </w:p>
    <w:p>
      <w:pPr>
        <w:spacing w:after="0" w:line="200" w:lineRule="exact"/>
        <w:rPr>
          <w:sz w:val="20"/>
          <w:szCs w:val="20"/>
          <w:color w:val="auto"/>
        </w:rPr>
      </w:pPr>
    </w:p>
    <w:p>
      <w:pPr>
        <w:spacing w:after="0" w:line="21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(Amended and Restated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right="80" w:hanging="332"/>
        <w:spacing w:after="0" w:line="268" w:lineRule="auto"/>
        <w:tabs>
          <w:tab w:leader="none" w:pos="32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The RSUs are notional units of measurement denominated in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one RSU is equivalent in value to one Share of common stock of the Company).</w:t>
      </w:r>
    </w:p>
    <w:p>
      <w:pPr>
        <w:spacing w:after="0" w:line="35" w:lineRule="exact"/>
        <w:rPr>
          <w:rFonts w:ascii="Arial" w:cs="Arial" w:eastAsia="Arial" w:hAnsi="Arial"/>
          <w:sz w:val="18"/>
          <w:szCs w:val="18"/>
          <w:b w:val="1"/>
          <w:bCs w:val="1"/>
          <w:color w:val="auto"/>
        </w:rPr>
      </w:pPr>
    </w:p>
    <w:p>
      <w:pPr>
        <w:ind w:left="340" w:right="16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RSUs represent an unfunded, unsecured right to receive Shares and dividend equivalent payments in the future if the conditions in the Plan and this Agreement are satisfied.</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right="8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RSUs, or benefits in lieu of RSUs, even if RSUs have been granted in the past. All decisions with respect to future RSUs or other grants, if any, will be at the sole discretion of the Company;</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right="80" w:hanging="328"/>
        <w:spacing w:after="0" w:line="268" w:lineRule="auto"/>
        <w:tabs>
          <w:tab w:leader="none" w:pos="6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right="80" w:hanging="328"/>
        <w:spacing w:after="0" w:line="287"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the termination of the Participant's employment; and</w:t>
      </w:r>
    </w:p>
    <w:p>
      <w:pPr>
        <w:spacing w:after="0" w:line="17" w:lineRule="exact"/>
        <w:rPr>
          <w:rFonts w:ascii="Arial" w:cs="Arial" w:eastAsia="Arial" w:hAnsi="Arial"/>
          <w:sz w:val="18"/>
          <w:szCs w:val="18"/>
          <w:color w:val="auto"/>
        </w:rPr>
      </w:pPr>
    </w:p>
    <w:p>
      <w:pPr>
        <w:jc w:val="both"/>
        <w:ind w:left="660" w:right="80" w:hanging="328"/>
        <w:spacing w:after="0" w:line="268" w:lineRule="auto"/>
        <w:tabs>
          <w:tab w:leader="none" w:pos="6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It is understood and agreed that the RSUs are subject to the following terms and conditions:</w:t>
      </w:r>
    </w:p>
    <w:p>
      <w:pPr>
        <w:spacing w:after="0" w:line="90" w:lineRule="exact"/>
        <w:rPr>
          <w:rFonts w:ascii="Arial" w:cs="Arial" w:eastAsia="Arial" w:hAnsi="Arial"/>
          <w:sz w:val="18"/>
          <w:szCs w:val="18"/>
          <w:b w:val="1"/>
          <w:bCs w:val="1"/>
          <w:color w:val="auto"/>
        </w:rPr>
      </w:pPr>
    </w:p>
    <w:p>
      <w:pPr>
        <w:jc w:val="both"/>
        <w:ind w:left="660" w:right="8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neither this Award nor any RSUs subject to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sold, assigned, pledged, exchanged, transferred, hypothecated or encumbered, other than to the Company as a result of forfeiture of the RSUs.</w:t>
      </w:r>
    </w:p>
    <w:p>
      <w:pPr>
        <w:sectPr>
          <w:pgSz w:w="11900" w:h="16838" w:orient="portrait"/>
          <w:cols w:equalWidth="0" w:num="1">
            <w:col w:w="11240"/>
          </w:cols>
          <w:pgMar w:left="320" w:top="1440" w:right="339" w:bottom="1440" w:gutter="0" w:footer="0" w:header="0"/>
        </w:sectPr>
      </w:pPr>
    </w:p>
    <w:bookmarkStart w:id="69" w:name="page70"/>
    <w:bookmarkEnd w:id="69"/>
    <w:p>
      <w:pPr>
        <w:spacing w:after="0" w:line="382" w:lineRule="exact"/>
        <w:rPr>
          <w:sz w:val="20"/>
          <w:szCs w:val="20"/>
          <w:color w:val="auto"/>
        </w:rPr>
      </w:pPr>
    </w:p>
    <w:p>
      <w:pPr>
        <w:jc w:val="both"/>
        <w:ind w:left="328" w:hanging="328"/>
        <w:spacing w:after="0" w:line="255" w:lineRule="auto"/>
        <w:tabs>
          <w:tab w:leader="none" w:pos="318"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Voting and Dividend Equivalent Rights. </w:t>
      </w:r>
      <w:r>
        <w:rPr>
          <w:rFonts w:ascii="Arial" w:cs="Arial" w:eastAsia="Arial" w:hAnsi="Arial"/>
          <w:sz w:val="18"/>
          <w:szCs w:val="18"/>
          <w:color w:val="auto"/>
        </w:rPr>
        <w:t>The Participant will not have any privileges of a shareholder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RSUs or any Shares that may be delivered under this Agreement, including without limitation any right to vote the Shares or to receive dividends, unless and until the Shares are delivered on vesting of the RSUs. Dividend equivalents will be earned with respect to each RSU that vests and the amount will be equal to the total dividends declared on a Share, where the record date of the dividend is between the Grant Date of this Award and the date a Share is issued on vesting of the RSU. Any dividend equivalents earned will be paid in cash to the Participant when the Shares subject to the vested RSUs are issued. No dividend equivalents will be earned or paid with respect to any portion of the RSUs that do not vest. Dividend equivalents will not accrue interest.</w:t>
      </w:r>
    </w:p>
    <w:p>
      <w:pPr>
        <w:spacing w:after="0" w:line="49" w:lineRule="exact"/>
        <w:rPr>
          <w:rFonts w:ascii="Arial" w:cs="Arial" w:eastAsia="Arial" w:hAnsi="Arial"/>
          <w:sz w:val="18"/>
          <w:szCs w:val="18"/>
          <w:color w:val="auto"/>
        </w:rPr>
      </w:pPr>
    </w:p>
    <w:p>
      <w:pPr>
        <w:jc w:val="both"/>
        <w:ind w:left="328" w:hanging="328"/>
        <w:spacing w:after="0" w:line="268" w:lineRule="auto"/>
        <w:tabs>
          <w:tab w:leader="none" w:pos="32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RSUs will vest as long as the Participant has been actively employed by the Company or an Affiliate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Date through the vesting date. Active employment does not include any potential severance period or an approved leave of absence greater than 6 months. The RSUs will vest in installments as follows:</w:t>
      </w:r>
    </w:p>
    <w:p>
      <w:pPr>
        <w:spacing w:after="0" w:line="36"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###VEST_SCHEDULE_TABLE###</w:t>
      </w:r>
    </w:p>
    <w:p>
      <w:pPr>
        <w:spacing w:after="0" w:line="90" w:lineRule="exact"/>
        <w:rPr>
          <w:sz w:val="20"/>
          <w:szCs w:val="20"/>
          <w:color w:val="auto"/>
        </w:rPr>
      </w:pPr>
    </w:p>
    <w:p>
      <w:pPr>
        <w:jc w:val="both"/>
        <w:ind w:left="328"/>
        <w:spacing w:after="0" w:line="262" w:lineRule="auto"/>
        <w:rPr>
          <w:sz w:val="20"/>
          <w:szCs w:val="20"/>
          <w:color w:val="auto"/>
        </w:rPr>
      </w:pPr>
      <w:r>
        <w:rPr>
          <w:rFonts w:ascii="Arial" w:cs="Arial" w:eastAsia="Arial" w:hAnsi="Arial"/>
          <w:sz w:val="18"/>
          <w:szCs w:val="18"/>
          <w:color w:val="auto"/>
        </w:rPr>
        <w:t>Except as provided in subsection 2(i), on vesting of the RSUs, including vesting pursuant to subsections 2(d) or 2(e), the Company will deliver to the Participant (i) one Share for each vested RSU, with any fractional Shares resulting from proration pursuant to subsection 2(e), if applicable, to be rounded to the nearest whole Share, and (ii) an amount in cash attributable to dividend equivalents earned in accordance with subsection 2(b), less Shares withheld in accordance with subsection 2(f).</w:t>
      </w:r>
    </w:p>
    <w:p>
      <w:pPr>
        <w:spacing w:after="0" w:line="41" w:lineRule="exact"/>
        <w:rPr>
          <w:sz w:val="20"/>
          <w:szCs w:val="20"/>
          <w:color w:val="auto"/>
        </w:rPr>
      </w:pPr>
    </w:p>
    <w:p>
      <w:pPr>
        <w:jc w:val="both"/>
        <w:ind w:left="328"/>
        <w:spacing w:after="0" w:line="287" w:lineRule="auto"/>
        <w:rPr>
          <w:sz w:val="20"/>
          <w:szCs w:val="20"/>
          <w:color w:val="auto"/>
        </w:rPr>
      </w:pPr>
      <w:r>
        <w:rPr>
          <w:rFonts w:ascii="Arial" w:cs="Arial" w:eastAsia="Arial" w:hAnsi="Arial"/>
          <w:sz w:val="18"/>
          <w:szCs w:val="18"/>
          <w:color w:val="auto"/>
        </w:rPr>
        <w:t>For China-based Participants, the Company will provide a cash payment equivalent to the Fair Market Value of the shares vested as soon as practicable following the Vesting Date.</w:t>
      </w:r>
    </w:p>
    <w:p>
      <w:pPr>
        <w:spacing w:after="0" w:line="18" w:lineRule="exact"/>
        <w:rPr>
          <w:sz w:val="20"/>
          <w:szCs w:val="20"/>
          <w:color w:val="auto"/>
        </w:rPr>
      </w:pPr>
    </w:p>
    <w:p>
      <w:pPr>
        <w:jc w:val="both"/>
        <w:ind w:left="328" w:hanging="328"/>
        <w:spacing w:after="0" w:line="268" w:lineRule="auto"/>
        <w:tabs>
          <w:tab w:leader="none" w:pos="318"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vesting date, if the acquiring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transaction assumes or continues any then-outstanding RSUs under the Plan, any unvested RSUs will continue to vest based on the RSUs’ service-based vesting criteria until the vesting date.</w:t>
      </w:r>
    </w:p>
    <w:p>
      <w:pPr>
        <w:spacing w:after="0" w:line="35" w:lineRule="exact"/>
        <w:rPr>
          <w:rFonts w:ascii="Arial" w:cs="Arial" w:eastAsia="Arial" w:hAnsi="Arial"/>
          <w:sz w:val="18"/>
          <w:szCs w:val="18"/>
          <w:color w:val="auto"/>
        </w:rPr>
      </w:pPr>
    </w:p>
    <w:p>
      <w:pPr>
        <w:jc w:val="both"/>
        <w:ind w:left="328"/>
        <w:spacing w:after="0" w:line="268" w:lineRule="auto"/>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assumed unvested RSUs will become 100% vested on the termination date.</w:t>
      </w:r>
    </w:p>
    <w:p>
      <w:pPr>
        <w:spacing w:after="0" w:line="35" w:lineRule="exact"/>
        <w:rPr>
          <w:rFonts w:ascii="Arial" w:cs="Arial" w:eastAsia="Arial" w:hAnsi="Arial"/>
          <w:sz w:val="18"/>
          <w:szCs w:val="18"/>
          <w:color w:val="auto"/>
        </w:rPr>
      </w:pPr>
    </w:p>
    <w:p>
      <w:pPr>
        <w:ind w:left="328"/>
        <w:spacing w:after="0" w:line="287" w:lineRule="auto"/>
        <w:rPr>
          <w:rFonts w:ascii="Arial" w:cs="Arial" w:eastAsia="Arial" w:hAnsi="Arial"/>
          <w:sz w:val="18"/>
          <w:szCs w:val="18"/>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RSUs will become 100% vested.</w:t>
      </w:r>
    </w:p>
    <w:p>
      <w:pPr>
        <w:spacing w:after="0" w:line="17"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ectPr>
          <w:pgSz w:w="11900" w:h="16838" w:orient="portrait"/>
          <w:cols w:equalWidth="0" w:num="1">
            <w:col w:w="10828"/>
          </w:cols>
          <w:pgMar w:left="652" w:top="1440" w:right="419" w:bottom="1440" w:gutter="0" w:footer="0" w:header="0"/>
        </w:sectPr>
      </w:pPr>
    </w:p>
    <w:bookmarkStart w:id="70" w:name="page71"/>
    <w:bookmarkEnd w:id="70"/>
    <w:p>
      <w:pPr>
        <w:spacing w:after="0" w:line="58" w:lineRule="exact"/>
        <w:rPr>
          <w:sz w:val="20"/>
          <w:szCs w:val="20"/>
          <w:color w:val="auto"/>
        </w:rPr>
      </w:pPr>
    </w:p>
    <w:p>
      <w:pPr>
        <w:jc w:val="both"/>
        <w:ind w:left="328" w:right="80"/>
        <w:spacing w:after="0" w:line="262" w:lineRule="auto"/>
        <w:rPr>
          <w:sz w:val="20"/>
          <w:szCs w:val="20"/>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41" w:lineRule="exact"/>
        <w:rPr>
          <w:sz w:val="20"/>
          <w:szCs w:val="20"/>
          <w:color w:val="auto"/>
        </w:rPr>
      </w:pPr>
    </w:p>
    <w:p>
      <w:pPr>
        <w:jc w:val="both"/>
        <w:ind w:left="328" w:right="80" w:hanging="328"/>
        <w:spacing w:after="0" w:line="259" w:lineRule="auto"/>
        <w:tabs>
          <w:tab w:leader="none" w:pos="31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RSUs will only vest if the Participant is actively employed by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vesting date. If the Participant's active employment with the Company or an Affiliate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RSUs on the date of the Participant’s termination of employment:</w:t>
      </w:r>
    </w:p>
    <w:p>
      <w:pPr>
        <w:spacing w:after="0" w:line="44" w:lineRule="exact"/>
        <w:rPr>
          <w:rFonts w:ascii="Arial" w:cs="Arial" w:eastAsia="Arial" w:hAnsi="Arial"/>
          <w:sz w:val="18"/>
          <w:szCs w:val="18"/>
          <w:color w:val="auto"/>
        </w:rPr>
      </w:pPr>
    </w:p>
    <w:p>
      <w:pPr>
        <w:ind w:left="648" w:hanging="324"/>
        <w:spacing w:after="0"/>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RSUs will immediately become 100% vested.</w:t>
      </w:r>
    </w:p>
    <w:p>
      <w:pPr>
        <w:spacing w:after="0" w:line="90" w:lineRule="exact"/>
        <w:rPr>
          <w:rFonts w:ascii="Arial" w:cs="Arial" w:eastAsia="Arial" w:hAnsi="Arial"/>
          <w:sz w:val="18"/>
          <w:szCs w:val="18"/>
          <w:color w:val="auto"/>
        </w:rPr>
      </w:pPr>
    </w:p>
    <w:p>
      <w:pPr>
        <w:ind w:left="648" w:right="360" w:hanging="324"/>
        <w:spacing w:after="0" w:line="268" w:lineRule="auto"/>
        <w:tabs>
          <w:tab w:leader="none" w:pos="64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A prorated portion (as described below) of unvested RSUs with a vesting date within 12 months of termination shall immediately vest on the Participant’s termination of employment. All other unvested RSUs will automatically be forfeited.</w:t>
      </w:r>
    </w:p>
    <w:p>
      <w:pPr>
        <w:spacing w:after="0" w:line="35" w:lineRule="exact"/>
        <w:rPr>
          <w:rFonts w:ascii="Arial" w:cs="Arial" w:eastAsia="Arial" w:hAnsi="Arial"/>
          <w:sz w:val="18"/>
          <w:szCs w:val="18"/>
          <w:color w:val="auto"/>
        </w:rPr>
      </w:pPr>
    </w:p>
    <w:p>
      <w:pPr>
        <w:ind w:left="648" w:hanging="324"/>
        <w:spacing w:after="0"/>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All unvested RSUs will automatically be forfeited.</w:t>
      </w:r>
    </w:p>
    <w:p>
      <w:pPr>
        <w:spacing w:after="0" w:line="90"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36"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b w:val="1"/>
          <w:bCs w:val="1"/>
          <w:color w:val="auto"/>
        </w:rPr>
        <w:t xml:space="preserve">Prorated Vesting Upon Retirement. </w:t>
      </w:r>
      <w:r>
        <w:rPr>
          <w:rFonts w:ascii="Arial" w:cs="Arial" w:eastAsia="Arial" w:hAnsi="Arial"/>
          <w:sz w:val="18"/>
          <w:szCs w:val="18"/>
          <w:color w:val="auto"/>
        </w:rPr>
        <w:t>The prorated portion of the RSUs that vests upon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RSUs with vesting date within 12 months of termination by a fraction, of which the numerator is the number of full months (not to exceed 12) the Participant has been continually employed since the most recent Vest Period Start Date, and the denominator is 12. For this purpose, full months of employment shall be based on monthly anniversaries of the Vest Period Start Date, not calendar months.</w:t>
      </w:r>
    </w:p>
    <w:p>
      <w:pPr>
        <w:spacing w:after="0" w:line="44" w:lineRule="exact"/>
        <w:rPr>
          <w:sz w:val="20"/>
          <w:szCs w:val="20"/>
          <w:color w:val="auto"/>
        </w:rPr>
      </w:pPr>
    </w:p>
    <w:p>
      <w:pPr>
        <w:jc w:val="both"/>
        <w:ind w:left="328" w:hanging="328"/>
        <w:spacing w:after="0" w:line="255" w:lineRule="auto"/>
        <w:tabs>
          <w:tab w:leader="none" w:pos="322"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RSUs and any related dividend equivalents. Unless the Committee determines otherwise, the minimum statutory tax withholding required to be withheld upon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RSUs are outstanding, the withholding will be made in a manner determined by the Company.</w:t>
      </w:r>
    </w:p>
    <w:p>
      <w:pPr>
        <w:spacing w:after="0" w:line="49" w:lineRule="exact"/>
        <w:rPr>
          <w:rFonts w:ascii="Arial" w:cs="Arial" w:eastAsia="Arial" w:hAnsi="Arial"/>
          <w:sz w:val="18"/>
          <w:szCs w:val="18"/>
          <w:color w:val="auto"/>
        </w:rPr>
      </w:pPr>
    </w:p>
    <w:p>
      <w:pPr>
        <w:jc w:val="both"/>
        <w:ind w:left="328" w:right="80" w:hanging="328"/>
        <w:spacing w:after="0" w:line="268" w:lineRule="auto"/>
        <w:tabs>
          <w:tab w:leader="none" w:pos="31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w:t>
      </w:r>
    </w:p>
    <w:p>
      <w:pPr>
        <w:sectPr>
          <w:pgSz w:w="11900" w:h="16838" w:orient="portrait"/>
          <w:cols w:equalWidth="0" w:num="1">
            <w:col w:w="10908"/>
          </w:cols>
          <w:pgMar w:left="652" w:top="1440" w:right="339" w:bottom="1440" w:gutter="0" w:footer="0" w:header="0"/>
        </w:sectPr>
      </w:pPr>
    </w:p>
    <w:bookmarkStart w:id="71" w:name="page72"/>
    <w:bookmarkEnd w:id="71"/>
    <w:p>
      <w:pPr>
        <w:spacing w:after="0" w:line="58" w:lineRule="exact"/>
        <w:rPr>
          <w:sz w:val="20"/>
          <w:szCs w:val="20"/>
          <w:color w:val="auto"/>
        </w:rPr>
      </w:pPr>
    </w:p>
    <w:p>
      <w:pPr>
        <w:jc w:val="both"/>
        <w:ind w:left="328" w:right="80"/>
        <w:spacing w:after="0" w:line="262" w:lineRule="auto"/>
        <w:rPr>
          <w:sz w:val="20"/>
          <w:szCs w:val="20"/>
          <w:color w:val="auto"/>
        </w:rPr>
      </w:pPr>
      <w:r>
        <w:rPr>
          <w:rFonts w:ascii="Arial" w:cs="Arial" w:eastAsia="Arial" w:hAnsi="Arial"/>
          <w:sz w:val="18"/>
          <w:szCs w:val="18"/>
          <w:color w:val="auto"/>
        </w:rPr>
        <w:t>settlement of vested RSUs or the net after-tax income, or the pre-tax value to the extent required by applicable law and/or the Company’s Recoupment of Incentive-Based Compensation Policy 40-05, from the disposition of any Shares received upon settlement of vested RSUs, to the extent required by applicable law and/or the Company Policy 40-05, or if the Committee, in its sole discretion, determines that the Participant:</w:t>
      </w:r>
    </w:p>
    <w:p>
      <w:pPr>
        <w:spacing w:after="0" w:line="41" w:lineRule="exact"/>
        <w:rPr>
          <w:sz w:val="20"/>
          <w:szCs w:val="20"/>
          <w:color w:val="auto"/>
        </w:rPr>
      </w:pPr>
    </w:p>
    <w:p>
      <w:pPr>
        <w:ind w:left="648" w:hanging="324"/>
        <w:spacing w:after="0"/>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648" w:hanging="324"/>
        <w:spacing w:after="0"/>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90" w:lineRule="exact"/>
        <w:rPr>
          <w:rFonts w:ascii="Arial" w:cs="Arial" w:eastAsia="Arial" w:hAnsi="Arial"/>
          <w:sz w:val="18"/>
          <w:szCs w:val="18"/>
          <w:color w:val="auto"/>
        </w:rPr>
      </w:pPr>
    </w:p>
    <w:p>
      <w:pPr>
        <w:ind w:left="648" w:hanging="324"/>
        <w:spacing w:after="0" w:line="287" w:lineRule="auto"/>
        <w:tabs>
          <w:tab w:leader="none" w:pos="6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 or</w:t>
      </w:r>
    </w:p>
    <w:p>
      <w:pPr>
        <w:spacing w:after="0" w:line="17" w:lineRule="exact"/>
        <w:rPr>
          <w:rFonts w:ascii="Arial" w:cs="Arial" w:eastAsia="Arial" w:hAnsi="Arial"/>
          <w:sz w:val="18"/>
          <w:szCs w:val="18"/>
          <w:color w:val="auto"/>
        </w:rPr>
      </w:pPr>
    </w:p>
    <w:p>
      <w:pPr>
        <w:jc w:val="both"/>
        <w:ind w:left="648" w:hanging="324"/>
        <w:spacing w:after="0" w:line="268" w:lineRule="auto"/>
        <w:tabs>
          <w:tab w:leader="none" w:pos="6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w:t>
      </w:r>
    </w:p>
    <w:p>
      <w:pPr>
        <w:spacing w:after="0" w:line="36"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RSUs,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328" w:right="80" w:hanging="328"/>
        <w:spacing w:after="0" w:line="255" w:lineRule="auto"/>
        <w:tabs>
          <w:tab w:leader="none" w:pos="318"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2(g), the injury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suffered by the Company and/or an Affiliate as a result of a breach of the provisions of this Agreement (including any covenant described in subsection 2(g)) would be irreparable and that an award of monetary damages to the Company and/or an Affiliate for such a breach would be 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 or other security in seeking such relief. Without limiting the Company’s or Affiliate’s rights under subsection 2(g) or any other remedies of the Company or an Affiliate, if the Participant breaches any covenant described in subsection 2(g), the Company will have the right to cancel this Agreement.</w:t>
      </w:r>
    </w:p>
    <w:p>
      <w:pPr>
        <w:spacing w:after="0" w:line="45" w:lineRule="exact"/>
        <w:rPr>
          <w:rFonts w:ascii="Arial" w:cs="Arial" w:eastAsia="Arial" w:hAnsi="Arial"/>
          <w:sz w:val="18"/>
          <w:szCs w:val="18"/>
          <w:color w:val="auto"/>
        </w:rPr>
      </w:pPr>
    </w:p>
    <w:p>
      <w:pPr>
        <w:jc w:val="both"/>
        <w:ind w:left="328" w:right="80" w:hanging="328"/>
        <w:spacing w:after="0" w:line="268" w:lineRule="auto"/>
        <w:tabs>
          <w:tab w:leader="none" w:pos="32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and Acceptance. </w:t>
      </w:r>
      <w:r>
        <w:rPr>
          <w:rFonts w:ascii="Arial" w:cs="Arial" w:eastAsia="Arial" w:hAnsi="Arial"/>
          <w:sz w:val="18"/>
          <w:szCs w:val="18"/>
          <w:color w:val="auto"/>
        </w:rPr>
        <w:t>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 established or may establish for an electronic signature system for delivery and acceptance of</w:t>
      </w:r>
    </w:p>
    <w:p>
      <w:pPr>
        <w:sectPr>
          <w:pgSz w:w="11900" w:h="16838" w:orient="portrait"/>
          <w:cols w:equalWidth="0" w:num="1">
            <w:col w:w="10908"/>
          </w:cols>
          <w:pgMar w:left="652" w:top="1440" w:right="339" w:bottom="1440" w:gutter="0" w:footer="0" w:header="0"/>
        </w:sectPr>
      </w:pPr>
    </w:p>
    <w:bookmarkStart w:id="72" w:name="page73"/>
    <w:bookmarkEnd w:id="72"/>
    <w:p>
      <w:pPr>
        <w:spacing w:after="0" w:line="58" w:lineRule="exact"/>
        <w:rPr>
          <w:sz w:val="20"/>
          <w:szCs w:val="20"/>
          <w:color w:val="auto"/>
        </w:rPr>
      </w:pPr>
    </w:p>
    <w:p>
      <w:pPr>
        <w:jc w:val="both"/>
        <w:ind w:left="328"/>
        <w:spacing w:after="0" w:line="262" w:lineRule="auto"/>
        <w:rPr>
          <w:sz w:val="20"/>
          <w:szCs w:val="20"/>
          <w:color w:val="auto"/>
        </w:rPr>
      </w:pPr>
      <w:r>
        <w:rPr>
          <w:rFonts w:ascii="Arial" w:cs="Arial" w:eastAsia="Arial" w:hAnsi="Arial"/>
          <w:sz w:val="18"/>
          <w:szCs w:val="18"/>
          <w:color w:val="auto"/>
        </w:rPr>
        <w:t>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1" w:lineRule="exact"/>
        <w:rPr>
          <w:sz w:val="20"/>
          <w:szCs w:val="20"/>
          <w:color w:val="auto"/>
        </w:rPr>
      </w:pPr>
    </w:p>
    <w:p>
      <w:pPr>
        <w:jc w:val="both"/>
        <w:ind w:left="328" w:hanging="328"/>
        <w:spacing w:after="0" w:line="257" w:lineRule="auto"/>
        <w:tabs>
          <w:tab w:leader="none" w:pos="32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RSUs (to the extent such RSUs are not subject to Code Section 409A), or the Company may deduct funds equal to the amount of the obligation from other funds due to the Participant from the Company to the maximum extent permitted by Code Section 409A.</w:t>
      </w:r>
    </w:p>
    <w:p>
      <w:pPr>
        <w:spacing w:after="0" w:line="47" w:lineRule="exact"/>
        <w:rPr>
          <w:rFonts w:ascii="Arial" w:cs="Arial" w:eastAsia="Arial" w:hAnsi="Arial"/>
          <w:sz w:val="18"/>
          <w:szCs w:val="18"/>
          <w:color w:val="auto"/>
        </w:rPr>
      </w:pPr>
    </w:p>
    <w:p>
      <w:pPr>
        <w:jc w:val="both"/>
        <w:ind w:left="328" w:hanging="328"/>
        <w:spacing w:after="0" w:line="252" w:lineRule="auto"/>
        <w:tabs>
          <w:tab w:leader="none" w:pos="32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this subsection 2(k).</w:t>
      </w:r>
    </w:p>
    <w:p>
      <w:pPr>
        <w:spacing w:after="0" w:line="56" w:lineRule="exact"/>
        <w:rPr>
          <w:rFonts w:ascii="Arial" w:cs="Arial" w:eastAsia="Arial" w:hAnsi="Arial"/>
          <w:sz w:val="18"/>
          <w:szCs w:val="18"/>
          <w:color w:val="auto"/>
        </w:rPr>
      </w:pPr>
    </w:p>
    <w:p>
      <w:pPr>
        <w:ind w:left="328" w:hanging="328"/>
        <w:spacing w:after="0" w:line="287" w:lineRule="auto"/>
        <w:tabs>
          <w:tab w:leader="none" w:pos="32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Stock Ownership Guidelines</w:t>
      </w:r>
      <w:r>
        <w:rPr>
          <w:rFonts w:ascii="Arial" w:cs="Arial" w:eastAsia="Arial" w:hAnsi="Arial"/>
          <w:sz w:val="18"/>
          <w:szCs w:val="18"/>
          <w:color w:val="auto"/>
        </w:rPr>
        <w:t>. If the Participant is or becomes subject to the Company’s Stock Ownership Guidelines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retention requirements, the Participant may be limited in selling Shares obtained upon settlement of the RSUs.</w:t>
      </w:r>
    </w:p>
    <w:p>
      <w:pPr>
        <w:spacing w:after="0" w:line="17" w:lineRule="exact"/>
        <w:rPr>
          <w:rFonts w:ascii="Arial" w:cs="Arial" w:eastAsia="Arial" w:hAnsi="Arial"/>
          <w:sz w:val="18"/>
          <w:szCs w:val="18"/>
          <w:color w:val="auto"/>
        </w:rPr>
      </w:pPr>
    </w:p>
    <w:p>
      <w:pPr>
        <w:jc w:val="both"/>
        <w:ind w:left="328" w:hanging="328"/>
        <w:spacing w:after="0" w:line="262"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Clawback Policy</w:t>
      </w:r>
      <w:r>
        <w:rPr>
          <w:rFonts w:ascii="Arial" w:cs="Arial" w:eastAsia="Arial" w:hAnsi="Arial"/>
          <w:sz w:val="18"/>
          <w:szCs w:val="18"/>
          <w:color w:val="auto"/>
        </w:rPr>
        <w:t>. If the Participant is covered by the Company’s Clawback Policy, the Participant agrees that the RSUs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41" w:lineRule="exact"/>
        <w:rPr>
          <w:rFonts w:ascii="Arial" w:cs="Arial" w:eastAsia="Arial" w:hAnsi="Arial"/>
          <w:sz w:val="18"/>
          <w:szCs w:val="18"/>
          <w:color w:val="auto"/>
        </w:rPr>
      </w:pPr>
    </w:p>
    <w:p>
      <w:pPr>
        <w:ind w:left="328" w:hanging="328"/>
        <w:spacing w:after="0" w:line="287" w:lineRule="auto"/>
        <w:tabs>
          <w:tab w:leader="none" w:pos="318"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shall be interpreted accordingly.</w:t>
      </w:r>
    </w:p>
    <w:p>
      <w:pPr>
        <w:sectPr>
          <w:pgSz w:w="11900" w:h="16838" w:orient="portrait"/>
          <w:cols w:equalWidth="0" w:num="1">
            <w:col w:w="10828"/>
          </w:cols>
          <w:pgMar w:left="652" w:top="1440" w:right="419" w:bottom="1440" w:gutter="0" w:footer="0" w:header="0"/>
        </w:sectPr>
      </w:pPr>
    </w:p>
    <w:bookmarkStart w:id="73" w:name="page74"/>
    <w:bookmarkEnd w:id="73"/>
    <w:p>
      <w:pPr>
        <w:spacing w:after="0" w:line="58" w:lineRule="exact"/>
        <w:rPr>
          <w:sz w:val="20"/>
          <w:szCs w:val="20"/>
          <w:color w:val="auto"/>
        </w:rPr>
      </w:pPr>
    </w:p>
    <w:p>
      <w:pPr>
        <w:jc w:val="both"/>
        <w:ind w:left="980" w:hanging="324"/>
        <w:spacing w:after="0" w:line="257"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 ’s separation from service, then, to the extent required under Section 409A, any Shares that would otherwise be distributed (along with the cash value of all dividend equivalents that would be payable) upon the Participant ’s separation from service, shall instead be delivered (and, in the case of the dividend equivalents, paid) on the earlier of (x) the first business day of the seventh month following the date of the Participant ’s separation from service or (y) the Participant ’s death.</w:t>
      </w:r>
    </w:p>
    <w:p>
      <w:pPr>
        <w:spacing w:after="0" w:line="47" w:lineRule="exact"/>
        <w:rPr>
          <w:rFonts w:ascii="Arial" w:cs="Arial" w:eastAsia="Arial" w:hAnsi="Arial"/>
          <w:sz w:val="18"/>
          <w:szCs w:val="18"/>
          <w:color w:val="auto"/>
        </w:rPr>
      </w:pPr>
    </w:p>
    <w:p>
      <w:pPr>
        <w:jc w:val="both"/>
        <w:ind w:left="980" w:hanging="324"/>
        <w:spacing w:after="0" w:line="257" w:lineRule="auto"/>
        <w:tabs>
          <w:tab w:leader="none" w:pos="97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RSUs will vest at the time of the Change in Control, but distribution of any RSUs (or related dividend equivalents) that constitute deferred compensation for the purposes of Section 409A will not be accelerated (</w:t>
      </w:r>
      <w:r>
        <w:rPr>
          <w:rFonts w:ascii="Arial" w:cs="Arial" w:eastAsia="Arial" w:hAnsi="Arial"/>
          <w:sz w:val="18"/>
          <w:szCs w:val="18"/>
          <w:i w:val="1"/>
          <w:iCs w:val="1"/>
          <w:color w:val="auto"/>
        </w:rPr>
        <w:t>i.e</w:t>
      </w:r>
      <w:r>
        <w:rPr>
          <w:rFonts w:ascii="Arial" w:cs="Arial" w:eastAsia="Arial" w:hAnsi="Arial"/>
          <w:sz w:val="18"/>
          <w:szCs w:val="18"/>
          <w:color w:val="auto"/>
        </w:rPr>
        <w:t>., distribution will occur when it would have occurred absent the Change in Control).</w:t>
      </w:r>
    </w:p>
    <w:p>
      <w:pPr>
        <w:spacing w:after="0" w:line="47" w:lineRule="exact"/>
        <w:rPr>
          <w:rFonts w:ascii="Arial" w:cs="Arial" w:eastAsia="Arial" w:hAnsi="Arial"/>
          <w:sz w:val="18"/>
          <w:szCs w:val="18"/>
          <w:color w:val="auto"/>
        </w:rPr>
      </w:pPr>
    </w:p>
    <w:p>
      <w:pPr>
        <w:jc w:val="both"/>
        <w:ind w:left="660" w:right="80" w:hanging="328"/>
        <w:spacing w:after="0" w:line="268"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35" w:lineRule="exact"/>
        <w:rPr>
          <w:rFonts w:ascii="Arial" w:cs="Arial" w:eastAsia="Arial" w:hAnsi="Arial"/>
          <w:sz w:val="18"/>
          <w:szCs w:val="18"/>
          <w:color w:val="auto"/>
        </w:rPr>
      </w:pPr>
    </w:p>
    <w:p>
      <w:pPr>
        <w:jc w:val="both"/>
        <w:ind w:left="660" w:right="80" w:hanging="328"/>
        <w:spacing w:after="0" w:line="268"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ectPr>
          <w:pgSz w:w="11900" w:h="16838" w:orient="portrait"/>
          <w:cols w:equalWidth="0" w:num="1">
            <w:col w:w="11240"/>
          </w:cols>
          <w:pgMar w:left="320" w:top="1440" w:right="3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9000"/>
          </w:cols>
          <w:pgMar w:left="320" w:top="1440" w:right="3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0" w:lineRule="exact"/>
        <w:rPr>
          <w:sz w:val="20"/>
          <w:szCs w:val="20"/>
          <w:color w:val="auto"/>
        </w:rPr>
      </w:pPr>
    </w:p>
    <w:p>
      <w:pPr>
        <w:sectPr>
          <w:pgSz w:w="11900" w:h="16838" w:orient="portrait"/>
          <w:cols w:equalWidth="0" w:num="2">
            <w:col w:w="2980" w:space="720"/>
            <w:col w:w="754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Matthew Pine, President and CEO</w:t>
      </w:r>
    </w:p>
    <w:p>
      <w:pPr>
        <w:spacing w:after="0" w:line="211" w:lineRule="exact"/>
        <w:rPr>
          <w:sz w:val="20"/>
          <w:szCs w:val="20"/>
          <w:color w:val="auto"/>
        </w:rPr>
      </w:pPr>
    </w:p>
    <w:p>
      <w:pPr>
        <w:sectPr>
          <w:pgSz w:w="11900" w:h="16838" w:orient="portrait"/>
          <w:cols w:equalWidth="0" w:num="2">
            <w:col w:w="1580" w:space="720"/>
            <w:col w:w="8940"/>
          </w:cols>
          <w:pgMar w:left="320" w:top="1440"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Dated: ###GRANT_DATE###</w:t>
      </w:r>
    </w:p>
    <w:p>
      <w:pPr>
        <w:sectPr>
          <w:pgSz w:w="11900" w:h="16838" w:orient="portrait"/>
          <w:cols w:equalWidth="0" w:num="2">
            <w:col w:w="2560" w:space="720"/>
            <w:col w:w="7960"/>
          </w:cols>
          <w:pgMar w:left="320" w:top="1440" w:right="339" w:bottom="1440" w:gutter="0" w:footer="0" w:header="0"/>
          <w:type w:val="continuous"/>
        </w:sectPr>
      </w:pPr>
    </w:p>
    <w:bookmarkStart w:id="74" w:name="page75"/>
    <w:bookmarkEnd w:id="74"/>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 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California at the time of execution of this Agreement, Paragraphs 2(g)(iv) and Paragraph 2(o)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COLORADO</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Paragraph 2(g)(iv) does not apply unless the employee who, when the covenant not to solicit is entered and when it is enforced, earns at least $76,254 as of 2025 (adjusted on a yearly basis).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GEORGIA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employees residing in Georgia, Paragraph 2(g)(iv) shall apply in the United States, which the employee agrees is a reasonable geographic territory in which the Company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ILLINOIS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Paragraph 2(g)(iv) does not apply unless the employee’s actual or expected rate of earnings exceeds $45,000 per year (which statutorily increases every five years).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who perform work in Louisiana, Paragraph 2(g)(iv)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NORTH DAKOTA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North Dakota at the time of execution of this Agreement, Paragraph 2(g)(iv)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OKLAHOMA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employees residing in Oklahoma at the time of execution of this Agreement, Paragraph 2(g)(iv) will only apply to the extent it prohibits the Employee from directly soliciting the sale of goods, services or a combination of goods and services from the established customers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OREGON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employees residing in Oregon at the time of execution of this Agreement, the Company shall provide a copy of this Agreement to the employees at least two weeks before the employees begin work and must sign this Agreement as a condition of employment. The Company also must provide the employee a signed, written copy of the Agreement within 30 days after the date of termination of the employee’s employment with the Company.</w:t>
      </w:r>
    </w:p>
    <w:p>
      <w:pPr>
        <w:sectPr>
          <w:pgSz w:w="11900" w:h="16838" w:orient="portrait"/>
          <w:cols w:equalWidth="0" w:num="1">
            <w:col w:w="11240"/>
          </w:cols>
          <w:pgMar w:left="320" w:top="1440" w:right="339" w:bottom="1440" w:gutter="0" w:footer="0" w:header="0"/>
        </w:sectPr>
      </w:pPr>
    </w:p>
    <w:bookmarkStart w:id="75" w:name="page76"/>
    <w:bookmarkEnd w:id="75"/>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“[YEAR]” RESTRICTED STOCK UNIT GRANT AGREEMENT FOR SENIOR LEADERSHIP TEAM</w:t>
      </w:r>
    </w:p>
    <w:p>
      <w:pPr>
        <w:spacing w:after="0" w:line="200" w:lineRule="exact"/>
        <w:rPr>
          <w:sz w:val="20"/>
          <w:szCs w:val="20"/>
          <w:color w:val="auto"/>
        </w:rPr>
      </w:pPr>
    </w:p>
    <w:p>
      <w:pPr>
        <w:spacing w:after="0" w:line="21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(Amended and Restated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right="80" w:hanging="332"/>
        <w:spacing w:after="0" w:line="268" w:lineRule="auto"/>
        <w:tabs>
          <w:tab w:leader="none" w:pos="328"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The RSUs are notional units of measurement denominated in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one RSU is equivalent in value to one Share of common stock of the Company).</w:t>
      </w:r>
    </w:p>
    <w:p>
      <w:pPr>
        <w:spacing w:after="0" w:line="35" w:lineRule="exact"/>
        <w:rPr>
          <w:rFonts w:ascii="Arial" w:cs="Arial" w:eastAsia="Arial" w:hAnsi="Arial"/>
          <w:sz w:val="18"/>
          <w:szCs w:val="18"/>
          <w:b w:val="1"/>
          <w:bCs w:val="1"/>
          <w:color w:val="auto"/>
        </w:rPr>
      </w:pPr>
    </w:p>
    <w:p>
      <w:pPr>
        <w:ind w:left="340" w:right="16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RSUs represent an unfunded, unsecured right to receive Shares and dividend equivalent payments in the future if the conditions in the Plan and this Agreement are satisfied.</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right="80" w:hanging="328"/>
        <w:spacing w:after="0" w:line="268"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RSUs, or benefits in lieu of RSUs, even if RSUs have been granted in the past. All decisions with respect to future RSUs or other grants, if any, will be at the sole discretion of the Company;</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right="80" w:hanging="328"/>
        <w:spacing w:after="0" w:line="268" w:lineRule="auto"/>
        <w:tabs>
          <w:tab w:leader="none" w:pos="6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right="80" w:hanging="328"/>
        <w:spacing w:after="0" w:line="287"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the termination of the Participant's employment; and</w:t>
      </w:r>
    </w:p>
    <w:p>
      <w:pPr>
        <w:spacing w:after="0" w:line="17" w:lineRule="exact"/>
        <w:rPr>
          <w:rFonts w:ascii="Arial" w:cs="Arial" w:eastAsia="Arial" w:hAnsi="Arial"/>
          <w:sz w:val="18"/>
          <w:szCs w:val="18"/>
          <w:color w:val="auto"/>
        </w:rPr>
      </w:pPr>
    </w:p>
    <w:p>
      <w:pPr>
        <w:jc w:val="both"/>
        <w:ind w:left="660" w:right="80" w:hanging="328"/>
        <w:spacing w:after="0" w:line="268" w:lineRule="auto"/>
        <w:tabs>
          <w:tab w:leader="none" w:pos="6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It is understood and agreed that the RSUs are subject to the following terms and conditions:</w:t>
      </w:r>
    </w:p>
    <w:p>
      <w:pPr>
        <w:spacing w:after="0" w:line="90" w:lineRule="exact"/>
        <w:rPr>
          <w:rFonts w:ascii="Arial" w:cs="Arial" w:eastAsia="Arial" w:hAnsi="Arial"/>
          <w:sz w:val="18"/>
          <w:szCs w:val="18"/>
          <w:b w:val="1"/>
          <w:bCs w:val="1"/>
          <w:color w:val="auto"/>
        </w:rPr>
      </w:pPr>
    </w:p>
    <w:p>
      <w:pPr>
        <w:jc w:val="both"/>
        <w:ind w:left="660" w:right="80" w:hanging="328"/>
        <w:spacing w:after="0" w:line="268"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neither this Award nor any RSUs subject to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sold, assigned, pledged, exchanged, transferred, hypothecated or encumbered, other than to the Company as a result of forfeiture of the RSUs.</w:t>
      </w:r>
    </w:p>
    <w:p>
      <w:pPr>
        <w:spacing w:after="0" w:line="35" w:lineRule="exact"/>
        <w:rPr>
          <w:rFonts w:ascii="Arial" w:cs="Arial" w:eastAsia="Arial" w:hAnsi="Arial"/>
          <w:sz w:val="18"/>
          <w:szCs w:val="18"/>
          <w:color w:val="auto"/>
        </w:rPr>
      </w:pPr>
    </w:p>
    <w:p>
      <w:pPr>
        <w:ind w:left="660" w:right="100" w:hanging="328"/>
        <w:spacing w:after="0" w:line="287"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Voting and Dividend Equivalent Rights. </w:t>
      </w:r>
      <w:r>
        <w:rPr>
          <w:rFonts w:ascii="Arial" w:cs="Arial" w:eastAsia="Arial" w:hAnsi="Arial"/>
          <w:sz w:val="18"/>
          <w:szCs w:val="18"/>
          <w:color w:val="auto"/>
        </w:rPr>
        <w:t>The Participant will not have any privileges of a shareholder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RSUs or any Shares that may be delivered</w:t>
      </w:r>
    </w:p>
    <w:p>
      <w:pPr>
        <w:sectPr>
          <w:pgSz w:w="11900" w:h="16838" w:orient="portrait"/>
          <w:cols w:equalWidth="0" w:num="1">
            <w:col w:w="11240"/>
          </w:cols>
          <w:pgMar w:left="320" w:top="1440" w:right="339" w:bottom="1440" w:gutter="0" w:footer="0" w:header="0"/>
        </w:sectPr>
      </w:pPr>
    </w:p>
    <w:bookmarkStart w:id="76" w:name="page77"/>
    <w:bookmarkEnd w:id="76"/>
    <w:p>
      <w:pPr>
        <w:spacing w:after="0" w:line="58"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under this Agreement, including without limitation any right to vote the Shares or to receive dividends, unless and until the Shares are delivered on vesting of the RSUs. Dividend equivalents will be earned with respect to each RSU that vests and the amount will be equal to the total dividends declared on a Share, where the record date of the dividend is between the Grant Date of this Award and the date a Share is issued on vesting of the RSU. Any dividend equivalents earned will be paid in cash to the Participant when the Shares subject to the vested RSUs are issued. No dividend equivalents will be earned or paid with respect to any portion of the RSUs that do not vest. Dividend equivalents will not accrue interest.</w:t>
      </w:r>
    </w:p>
    <w:p>
      <w:pPr>
        <w:spacing w:after="0" w:line="47" w:lineRule="exact"/>
        <w:rPr>
          <w:sz w:val="20"/>
          <w:szCs w:val="20"/>
          <w:color w:val="auto"/>
        </w:rPr>
      </w:pPr>
    </w:p>
    <w:p>
      <w:pPr>
        <w:jc w:val="both"/>
        <w:ind w:left="328" w:hanging="328"/>
        <w:spacing w:after="0" w:line="268" w:lineRule="auto"/>
        <w:tabs>
          <w:tab w:leader="none" w:pos="32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RSUs will vest as long as the Participant has been actively employed by the Company or an Affiliate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Date through the vesting date. Active employment does not include any potential severance period or an approved leave of absence greater than 6 months. The RSUs will vest in installments as follows:</w:t>
      </w:r>
    </w:p>
    <w:p>
      <w:pPr>
        <w:spacing w:after="0" w:line="36"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###VEST_SCHEDULE_TABLE###</w:t>
      </w:r>
    </w:p>
    <w:p>
      <w:pPr>
        <w:spacing w:after="0" w:line="90" w:lineRule="exact"/>
        <w:rPr>
          <w:sz w:val="20"/>
          <w:szCs w:val="20"/>
          <w:color w:val="auto"/>
        </w:rPr>
      </w:pPr>
    </w:p>
    <w:p>
      <w:pPr>
        <w:jc w:val="both"/>
        <w:ind w:left="328"/>
        <w:spacing w:after="0" w:line="262" w:lineRule="auto"/>
        <w:rPr>
          <w:sz w:val="20"/>
          <w:szCs w:val="20"/>
          <w:color w:val="auto"/>
        </w:rPr>
      </w:pPr>
      <w:r>
        <w:rPr>
          <w:rFonts w:ascii="Arial" w:cs="Arial" w:eastAsia="Arial" w:hAnsi="Arial"/>
          <w:sz w:val="18"/>
          <w:szCs w:val="18"/>
          <w:color w:val="auto"/>
        </w:rPr>
        <w:t>Except as provided in subsection 2(i), on vesting of the RSUs, including vesting pursuant to subsections 2(d) or 2(e), the Company will deliver to the Participant (i) one Share for each vested RSU, with any fractional Shares resulting from proration pursuant to subsection 2(e), if applicable, to be rounded to the nearest whole Share, and (ii) an amount in cash attributable to dividend equivalents earned in accordance with subsection 2(b), less Shares withheld in accordance with subsection 2(f).</w:t>
      </w:r>
    </w:p>
    <w:p>
      <w:pPr>
        <w:spacing w:after="0" w:line="41" w:lineRule="exact"/>
        <w:rPr>
          <w:sz w:val="20"/>
          <w:szCs w:val="20"/>
          <w:color w:val="auto"/>
        </w:rPr>
      </w:pPr>
    </w:p>
    <w:p>
      <w:pPr>
        <w:jc w:val="both"/>
        <w:ind w:left="328"/>
        <w:spacing w:after="0" w:line="287" w:lineRule="auto"/>
        <w:rPr>
          <w:sz w:val="20"/>
          <w:szCs w:val="20"/>
          <w:color w:val="auto"/>
        </w:rPr>
      </w:pPr>
      <w:r>
        <w:rPr>
          <w:rFonts w:ascii="Arial" w:cs="Arial" w:eastAsia="Arial" w:hAnsi="Arial"/>
          <w:sz w:val="18"/>
          <w:szCs w:val="18"/>
          <w:color w:val="auto"/>
        </w:rPr>
        <w:t>For China-based Participants, the Company will provide a cash payment equivalent to the Fair Market Value of the shares vested as soon as practicable following the Vesting Date.</w:t>
      </w:r>
    </w:p>
    <w:p>
      <w:pPr>
        <w:spacing w:after="0" w:line="18" w:lineRule="exact"/>
        <w:rPr>
          <w:sz w:val="20"/>
          <w:szCs w:val="20"/>
          <w:color w:val="auto"/>
        </w:rPr>
      </w:pPr>
    </w:p>
    <w:p>
      <w:pPr>
        <w:jc w:val="both"/>
        <w:ind w:left="328" w:hanging="328"/>
        <w:spacing w:after="0" w:line="268" w:lineRule="auto"/>
        <w:tabs>
          <w:tab w:leader="none" w:pos="318"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vesting date, if the acquiring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transaction assumes or continues any then-outstanding RSUs under the Plan, any unvested RSUs will continue to vest based on the RSUs’ service-based vesting criteria until the vesting date.</w:t>
      </w:r>
    </w:p>
    <w:p>
      <w:pPr>
        <w:spacing w:after="0" w:line="35" w:lineRule="exact"/>
        <w:rPr>
          <w:rFonts w:ascii="Arial" w:cs="Arial" w:eastAsia="Arial" w:hAnsi="Arial"/>
          <w:sz w:val="18"/>
          <w:szCs w:val="18"/>
          <w:color w:val="auto"/>
        </w:rPr>
      </w:pPr>
    </w:p>
    <w:p>
      <w:pPr>
        <w:jc w:val="both"/>
        <w:ind w:left="328"/>
        <w:spacing w:after="0" w:line="268" w:lineRule="auto"/>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assumed unvested RSUs will become 100% vested on the termination date.</w:t>
      </w:r>
    </w:p>
    <w:p>
      <w:pPr>
        <w:spacing w:after="0" w:line="35" w:lineRule="exact"/>
        <w:rPr>
          <w:rFonts w:ascii="Arial" w:cs="Arial" w:eastAsia="Arial" w:hAnsi="Arial"/>
          <w:sz w:val="18"/>
          <w:szCs w:val="18"/>
          <w:color w:val="auto"/>
        </w:rPr>
      </w:pPr>
    </w:p>
    <w:p>
      <w:pPr>
        <w:ind w:left="328"/>
        <w:spacing w:after="0" w:line="287" w:lineRule="auto"/>
        <w:rPr>
          <w:rFonts w:ascii="Arial" w:cs="Arial" w:eastAsia="Arial" w:hAnsi="Arial"/>
          <w:sz w:val="18"/>
          <w:szCs w:val="18"/>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RSUs will become 100% vested.</w:t>
      </w:r>
    </w:p>
    <w:p>
      <w:pPr>
        <w:spacing w:after="0" w:line="17"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47" w:lineRule="exact"/>
        <w:rPr>
          <w:rFonts w:ascii="Arial" w:cs="Arial" w:eastAsia="Arial" w:hAnsi="Arial"/>
          <w:sz w:val="18"/>
          <w:szCs w:val="18"/>
          <w:color w:val="auto"/>
        </w:rPr>
      </w:pPr>
    </w:p>
    <w:p>
      <w:pPr>
        <w:jc w:val="both"/>
        <w:ind w:left="328"/>
        <w:spacing w:after="0" w:line="268"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w:t>
      </w:r>
    </w:p>
    <w:p>
      <w:pPr>
        <w:sectPr>
          <w:pgSz w:w="11900" w:h="16838" w:orient="portrait"/>
          <w:cols w:equalWidth="0" w:num="1">
            <w:col w:w="10828"/>
          </w:cols>
          <w:pgMar w:left="652" w:top="1440" w:right="419" w:bottom="1440" w:gutter="0" w:footer="0" w:header="0"/>
        </w:sectPr>
      </w:pPr>
    </w:p>
    <w:bookmarkStart w:id="77" w:name="page78"/>
    <w:bookmarkEnd w:id="77"/>
    <w:p>
      <w:pPr>
        <w:spacing w:after="0" w:line="5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not taken in bad faith that is resolved by the Company or an Affiliate within 30 days of receiving notice.</w:t>
      </w:r>
    </w:p>
    <w:p>
      <w:pPr>
        <w:spacing w:after="0" w:line="90" w:lineRule="exact"/>
        <w:rPr>
          <w:sz w:val="20"/>
          <w:szCs w:val="20"/>
          <w:color w:val="auto"/>
        </w:rPr>
      </w:pPr>
    </w:p>
    <w:p>
      <w:pPr>
        <w:jc w:val="both"/>
        <w:ind w:left="328" w:right="80" w:hanging="328"/>
        <w:spacing w:after="0" w:line="259" w:lineRule="auto"/>
        <w:tabs>
          <w:tab w:leader="none" w:pos="318"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RSUs will only vest if the Participant is actively employed by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vesting date. If the Participant's active employment with the Company or an Affiliate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RSUs on the date of the Participant’s termination of employment:</w:t>
      </w:r>
    </w:p>
    <w:p>
      <w:pPr>
        <w:spacing w:after="0" w:line="57" w:lineRule="exact"/>
        <w:rPr>
          <w:rFonts w:ascii="Arial" w:cs="Arial" w:eastAsia="Arial" w:hAnsi="Arial"/>
          <w:sz w:val="18"/>
          <w:szCs w:val="18"/>
          <w:color w:val="auto"/>
        </w:rPr>
      </w:pPr>
    </w:p>
    <w:p>
      <w:pPr>
        <w:ind w:left="628" w:hanging="304"/>
        <w:spacing w:after="0"/>
        <w:tabs>
          <w:tab w:leader="none" w:pos="628" w:val="left"/>
        </w:tabs>
        <w:numPr>
          <w:ilvl w:val="1"/>
          <w:numId w:val="44"/>
        </w:numPr>
        <w:rPr>
          <w:rFonts w:ascii="Arial" w:cs="Arial" w:eastAsia="Arial" w:hAnsi="Arial"/>
          <w:sz w:val="20"/>
          <w:szCs w:val="20"/>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RSUs will immediately become 100% vested.</w:t>
      </w:r>
    </w:p>
    <w:p>
      <w:pPr>
        <w:spacing w:after="0" w:line="94" w:lineRule="exact"/>
        <w:rPr>
          <w:rFonts w:ascii="Arial" w:cs="Arial" w:eastAsia="Arial" w:hAnsi="Arial"/>
          <w:sz w:val="20"/>
          <w:szCs w:val="20"/>
          <w:color w:val="auto"/>
        </w:rPr>
      </w:pPr>
    </w:p>
    <w:p>
      <w:pPr>
        <w:ind w:left="648" w:right="360" w:hanging="324"/>
        <w:spacing w:after="0" w:line="254" w:lineRule="auto"/>
        <w:tabs>
          <w:tab w:leader="none" w:pos="638" w:val="left"/>
        </w:tabs>
        <w:numPr>
          <w:ilvl w:val="1"/>
          <w:numId w:val="44"/>
        </w:numPr>
        <w:rPr>
          <w:rFonts w:ascii="Arial" w:cs="Arial" w:eastAsia="Arial" w:hAnsi="Arial"/>
          <w:sz w:val="20"/>
          <w:szCs w:val="20"/>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A prorated portion (as described below) of unvested RSUs with a vesting date within 12 months of termination shall immediately vest on the Participant’s termination of employment. All other unvested RSUs will automatically be forfeited.</w:t>
      </w:r>
    </w:p>
    <w:p>
      <w:pPr>
        <w:spacing w:after="0" w:line="60" w:lineRule="exact"/>
        <w:rPr>
          <w:rFonts w:ascii="Arial" w:cs="Arial" w:eastAsia="Arial" w:hAnsi="Arial"/>
          <w:sz w:val="20"/>
          <w:szCs w:val="20"/>
          <w:color w:val="auto"/>
        </w:rPr>
      </w:pPr>
    </w:p>
    <w:p>
      <w:pPr>
        <w:ind w:left="648" w:hanging="324"/>
        <w:spacing w:after="0"/>
        <w:tabs>
          <w:tab w:leader="none" w:pos="648" w:val="left"/>
        </w:tabs>
        <w:numPr>
          <w:ilvl w:val="1"/>
          <w:numId w:val="44"/>
        </w:numPr>
        <w:rPr>
          <w:rFonts w:ascii="Arial" w:cs="Arial" w:eastAsia="Arial" w:hAnsi="Arial"/>
          <w:sz w:val="20"/>
          <w:szCs w:val="20"/>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All unvested RSUs will automatically be forfeited.</w:t>
      </w:r>
    </w:p>
    <w:p>
      <w:pPr>
        <w:spacing w:after="0" w:line="81"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36"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b w:val="1"/>
          <w:bCs w:val="1"/>
          <w:color w:val="auto"/>
        </w:rPr>
        <w:t xml:space="preserve">Prorated Vesting Upon Retirement. </w:t>
      </w:r>
      <w:r>
        <w:rPr>
          <w:rFonts w:ascii="Arial" w:cs="Arial" w:eastAsia="Arial" w:hAnsi="Arial"/>
          <w:sz w:val="18"/>
          <w:szCs w:val="18"/>
          <w:color w:val="auto"/>
        </w:rPr>
        <w:t>The prorated portion of the RSUs that vests upon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RSUs with vesting date within 12 months of termination by a fraction, of which the numerator is the number of full months (not to exceed 12) the Participant has been continually employed since the most recent Vest Period Start Date, and the denominator is 12. For this purpose, full months of employment shall be based on monthly anniversaries of the Vest Period Start Date, not calendar months.</w:t>
      </w:r>
    </w:p>
    <w:p>
      <w:pPr>
        <w:spacing w:after="0" w:line="44" w:lineRule="exact"/>
        <w:rPr>
          <w:sz w:val="20"/>
          <w:szCs w:val="20"/>
          <w:color w:val="auto"/>
        </w:rPr>
      </w:pPr>
    </w:p>
    <w:p>
      <w:pPr>
        <w:jc w:val="both"/>
        <w:ind w:left="328" w:hanging="328"/>
        <w:spacing w:after="0" w:line="255" w:lineRule="auto"/>
        <w:tabs>
          <w:tab w:leader="none" w:pos="32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RSUs and any related dividend equivalents. Unless the Committee determines otherwise, the minimum statutory tax withholding required to be withheld upon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RSUs are outstanding, the withholding will be made in a manner determined by the Company.</w:t>
      </w:r>
    </w:p>
    <w:p>
      <w:pPr>
        <w:spacing w:after="0" w:line="49" w:lineRule="exact"/>
        <w:rPr>
          <w:rFonts w:ascii="Arial" w:cs="Arial" w:eastAsia="Arial" w:hAnsi="Arial"/>
          <w:sz w:val="18"/>
          <w:szCs w:val="18"/>
          <w:color w:val="auto"/>
        </w:rPr>
      </w:pPr>
    </w:p>
    <w:p>
      <w:pPr>
        <w:jc w:val="both"/>
        <w:ind w:left="328" w:right="80" w:hanging="328"/>
        <w:spacing w:after="0" w:line="259" w:lineRule="auto"/>
        <w:tabs>
          <w:tab w:leader="none" w:pos="318"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 settlement of vested RSUs or the net after-tax income, or the pre-tax value to the extent required by applicable law and/or the Company’s Recoupment of Incentive-Based Compensation Policy 40-05, from the disposition of any Shares received upon settlement of vested RSUs, to the</w:t>
      </w:r>
    </w:p>
    <w:p>
      <w:pPr>
        <w:sectPr>
          <w:pgSz w:w="11900" w:h="16838" w:orient="portrait"/>
          <w:cols w:equalWidth="0" w:num="1">
            <w:col w:w="10908"/>
          </w:cols>
          <w:pgMar w:left="652" w:top="1440" w:right="339" w:bottom="1440" w:gutter="0" w:footer="0" w:header="0"/>
        </w:sectPr>
      </w:pPr>
    </w:p>
    <w:bookmarkStart w:id="78" w:name="page79"/>
    <w:bookmarkEnd w:id="78"/>
    <w:p>
      <w:pPr>
        <w:spacing w:after="0" w:line="5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extent required by applicable law and/or the Company Policy 40-05, or if the Committee, in its sole discretion, determines that the</w:t>
      </w:r>
    </w:p>
    <w:p>
      <w:pPr>
        <w:spacing w:after="0" w:line="2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Participant:</w:t>
      </w:r>
    </w:p>
    <w:p>
      <w:pPr>
        <w:spacing w:after="0" w:line="72" w:lineRule="exact"/>
        <w:rPr>
          <w:sz w:val="20"/>
          <w:szCs w:val="20"/>
          <w:color w:val="auto"/>
        </w:rPr>
      </w:pPr>
    </w:p>
    <w:p>
      <w:pPr>
        <w:ind w:left="648" w:hanging="324"/>
        <w:spacing w:after="0"/>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648" w:hanging="324"/>
        <w:spacing w:after="0"/>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90" w:lineRule="exact"/>
        <w:rPr>
          <w:rFonts w:ascii="Arial" w:cs="Arial" w:eastAsia="Arial" w:hAnsi="Arial"/>
          <w:sz w:val="18"/>
          <w:szCs w:val="18"/>
          <w:color w:val="auto"/>
        </w:rPr>
      </w:pPr>
    </w:p>
    <w:p>
      <w:pPr>
        <w:ind w:left="648" w:hanging="324"/>
        <w:spacing w:after="0" w:line="287" w:lineRule="auto"/>
        <w:tabs>
          <w:tab w:leader="none" w:pos="6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w:t>
      </w:r>
    </w:p>
    <w:p>
      <w:pPr>
        <w:spacing w:after="0" w:line="17" w:lineRule="exact"/>
        <w:rPr>
          <w:rFonts w:ascii="Arial" w:cs="Arial" w:eastAsia="Arial" w:hAnsi="Arial"/>
          <w:sz w:val="18"/>
          <w:szCs w:val="18"/>
          <w:color w:val="auto"/>
        </w:rPr>
      </w:pPr>
    </w:p>
    <w:p>
      <w:pPr>
        <w:jc w:val="both"/>
        <w:ind w:left="648" w:hanging="324"/>
        <w:spacing w:after="0" w:line="268"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 or</w:t>
      </w:r>
    </w:p>
    <w:p>
      <w:pPr>
        <w:spacing w:after="0" w:line="35" w:lineRule="exact"/>
        <w:rPr>
          <w:rFonts w:ascii="Arial" w:cs="Arial" w:eastAsia="Arial" w:hAnsi="Arial"/>
          <w:sz w:val="18"/>
          <w:szCs w:val="18"/>
          <w:color w:val="auto"/>
        </w:rPr>
      </w:pPr>
    </w:p>
    <w:p>
      <w:pPr>
        <w:ind w:left="648" w:hanging="324"/>
        <w:spacing w:after="0" w:line="287" w:lineRule="auto"/>
        <w:tabs>
          <w:tab w:leader="none" w:pos="6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Violates the non-competition covenant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of this Agreement (the “</w:t>
      </w:r>
      <w:r>
        <w:rPr>
          <w:rFonts w:ascii="Arial" w:cs="Arial" w:eastAsia="Arial" w:hAnsi="Arial"/>
          <w:sz w:val="18"/>
          <w:szCs w:val="18"/>
          <w:b w:val="1"/>
          <w:bCs w:val="1"/>
          <w:u w:val="single" w:color="auto"/>
          <w:color w:val="auto"/>
        </w:rPr>
        <w:t>Non-Competition Covenant</w:t>
      </w:r>
      <w:r>
        <w:rPr>
          <w:rFonts w:ascii="Arial" w:cs="Arial" w:eastAsia="Arial" w:hAnsi="Arial"/>
          <w:sz w:val="18"/>
          <w:szCs w:val="18"/>
          <w:color w:val="auto"/>
        </w:rPr>
        <w:t>”) at any time during the Participant’s employment and for 12 months after termination of his or her employment.</w:t>
      </w:r>
    </w:p>
    <w:p>
      <w:pPr>
        <w:spacing w:after="0" w:line="1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RSUs,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328" w:right="80" w:hanging="328"/>
        <w:spacing w:after="0" w:line="255" w:lineRule="auto"/>
        <w:tabs>
          <w:tab w:leader="none" w:pos="318"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2(g), the injury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suffered by the Company and/or an Affiliate as a result of a breach of the provisions of this Agreement (including any covenant described in subsection 2(g)) would be irreparable and that an award of monetary damages to the Company and/or an Affiliate for such a breach would be 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 or other security in seeking such relief. Without limiting the Company’s or Affiliate’s rights under subsection 2(g) or any other remedies of the Company or an Affiliate, if the Participant breaches any covenant described in subsection 2(g), the Company will have the right to cancel this Agreement.</w:t>
      </w:r>
    </w:p>
    <w:p>
      <w:pPr>
        <w:spacing w:after="0" w:line="45" w:lineRule="exact"/>
        <w:rPr>
          <w:rFonts w:ascii="Arial" w:cs="Arial" w:eastAsia="Arial" w:hAnsi="Arial"/>
          <w:sz w:val="18"/>
          <w:szCs w:val="18"/>
          <w:color w:val="auto"/>
        </w:rPr>
      </w:pPr>
    </w:p>
    <w:p>
      <w:pPr>
        <w:ind w:left="328" w:right="80" w:hanging="328"/>
        <w:spacing w:after="0" w:line="287" w:lineRule="auto"/>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and Acceptance. </w:t>
      </w:r>
      <w:r>
        <w:rPr>
          <w:rFonts w:ascii="Arial" w:cs="Arial" w:eastAsia="Arial" w:hAnsi="Arial"/>
          <w:sz w:val="18"/>
          <w:szCs w:val="18"/>
          <w:color w:val="auto"/>
        </w:rPr>
        <w:t>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w:t>
      </w:r>
    </w:p>
    <w:p>
      <w:pPr>
        <w:sectPr>
          <w:pgSz w:w="11900" w:h="16838" w:orient="portrait"/>
          <w:cols w:equalWidth="0" w:num="1">
            <w:col w:w="10908"/>
          </w:cols>
          <w:pgMar w:left="652" w:top="1440" w:right="339" w:bottom="1440" w:gutter="0" w:footer="0" w:header="0"/>
        </w:sectPr>
      </w:pPr>
    </w:p>
    <w:bookmarkStart w:id="79" w:name="page80"/>
    <w:bookmarkEnd w:id="79"/>
    <w:p>
      <w:pPr>
        <w:spacing w:after="0" w:line="5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established or may establish for an electronic signature system for delivery and acceptance of 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4" w:lineRule="exact"/>
        <w:rPr>
          <w:sz w:val="20"/>
          <w:szCs w:val="20"/>
          <w:color w:val="auto"/>
        </w:rPr>
      </w:pPr>
    </w:p>
    <w:p>
      <w:pPr>
        <w:jc w:val="both"/>
        <w:ind w:left="328" w:hanging="328"/>
        <w:spacing w:after="0" w:line="257" w:lineRule="auto"/>
        <w:tabs>
          <w:tab w:leader="none" w:pos="32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RSUs (to the extent such RSUs are not subject to Code Section 409A), or the Company may deduct funds equal to the amount of the obligation from other funds due to the Participant from the Company to the maximum extent permitted by Code Section 409A.</w:t>
      </w:r>
    </w:p>
    <w:p>
      <w:pPr>
        <w:spacing w:after="0" w:line="47" w:lineRule="exact"/>
        <w:rPr>
          <w:rFonts w:ascii="Arial" w:cs="Arial" w:eastAsia="Arial" w:hAnsi="Arial"/>
          <w:sz w:val="18"/>
          <w:szCs w:val="18"/>
          <w:color w:val="auto"/>
        </w:rPr>
      </w:pPr>
    </w:p>
    <w:p>
      <w:pPr>
        <w:jc w:val="both"/>
        <w:ind w:left="328" w:hanging="328"/>
        <w:spacing w:after="0" w:line="252" w:lineRule="auto"/>
        <w:tabs>
          <w:tab w:leader="none" w:pos="322"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this subsection 2(k).</w:t>
      </w:r>
    </w:p>
    <w:p>
      <w:pPr>
        <w:spacing w:after="0" w:line="56" w:lineRule="exact"/>
        <w:rPr>
          <w:rFonts w:ascii="Arial" w:cs="Arial" w:eastAsia="Arial" w:hAnsi="Arial"/>
          <w:sz w:val="18"/>
          <w:szCs w:val="18"/>
          <w:color w:val="auto"/>
        </w:rPr>
      </w:pPr>
    </w:p>
    <w:p>
      <w:pPr>
        <w:ind w:left="328" w:hanging="328"/>
        <w:spacing w:after="0" w:line="287" w:lineRule="auto"/>
        <w:tabs>
          <w:tab w:leader="none" w:pos="32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Stock Ownership Guidelines</w:t>
      </w:r>
      <w:r>
        <w:rPr>
          <w:rFonts w:ascii="Arial" w:cs="Arial" w:eastAsia="Arial" w:hAnsi="Arial"/>
          <w:sz w:val="18"/>
          <w:szCs w:val="18"/>
          <w:color w:val="auto"/>
        </w:rPr>
        <w:t>. If the Participant is or becomes subject to the Company’s Stock Ownership Guidelines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retention requirements, the Participant may be limited in selling Shares obtained upon settlement of the RSUs.</w:t>
      </w:r>
    </w:p>
    <w:p>
      <w:pPr>
        <w:spacing w:after="0" w:line="17" w:lineRule="exact"/>
        <w:rPr>
          <w:rFonts w:ascii="Arial" w:cs="Arial" w:eastAsia="Arial" w:hAnsi="Arial"/>
          <w:sz w:val="18"/>
          <w:szCs w:val="18"/>
          <w:color w:val="auto"/>
        </w:rPr>
      </w:pPr>
    </w:p>
    <w:p>
      <w:pPr>
        <w:jc w:val="both"/>
        <w:ind w:left="328" w:hanging="328"/>
        <w:spacing w:after="0" w:line="262" w:lineRule="auto"/>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Clawback Policy</w:t>
      </w:r>
      <w:r>
        <w:rPr>
          <w:rFonts w:ascii="Arial" w:cs="Arial" w:eastAsia="Arial" w:hAnsi="Arial"/>
          <w:sz w:val="18"/>
          <w:szCs w:val="18"/>
          <w:color w:val="auto"/>
        </w:rPr>
        <w:t>. If the Participant is covered by the Company’s Clawback Policy, the Participant agrees that the RSUs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41" w:lineRule="exact"/>
        <w:rPr>
          <w:rFonts w:ascii="Arial" w:cs="Arial" w:eastAsia="Arial" w:hAnsi="Arial"/>
          <w:sz w:val="18"/>
          <w:szCs w:val="18"/>
          <w:color w:val="auto"/>
        </w:rPr>
      </w:pPr>
    </w:p>
    <w:p>
      <w:pPr>
        <w:ind w:left="328" w:hanging="328"/>
        <w:spacing w:after="0" w:line="287" w:lineRule="auto"/>
        <w:tabs>
          <w:tab w:leader="none" w:pos="31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shall be interpreted accordingly.</w:t>
      </w:r>
    </w:p>
    <w:p>
      <w:pPr>
        <w:sectPr>
          <w:pgSz w:w="11900" w:h="16838" w:orient="portrait"/>
          <w:cols w:equalWidth="0" w:num="1">
            <w:col w:w="10828"/>
          </w:cols>
          <w:pgMar w:left="652" w:top="1440" w:right="419" w:bottom="1440" w:gutter="0" w:footer="0" w:header="0"/>
        </w:sectPr>
      </w:pPr>
    </w:p>
    <w:bookmarkStart w:id="80" w:name="page81"/>
    <w:bookmarkEnd w:id="80"/>
    <w:p>
      <w:pPr>
        <w:spacing w:after="0" w:line="58" w:lineRule="exact"/>
        <w:rPr>
          <w:sz w:val="20"/>
          <w:szCs w:val="20"/>
          <w:color w:val="auto"/>
        </w:rPr>
      </w:pPr>
    </w:p>
    <w:p>
      <w:pPr>
        <w:jc w:val="both"/>
        <w:ind w:left="980" w:hanging="324"/>
        <w:spacing w:after="0" w:line="257" w:lineRule="auto"/>
        <w:tabs>
          <w:tab w:leader="none" w:pos="97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 ’s separation from service, then, to the extent required under Section 409A, any Shares that would otherwise be distributed (along with the cash value of all dividend equivalents that would be payable) upon the Participant ’s separation from service, shall instead be delivered (and, in the case of the dividend equivalents, paid) on the earlier of (x) the first business day of the seventh month following the date of the Participant ’s separation from service or (y) the Participant ’s death.</w:t>
      </w:r>
    </w:p>
    <w:p>
      <w:pPr>
        <w:spacing w:after="0" w:line="47" w:lineRule="exact"/>
        <w:rPr>
          <w:rFonts w:ascii="Arial" w:cs="Arial" w:eastAsia="Arial" w:hAnsi="Arial"/>
          <w:sz w:val="18"/>
          <w:szCs w:val="18"/>
          <w:color w:val="auto"/>
        </w:rPr>
      </w:pPr>
    </w:p>
    <w:p>
      <w:pPr>
        <w:jc w:val="both"/>
        <w:ind w:left="980" w:hanging="324"/>
        <w:spacing w:after="0" w:line="257" w:lineRule="auto"/>
        <w:tabs>
          <w:tab w:leader="none" w:pos="977"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RSUs will vest at the time of the Change in Control, but distribution of any RSUs (or related dividend equivalents) that constitute deferred compensation for the purposes of Section 409A will not be accelerated (</w:t>
      </w:r>
      <w:r>
        <w:rPr>
          <w:rFonts w:ascii="Arial" w:cs="Arial" w:eastAsia="Arial" w:hAnsi="Arial"/>
          <w:sz w:val="18"/>
          <w:szCs w:val="18"/>
          <w:i w:val="1"/>
          <w:iCs w:val="1"/>
          <w:color w:val="auto"/>
        </w:rPr>
        <w:t>i.e</w:t>
      </w:r>
      <w:r>
        <w:rPr>
          <w:rFonts w:ascii="Arial" w:cs="Arial" w:eastAsia="Arial" w:hAnsi="Arial"/>
          <w:sz w:val="18"/>
          <w:szCs w:val="18"/>
          <w:color w:val="auto"/>
        </w:rPr>
        <w:t>., distribution will occur when it would have occurred absent the Change in Control).</w:t>
      </w:r>
    </w:p>
    <w:p>
      <w:pPr>
        <w:spacing w:after="0" w:line="47" w:lineRule="exact"/>
        <w:rPr>
          <w:rFonts w:ascii="Arial" w:cs="Arial" w:eastAsia="Arial" w:hAnsi="Arial"/>
          <w:sz w:val="18"/>
          <w:szCs w:val="18"/>
          <w:color w:val="auto"/>
        </w:rPr>
      </w:pPr>
    </w:p>
    <w:p>
      <w:pPr>
        <w:jc w:val="both"/>
        <w:ind w:left="660" w:right="80" w:hanging="328"/>
        <w:spacing w:after="0" w:line="268"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35" w:lineRule="exact"/>
        <w:rPr>
          <w:rFonts w:ascii="Arial" w:cs="Arial" w:eastAsia="Arial" w:hAnsi="Arial"/>
          <w:sz w:val="18"/>
          <w:szCs w:val="18"/>
          <w:color w:val="auto"/>
        </w:rPr>
      </w:pPr>
    </w:p>
    <w:p>
      <w:pPr>
        <w:jc w:val="both"/>
        <w:ind w:left="660" w:right="80" w:hanging="328"/>
        <w:spacing w:after="0" w:line="268"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ectPr>
          <w:pgSz w:w="11900" w:h="16838" w:orient="portrait"/>
          <w:cols w:equalWidth="0" w:num="1">
            <w:col w:w="11240"/>
          </w:cols>
          <w:pgMar w:left="320" w:top="1440" w:right="3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9000"/>
          </w:cols>
          <w:pgMar w:left="320" w:top="1440" w:right="3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0" w:lineRule="exact"/>
        <w:rPr>
          <w:sz w:val="20"/>
          <w:szCs w:val="20"/>
          <w:color w:val="auto"/>
        </w:rPr>
      </w:pPr>
    </w:p>
    <w:p>
      <w:pPr>
        <w:sectPr>
          <w:pgSz w:w="11900" w:h="16838" w:orient="portrait"/>
          <w:cols w:equalWidth="0" w:num="2">
            <w:col w:w="2980" w:space="720"/>
            <w:col w:w="754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Matthew Pine, President and CEO</w:t>
      </w:r>
    </w:p>
    <w:p>
      <w:pPr>
        <w:spacing w:after="0" w:line="211" w:lineRule="exact"/>
        <w:rPr>
          <w:sz w:val="20"/>
          <w:szCs w:val="20"/>
          <w:color w:val="auto"/>
        </w:rPr>
      </w:pPr>
    </w:p>
    <w:p>
      <w:pPr>
        <w:sectPr>
          <w:pgSz w:w="11900" w:h="16838" w:orient="portrait"/>
          <w:cols w:equalWidth="0" w:num="2">
            <w:col w:w="1580" w:space="720"/>
            <w:col w:w="8940"/>
          </w:cols>
          <w:pgMar w:left="320" w:top="1440"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Dated: ###GRANT_DATE###</w:t>
      </w:r>
    </w:p>
    <w:p>
      <w:pPr>
        <w:sectPr>
          <w:pgSz w:w="11900" w:h="16838" w:orient="portrait"/>
          <w:cols w:equalWidth="0" w:num="2">
            <w:col w:w="2560" w:space="720"/>
            <w:col w:w="7960"/>
          </w:cols>
          <w:pgMar w:left="320" w:top="1440" w:right="339" w:bottom="1440" w:gutter="0" w:footer="0" w:header="0"/>
          <w:type w:val="continuous"/>
        </w:sectPr>
      </w:pPr>
    </w:p>
    <w:bookmarkStart w:id="81" w:name="page82"/>
    <w:bookmarkEnd w:id="81"/>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Covenant</w:t>
      </w:r>
    </w:p>
    <w:p>
      <w:pPr>
        <w:spacing w:after="0" w:line="207"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left="980" w:hanging="324"/>
        <w:spacing w:after="0" w:line="238" w:lineRule="auto"/>
        <w:tabs>
          <w:tab w:leader="none" w:pos="978"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Products</w:t>
      </w:r>
      <w:r>
        <w:rPr>
          <w:rFonts w:ascii="Arial" w:cs="Arial" w:eastAsia="Arial" w:hAnsi="Arial"/>
          <w:sz w:val="18"/>
          <w:szCs w:val="18"/>
          <w:color w:val="auto"/>
        </w:rPr>
        <w:t>” means products or services sold by the Company and/or its Affiliates</w:t>
      </w:r>
      <w:r>
        <w:rPr>
          <w:rFonts w:ascii="Arial" w:cs="Arial" w:eastAsia="Arial" w:hAnsi="Arial"/>
          <w:sz w:val="23"/>
          <w:szCs w:val="23"/>
          <w:color w:val="auto"/>
          <w:vertAlign w:val="superscript"/>
        </w:rPr>
        <w:t>1</w:t>
      </w:r>
      <w:r>
        <w:rPr>
          <w:rFonts w:ascii="Arial" w:cs="Arial" w:eastAsia="Arial" w:hAnsi="Arial"/>
          <w:sz w:val="18"/>
          <w:szCs w:val="18"/>
          <w:color w:val="auto"/>
        </w:rPr>
        <w:t>, or any prospective product or service the Company and/or its Affiliates took steps to develop, and for which the Participant had any responsibility during the 24 months preceding the termination of the Participant’s employment;</w:t>
      </w:r>
    </w:p>
    <w:p>
      <w:pPr>
        <w:spacing w:after="0" w:line="193" w:lineRule="exact"/>
        <w:rPr>
          <w:rFonts w:ascii="Arial" w:cs="Arial" w:eastAsia="Arial" w:hAnsi="Arial"/>
          <w:sz w:val="18"/>
          <w:szCs w:val="18"/>
          <w:color w:val="auto"/>
        </w:rPr>
      </w:pPr>
    </w:p>
    <w:p>
      <w:pPr>
        <w:ind w:left="980" w:hanging="324"/>
        <w:spacing w:after="0" w:line="287" w:lineRule="auto"/>
        <w:tabs>
          <w:tab w:leader="none" w:pos="977"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Territory</w:t>
      </w:r>
      <w:r>
        <w:rPr>
          <w:rFonts w:ascii="Arial" w:cs="Arial" w:eastAsia="Arial" w:hAnsi="Arial"/>
          <w:sz w:val="18"/>
          <w:szCs w:val="18"/>
          <w:color w:val="auto"/>
        </w:rPr>
        <w:t>” means the geographic territory over which the Participant had responsibility during the 24 months preceding the termination of the Participant’s employment.</w:t>
      </w:r>
    </w:p>
    <w:p>
      <w:pPr>
        <w:spacing w:after="0" w:line="152"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During the Participant’s employment and for 12 months after termination of the Participant’s employment, the Participant will not directly or indirectly, on behalf of the Participant or in conjunction with any other person or entity:</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own, invest in, or provide financing to any business that sells Competing Products in the Restricted Territory;</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77" w:val="left"/>
        </w:tabs>
        <w:numPr>
          <w:ilvl w:val="1"/>
          <w:numId w:val="51"/>
        </w:numPr>
        <w:rPr>
          <w:rFonts w:ascii="Arial" w:cs="Arial" w:eastAsia="Arial" w:hAnsi="Arial"/>
          <w:sz w:val="18"/>
          <w:szCs w:val="18"/>
          <w:color w:val="auto"/>
        </w:rPr>
      </w:pPr>
      <w:r>
        <w:rPr>
          <w:rFonts w:ascii="Arial" w:cs="Arial" w:eastAsia="Arial" w:hAnsi="Arial"/>
          <w:sz w:val="18"/>
          <w:szCs w:val="18"/>
          <w:color w:val="auto"/>
        </w:rPr>
        <w:t>work in the Restricted Territory for any person or entity that sells Competing Products, in any role: (1) that is similar to any position the Participant held with the Company and its Affiliates during the 24 months preceding the termination of the Participant’s employment, (2) that is executive, leadership, managerial, or strategic in nature, or (3) that may cause the Participant to inevitably rely upon or disclose the Company’s and/or its Affiliates’ confidential or proprietary information or trade secrets.</w:t>
      </w:r>
    </w:p>
    <w:p>
      <w:pPr>
        <w:spacing w:after="0" w:line="179" w:lineRule="exact"/>
        <w:rPr>
          <w:rFonts w:ascii="Arial" w:cs="Arial" w:eastAsia="Arial" w:hAnsi="Arial"/>
          <w:sz w:val="18"/>
          <w:szCs w:val="18"/>
          <w:color w:val="auto"/>
        </w:rPr>
      </w:pPr>
    </w:p>
    <w:p>
      <w:pPr>
        <w:ind w:left="340" w:hanging="332"/>
        <w:spacing w:after="0" w:line="287"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Jurisdiction-and Other Specific Requirements</w:t>
      </w:r>
      <w:r>
        <w:rPr>
          <w:rFonts w:ascii="Arial" w:cs="Arial" w:eastAsia="Arial" w:hAnsi="Arial"/>
          <w:sz w:val="18"/>
          <w:szCs w:val="18"/>
          <w:color w:val="auto"/>
        </w:rPr>
        <w:t>. A Participant residing in a jurisdiction identified on Exhibit 1, will be subject to the jurisdiction-specific and other applicable requirements set forth on Exhibit 1.</w:t>
      </w:r>
    </w:p>
    <w:p>
      <w:pPr>
        <w:spacing w:after="0" w:line="152" w:lineRule="exact"/>
        <w:rPr>
          <w:rFonts w:ascii="Arial" w:cs="Arial" w:eastAsia="Arial" w:hAnsi="Arial"/>
          <w:sz w:val="18"/>
          <w:szCs w:val="18"/>
          <w:color w:val="auto"/>
        </w:rPr>
      </w:pPr>
    </w:p>
    <w:p>
      <w:pPr>
        <w:jc w:val="both"/>
        <w:ind w:left="340" w:hanging="332"/>
        <w:spacing w:after="0" w:line="259"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Subsequent Employment Protocol</w:t>
      </w:r>
      <w:r>
        <w:rPr>
          <w:rFonts w:ascii="Arial" w:cs="Arial" w:eastAsia="Arial" w:hAnsi="Arial"/>
          <w:sz w:val="18"/>
          <w:szCs w:val="18"/>
          <w:color w:val="auto"/>
        </w:rPr>
        <w:t>. During the Participant’s employment and for 12 months after termination of the Participant’s employment, prior to accepting employment with any person or entity, the Participant will provide the Participant’s prospective employer with a copy of this Agreement, which includes the Participant Obligations. Additionally, at least 7 days before accepting subsequent employment, the Participant will notify the Company of the Participant’s prospective employer’s name, address and telephone number, and a description of the job duties and geographic location for which the Participant is being considered.</w:t>
      </w:r>
    </w:p>
    <w:p>
      <w:pPr>
        <w:spacing w:after="0" w:line="179" w:lineRule="exact"/>
        <w:rPr>
          <w:rFonts w:ascii="Arial" w:cs="Arial" w:eastAsia="Arial" w:hAnsi="Arial"/>
          <w:sz w:val="18"/>
          <w:szCs w:val="18"/>
          <w:color w:val="auto"/>
        </w:rPr>
      </w:pPr>
    </w:p>
    <w:p>
      <w:pPr>
        <w:jc w:val="both"/>
        <w:ind w:left="340" w:hanging="332"/>
        <w:spacing w:after="0" w:line="259"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By executing this Agreement, which includes the Participant Obligations set forth above, the Participant certifies that the Participant: (a) has not and will not use or disclose to the Company or its Affiliates any confidential information and/or trade secrets belonging to others, including the Participant’s prior employers; (b) will not use any prior inventions made by the Participant and which the Company and its Affiliates is not legally entitled to learn of or use; and (c) is not subject to any prior agreements that would prevent the Participant from fully performing the Participant’s duties for the Company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645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This term carries the same meaning as how it is defined in Xylem’s Omnibus Incentive Plan.</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COLORADO</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Paragraph 2(g)(v) does not apply unless the employee who, when the covenant not to compete is signed and when it is enforced, earns at least $127,091 as of 2025 (adjusted on a yearly basis). Paragraph 2(g)(iv) does not apply unless the employee who, when the covenant not to solicit is entered and when it is enforced, earns at least $76,254 as of 2025 (adjusted on a yearly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DISTRICT OF COLUMBIA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Paragraph 2(g)(v) does not apply to employees earning less than $154,200 in 2024. This amount may increase each calendar year according to the Consumer Price Index for All Urban Consumers in the Washington Metropolitan Statistical Area.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employees residing in Georgia, Paragraph 2(g)(iv) shall apply in the United States, which the employee agrees is a reasonable geographic territory in which the Company and/or an Affiliate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Paragraph 2(g)(v) does not apply unless the employee’s annual compensation exceeds $75,000 per year (which statutorily increases every five years). Paragraph 2(g)(iv) does not apply unless the employee’s annual compensation exceeds $45,000 per year (which statutorily increases every 5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LOUISIANA</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For employees who perform work in Louisiana, Paragraphs 2(g)(iv) and 2(g)(v)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employees residing in Maine when this Agreement is signed, Paragraphs 2(g)(iv) and 2(g)(v) do not take effect until 6 months after the Agreement is signed, or 12 months after the employee’s start of employment with the Company and/or an Affiliate for 12 months, whichever is later.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Paragraph 2(g)(v) does not apply if the employee earns equal to or less than (a) $22.50 per hour; or (b) $46,800 annually, in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MASSACHUSETTS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employees working in Massachusetts, Paragraph 2(o) of the Agreement will not apply. Further, if the Company chooses to enforce the non-competition provisions set forth in Paragraph 2(g)(v) of the Agreement, then the Company will continue to pay the employee at least 50% of the employee’s highest base salary that the employee earned at the Company or an Affiliate (as applicable) in the 2 years</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87" w:lineRule="auto"/>
        <w:rPr>
          <w:sz w:val="20"/>
          <w:szCs w:val="20"/>
          <w:color w:val="auto"/>
        </w:rPr>
      </w:pPr>
      <w:r>
        <w:rPr>
          <w:rFonts w:ascii="Arial" w:cs="Arial" w:eastAsia="Arial" w:hAnsi="Arial"/>
          <w:sz w:val="18"/>
          <w:szCs w:val="18"/>
          <w:color w:val="auto"/>
        </w:rPr>
        <w:t>before the end of employee’s employment. The Company will pay this amount for 12 months following the employee’s termination. The restriction set forth in Paragraph 2(g)(v) of the Agreement will not apply if the employee is involuntarily terminated without cause.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Paragraph 2(g)(v) does not apply if the employee is paid solely on an hourly wage basis, exclusive of any tips or gratuities.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HAMPSHIRE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Paragraph 2(g)(v) does not apply if the employee earns an hourly rate less than or equal to 200 percent of the federal minimum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wage.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 DAKOTA</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employees residing in North Dakota at the time of execution of this Agreement (including the Participant Obligations incorporated herein), Paragraphs 2(g)(iv) and 2(g)(v) will not apply.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employees residing in Oklahoma at the time of execution of this Agreement (including the Participant Obligations incorporated herein), Paragraph 2(g)(v) will not apply and Paragraph 2(g)(iv) will only apply to the extent that Paragraph prohibits the employee from directly soliciting the sale of goods, services or a combination of goods and services from the established customers of the Company and/or its Affiliates.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OREGON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Oregon when they sign this Agreement (including the Participant Obligations incorporated herein), the Company shall provide a copy of a signed, written copy of the Agreement (including the Participant Obligations incorporated herein) within 30 days after the date of termination of the employee’s employment with the Company or its Affiliate, as applicable. Paragraph 2(g)(v) shall only apply if the total amount of the employee's annual compensation, at the time of the employee's termination, exceeds $116,427 in 2025, adjusted annually for inflation pursuant to the Consumer Price Index for All Urban Consumers, West Region (All Items).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VIRGINIA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Paragraph 2(g)(v) does not apply if an employee’s average weekly earnings are less than the average weekly wage of the Commonwealth as determined pursuant to subsection B of § 65.2-500.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Washington, Paragraph 2(o) will not apply. Further, if an employee is terminated as the result of a layoff, and the Company chooses to enforce the non-competition provisions set forth in Paragraph 2(g)(v) of the Agreement, then the Company or its Affiliate, as applicable, will continue to pay the Employee’s base salary for twelve months following the layoff , less any earnings the employee has received from the employee’s then-current employer. Paragraph 2(g)(v) shall only apply if the employee’s earnings, when annualized, exceed $123,394 per year in 2025, to be adjusted for inflation.</w:t>
      </w:r>
    </w:p>
    <w:p>
      <w:pPr>
        <w:sectPr>
          <w:pgSz w:w="11900" w:h="16838" w:orient="portrait"/>
          <w:cols w:equalWidth="0" w:num="1">
            <w:col w:w="11240"/>
          </w:cols>
          <w:pgMar w:left="320" w:top="141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Pr>
          <w:p>
            <w:pPr>
              <w:spacing w:after="0"/>
              <w:rPr>
                <w:sz w:val="20"/>
                <w:szCs w:val="20"/>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4100" w:type="dxa"/>
            <w:vAlign w:val="bottom"/>
          </w:tcPr>
          <w:p>
            <w:pPr>
              <w:ind w:left="20"/>
              <w:spacing w:after="0" w:line="177" w:lineRule="exact"/>
              <w:rPr>
                <w:sz w:val="20"/>
                <w:szCs w:val="20"/>
                <w:color w:val="auto"/>
              </w:rPr>
            </w:pPr>
            <w:r>
              <w:rPr>
                <w:rFonts w:ascii="Arial" w:cs="Arial" w:eastAsia="Arial" w:hAnsi="Arial"/>
                <w:sz w:val="18"/>
                <w:szCs w:val="18"/>
                <w:color w:val="auto"/>
              </w:rPr>
              <w:t>Matthew F. Pine</w:t>
            </w:r>
          </w:p>
        </w:tc>
        <w:tc>
          <w:tcPr>
            <w:tcW w:w="0" w:type="dxa"/>
            <w:vAlign w:val="bottom"/>
          </w:tcPr>
          <w:p>
            <w:pPr>
              <w:spacing w:after="0"/>
              <w:rPr>
                <w:sz w:val="1"/>
                <w:szCs w:val="1"/>
                <w:color w:val="auto"/>
              </w:rPr>
            </w:pPr>
          </w:p>
        </w:tc>
      </w:tr>
      <w:tr>
        <w:trPr>
          <w:trHeight w:val="239"/>
        </w:trPr>
        <w:tc>
          <w:tcPr>
            <w:tcW w:w="6620" w:type="dxa"/>
            <w:vAlign w:val="bottom"/>
            <w:vMerge w:val="restart"/>
          </w:tcPr>
          <w:p>
            <w:pPr>
              <w:spacing w:after="0"/>
              <w:rPr>
                <w:sz w:val="20"/>
                <w:szCs w:val="20"/>
                <w:color w:val="auto"/>
              </w:rPr>
            </w:pPr>
            <w:r>
              <w:rPr>
                <w:rFonts w:ascii="Arial" w:cs="Arial" w:eastAsia="Arial" w:hAnsi="Arial"/>
                <w:sz w:val="18"/>
                <w:szCs w:val="18"/>
                <w:color w:val="auto"/>
              </w:rPr>
              <w:t>Date: October 28, 2025</w:t>
            </w:r>
          </w:p>
        </w:tc>
        <w:tc>
          <w:tcPr>
            <w:tcW w:w="4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620" w:type="dxa"/>
            <w:vAlign w:val="bottom"/>
            <w:vMerge w:val="continue"/>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tcPr>
          <w:p>
            <w:pPr>
              <w:spacing w:after="0"/>
              <w:rPr>
                <w:sz w:val="20"/>
                <w:szCs w:val="20"/>
                <w:color w:val="auto"/>
              </w:rPr>
            </w:pP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K. Grogan</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5120" w:type="dxa"/>
            <w:vAlign w:val="bottom"/>
          </w:tcPr>
          <w:p>
            <w:pPr>
              <w:ind w:left="20"/>
              <w:spacing w:after="0" w:line="177" w:lineRule="exact"/>
              <w:rPr>
                <w:sz w:val="20"/>
                <w:szCs w:val="20"/>
                <w:color w:val="auto"/>
              </w:rPr>
            </w:pPr>
            <w:r>
              <w:rPr>
                <w:rFonts w:ascii="Arial" w:cs="Arial" w:eastAsia="Arial" w:hAnsi="Arial"/>
                <w:sz w:val="18"/>
                <w:szCs w:val="18"/>
                <w:color w:val="auto"/>
              </w:rPr>
              <w:t>William K. Grogan</w:t>
            </w:r>
          </w:p>
        </w:tc>
        <w:tc>
          <w:tcPr>
            <w:tcW w:w="0" w:type="dxa"/>
            <w:vAlign w:val="bottom"/>
          </w:tcPr>
          <w:p>
            <w:pPr>
              <w:spacing w:after="0"/>
              <w:rPr>
                <w:sz w:val="1"/>
                <w:szCs w:val="1"/>
                <w:color w:val="auto"/>
              </w:rPr>
            </w:pPr>
          </w:p>
        </w:tc>
      </w:tr>
      <w:tr>
        <w:trPr>
          <w:trHeight w:val="239"/>
        </w:trPr>
        <w:tc>
          <w:tcPr>
            <w:tcW w:w="5500" w:type="dxa"/>
            <w:vAlign w:val="bottom"/>
            <w:vMerge w:val="restart"/>
          </w:tcPr>
          <w:p>
            <w:pPr>
              <w:spacing w:after="0"/>
              <w:rPr>
                <w:sz w:val="20"/>
                <w:szCs w:val="20"/>
                <w:color w:val="auto"/>
              </w:rPr>
            </w:pPr>
            <w:r>
              <w:rPr>
                <w:rFonts w:ascii="Arial" w:cs="Arial" w:eastAsia="Arial" w:hAnsi="Arial"/>
                <w:sz w:val="18"/>
                <w:szCs w:val="18"/>
                <w:color w:val="auto"/>
              </w:rPr>
              <w:t>Date: October 28, 2025</w:t>
            </w:r>
          </w:p>
        </w:tc>
        <w:tc>
          <w:tcPr>
            <w:tcW w:w="51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0" w:type="dxa"/>
            <w:vAlign w:val="bottom"/>
          </w:tcPr>
          <w:p>
            <w:pPr>
              <w:spacing w:after="0"/>
              <w:rPr>
                <w:sz w:val="1"/>
                <w:szCs w:val="1"/>
                <w:color w:val="auto"/>
              </w:rPr>
            </w:pPr>
          </w:p>
        </w:tc>
      </w:tr>
      <w:tr>
        <w:trPr>
          <w:trHeight w:val="108"/>
        </w:trPr>
        <w:tc>
          <w:tcPr>
            <w:tcW w:w="550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September 30, 2025 as filed with the Securities and Exchange Commission on the date hereof (the “Report”), each of the undersigned officers of the Company, certifies, pursuant to 18 U.S.C. 1350, as adopted pursuant to 906 of the Sarbanes-Oxley Act of 2002, to his knowledge, that:</w:t>
      </w:r>
    </w:p>
    <w:p>
      <w:pPr>
        <w:spacing w:after="0" w:line="63"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17780</wp:posOffset>
            </wp:positionV>
            <wp:extent cx="3265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Matthew F. Pine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October 28, 2025</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17780</wp:posOffset>
            </wp:positionV>
            <wp:extent cx="3265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October 28, 2025</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lvl w:ilvl="1">
      <w:lvlJc w:val="left"/>
      <w:lvlText w:val="(%2)"/>
      <w:numFmt w:val="lowerLetter"/>
      <w:start w:val="1"/>
    </w:lvl>
  </w:abstractNum>
  <w:abstractNum w:abstractNumId="31">
    <w:nsid w:val="1D4ED43B"/>
    <w:multiLevelType w:val="hybridMultilevel"/>
    <w:lvl w:ilvl="0">
      <w:lvlJc w:val="left"/>
      <w:lvlText w:val="(%1)"/>
      <w:numFmt w:val="lowerLetter"/>
      <w:start w:val="2"/>
    </w:lvl>
  </w:abstractNum>
  <w:abstractNum w:abstractNumId="32">
    <w:nsid w:val="725A06FB"/>
    <w:multiLevelType w:val="hybridMultilevel"/>
    <w:lvl w:ilvl="0">
      <w:lvlJc w:val="left"/>
      <w:lvlText w:val="(%1)"/>
      <w:numFmt w:val="lowerLetter"/>
      <w:start w:val="4"/>
    </w:lvl>
  </w:abstractNum>
  <w:abstractNum w:abstractNumId="33">
    <w:nsid w:val="2CD89A32"/>
    <w:multiLevelType w:val="hybridMultilevel"/>
    <w:lvl w:ilvl="0">
      <w:lvlJc w:val="left"/>
      <w:lvlText w:val="(%1)"/>
      <w:numFmt w:val="lowerLetter"/>
      <w:start w:val="5"/>
    </w:lvl>
    <w:lvl w:ilvl="1">
      <w:lvlJc w:val="left"/>
      <w:lvlText w:val="(%2)"/>
      <w:numFmt w:val="lowerRoman"/>
      <w:start w:val="1"/>
    </w:lvl>
  </w:abstractNum>
  <w:abstractNum w:abstractNumId="34">
    <w:nsid w:val="57E4CCAF"/>
    <w:multiLevelType w:val="hybridMultilevel"/>
    <w:lvl w:ilvl="0">
      <w:lvlJc w:val="left"/>
      <w:lvlText w:val="(%1)"/>
      <w:numFmt w:val="lowerLetter"/>
      <w:start w:val="6"/>
    </w:lvl>
  </w:abstractNum>
  <w:abstractNum w:abstractNumId="35">
    <w:nsid w:val="7A6D8D3C"/>
    <w:multiLevelType w:val="hybridMultilevel"/>
    <w:lvl w:ilvl="0">
      <w:lvlJc w:val="left"/>
      <w:lvlText w:val="(%1)"/>
      <w:numFmt w:val="lowerRoman"/>
      <w:start w:val="1"/>
    </w:lvl>
  </w:abstractNum>
  <w:abstractNum w:abstractNumId="36">
    <w:nsid w:val="4B588F54"/>
    <w:multiLevelType w:val="hybridMultilevel"/>
    <w:lvl w:ilvl="0">
      <w:lvlJc w:val="left"/>
      <w:lvlText w:val="(%1)"/>
      <w:numFmt w:val="lowerLetter"/>
      <w:start w:val="8"/>
    </w:lvl>
  </w:abstractNum>
  <w:abstractNum w:abstractNumId="37">
    <w:nsid w:val="542289EC"/>
    <w:multiLevelType w:val="hybridMultilevel"/>
    <w:lvl w:ilvl="0">
      <w:lvlJc w:val="left"/>
      <w:lvlText w:val="(%1)"/>
      <w:numFmt w:val="lowerLetter"/>
      <w:start w:val="10"/>
    </w:lvl>
  </w:abstractNum>
  <w:abstractNum w:abstractNumId="38">
    <w:nsid w:val="6DE91B18"/>
    <w:multiLevelType w:val="hybridMultilevel"/>
    <w:lvl w:ilvl="0">
      <w:lvlJc w:val="left"/>
      <w:lvlText w:val="%1"/>
      <w:numFmt w:val="lowerLetter"/>
      <w:start w:val="1"/>
    </w:lvl>
    <w:lvl w:ilvl="1">
      <w:lvlJc w:val="left"/>
      <w:lvlText w:val="(%2)"/>
      <w:numFmt w:val="lowerRoman"/>
      <w:start w:val="1"/>
    </w:lvl>
  </w:abstractNum>
  <w:abstractNum w:abstractNumId="39">
    <w:nsid w:val="38437FDB"/>
    <w:multiLevelType w:val="hybridMultilevel"/>
    <w:lvl w:ilvl="0">
      <w:lvlJc w:val="left"/>
      <w:lvlText w:val="(%1)"/>
      <w:numFmt w:val="lowerLetter"/>
      <w:start w:val="15"/>
    </w:lvl>
    <w:lvl w:ilvl="1">
      <w:lvlJc w:val="left"/>
      <w:lvlText w:val="%2"/>
      <w:numFmt w:val="lowerRoman"/>
      <w:start w:val="1"/>
    </w:lvl>
  </w:abstractNum>
  <w:abstractNum w:abstractNumId="40">
    <w:nsid w:val="7644A45C"/>
    <w:multiLevelType w:val="hybridMultilevel"/>
    <w:lvl w:ilvl="0">
      <w:lvlJc w:val="left"/>
      <w:lvlText w:val="%1."/>
      <w:numFmt w:val="decimal"/>
      <w:start w:val="1"/>
    </w:lvl>
    <w:lvl w:ilvl="1">
      <w:lvlJc w:val="left"/>
      <w:lvlText w:val="(%2)"/>
      <w:numFmt w:val="lowerLetter"/>
      <w:start w:val="1"/>
    </w:lvl>
  </w:abstractNum>
  <w:abstractNum w:abstractNumId="41">
    <w:nsid w:val="32FFF902"/>
    <w:multiLevelType w:val="hybridMultilevel"/>
    <w:lvl w:ilvl="0">
      <w:lvlJc w:val="left"/>
      <w:lvlText w:val="(%1)"/>
      <w:numFmt w:val="lowerLetter"/>
      <w:start w:val="3"/>
    </w:lvl>
  </w:abstractNum>
  <w:abstractNum w:abstractNumId="42">
    <w:nsid w:val="684A481A"/>
    <w:multiLevelType w:val="hybridMultilevel"/>
    <w:lvl w:ilvl="0">
      <w:lvlJc w:val="left"/>
      <w:lvlText w:val="(%1)"/>
      <w:numFmt w:val="lowerLetter"/>
      <w:start w:val="4"/>
    </w:lvl>
  </w:abstractNum>
  <w:abstractNum w:abstractNumId="43">
    <w:nsid w:val="579478FE"/>
    <w:multiLevelType w:val="hybridMultilevel"/>
    <w:lvl w:ilvl="0">
      <w:lvlJc w:val="left"/>
      <w:lvlText w:val="(%1)"/>
      <w:numFmt w:val="lowerLetter"/>
      <w:start w:val="5"/>
    </w:lvl>
    <w:lvl w:ilvl="1">
      <w:lvlJc w:val="left"/>
      <w:lvlText w:val="(%2)"/>
      <w:numFmt w:val="lowerRoman"/>
      <w:start w:val="1"/>
    </w:lvl>
  </w:abstractNum>
  <w:abstractNum w:abstractNumId="44">
    <w:nsid w:val="749ABB43"/>
    <w:multiLevelType w:val="hybridMultilevel"/>
    <w:lvl w:ilvl="0">
      <w:lvlJc w:val="left"/>
      <w:lvlText w:val="(%1)"/>
      <w:numFmt w:val="lowerLetter"/>
      <w:start w:val="6"/>
    </w:lvl>
  </w:abstractNum>
  <w:abstractNum w:abstractNumId="45">
    <w:nsid w:val="3DC240FB"/>
    <w:multiLevelType w:val="hybridMultilevel"/>
    <w:lvl w:ilvl="0">
      <w:lvlJc w:val="left"/>
      <w:lvlText w:val="(%1)"/>
      <w:numFmt w:val="lowerRoman"/>
      <w:start w:val="1"/>
    </w:lvl>
  </w:abstractNum>
  <w:abstractNum w:abstractNumId="46">
    <w:nsid w:val="1BA026FA"/>
    <w:multiLevelType w:val="hybridMultilevel"/>
    <w:lvl w:ilvl="0">
      <w:lvlJc w:val="left"/>
      <w:lvlText w:val="(%1)"/>
      <w:numFmt w:val="lowerLetter"/>
      <w:start w:val="8"/>
    </w:lvl>
  </w:abstractNum>
  <w:abstractNum w:abstractNumId="47">
    <w:nsid w:val="79A1DEAA"/>
    <w:multiLevelType w:val="hybridMultilevel"/>
    <w:lvl w:ilvl="0">
      <w:lvlJc w:val="left"/>
      <w:lvlText w:val="(%1)"/>
      <w:numFmt w:val="lowerLetter"/>
      <w:start w:val="10"/>
    </w:lvl>
  </w:abstractNum>
  <w:abstractNum w:abstractNumId="48">
    <w:nsid w:val="75C6C33A"/>
    <w:multiLevelType w:val="hybridMultilevel"/>
    <w:lvl w:ilvl="0">
      <w:lvlJc w:val="left"/>
      <w:lvlText w:val="%1"/>
      <w:numFmt w:val="lowerLetter"/>
      <w:start w:val="1"/>
    </w:lvl>
    <w:lvl w:ilvl="1">
      <w:lvlJc w:val="left"/>
      <w:lvlText w:val="(%2)"/>
      <w:numFmt w:val="lowerRoman"/>
      <w:start w:val="1"/>
    </w:lvl>
  </w:abstractNum>
  <w:abstractNum w:abstractNumId="49">
    <w:nsid w:val="12E685FB"/>
    <w:multiLevelType w:val="hybridMultilevel"/>
    <w:lvl w:ilvl="0">
      <w:lvlJc w:val="left"/>
      <w:lvlText w:val="(%1)"/>
      <w:numFmt w:val="lowerLetter"/>
      <w:start w:val="15"/>
    </w:lvl>
    <w:lvl w:ilvl="1">
      <w:lvlJc w:val="left"/>
      <w:lvlText w:val="%2"/>
      <w:numFmt w:val="lowerRoman"/>
      <w:start w:val="1"/>
    </w:lvl>
  </w:abstractNum>
  <w:abstractNum w:abstractNumId="50">
    <w:nsid w:val="70C6A529"/>
    <w:multiLevelType w:val="hybridMultilevel"/>
    <w:lvl w:ilvl="0">
      <w:lvlJc w:val="left"/>
      <w:lvlText w:val="%1."/>
      <w:numFmt w:val="decimal"/>
      <w:start w:val="1"/>
    </w:lvl>
    <w:lvl w:ilvl="1">
      <w:lvlJc w:val="left"/>
      <w:lvlText w:val="(%2)"/>
      <w:numFmt w:val="lowerRoman"/>
      <w:start w:val="1"/>
    </w:lvl>
  </w:abstractNum>
  <w:abstractNum w:abstractNumId="51">
    <w:nsid w:val="520EEDD1"/>
    <w:multiLevelType w:val="hybridMultilevel"/>
    <w:lvl w:ilvl="0">
      <w:lvlJc w:val="left"/>
      <w:lvlText w:val="1"/>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9" Type="http://schemas.openxmlformats.org/officeDocument/2006/relationships/hyperlink" Target="https://www.sec.gov/Archives/edgar/data/1524472/000152447217000027/a8-k31xcharter.htm" TargetMode="External"/><Relationship Id="rId80" Type="http://schemas.openxmlformats.org/officeDocument/2006/relationships/hyperlink" Target="https://www.sec.gov/Archives/edgar/data/1524472/000152447222000055/xyl1110202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2025-10-28T09:57:54Z</dcterms:created>
  <dcterms:modified xsi:type="dcterms:W3CDTF">2025-10-28T09:57:54Z</dcterms:modified>
</cp:coreProperties>
</file>