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7" w:lineRule="exact"/>
        <w:rPr>
          <w:sz w:val="24"/>
          <w:szCs w:val="24"/>
          <w:color w:val="auto"/>
        </w:rPr>
      </w:pPr>
    </w:p>
    <w:p>
      <w:pPr>
        <w:ind w:left="3660" w:right="780" w:hanging="3634"/>
        <w:spacing w:after="0" w:line="428" w:lineRule="auto"/>
        <w:tabs>
          <w:tab w:leader="none" w:pos="1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720" w:type="dxa"/>
            <w:vAlign w:val="bottom"/>
            <w:gridSpan w:val="4"/>
          </w:tcPr>
          <w:p>
            <w:pPr>
              <w:ind w:left="720"/>
              <w:spacing w:after="0"/>
              <w:rPr>
                <w:sz w:val="20"/>
                <w:szCs w:val="20"/>
                <w:color w:val="auto"/>
              </w:rPr>
            </w:pPr>
            <w:r>
              <w:rPr>
                <w:rFonts w:ascii="Arial" w:cs="Arial" w:eastAsia="Arial" w:hAnsi="Arial"/>
                <w:sz w:val="18"/>
                <w:szCs w:val="18"/>
                <w:b w:val="1"/>
                <w:bCs w:val="1"/>
                <w:color w:val="auto"/>
              </w:rPr>
              <w:t>For the transition period from</w:t>
            </w:r>
          </w:p>
        </w:tc>
        <w:tc>
          <w:tcPr>
            <w:tcW w:w="4340" w:type="dxa"/>
            <w:vAlign w:val="bottom"/>
            <w:gridSpan w:val="2"/>
          </w:tcPr>
          <w:p>
            <w:pPr>
              <w:ind w:left="180"/>
              <w:spacing w:after="0"/>
              <w:rPr>
                <w:sz w:val="20"/>
                <w:szCs w:val="20"/>
                <w:color w:val="auto"/>
              </w:rPr>
            </w:pPr>
            <w:r>
              <w:rPr>
                <w:rFonts w:ascii="Arial" w:cs="Arial" w:eastAsia="Arial" w:hAnsi="Arial"/>
                <w:sz w:val="18"/>
                <w:szCs w:val="18"/>
                <w:b w:val="1"/>
                <w:bCs w:val="1"/>
                <w:color w:val="auto"/>
              </w:rPr>
              <w:t>to</w:t>
            </w:r>
          </w:p>
        </w:tc>
      </w:tr>
      <w:tr>
        <w:trPr>
          <w:trHeight w:val="391"/>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8"/>
                <w:szCs w:val="18"/>
                <w:b w:val="1"/>
                <w:bCs w:val="1"/>
                <w:color w:val="auto"/>
              </w:rPr>
              <w:t>Commission file number: 1-35229</w:t>
            </w:r>
          </w:p>
        </w:tc>
      </w:tr>
      <w:tr>
        <w:trPr>
          <w:trHeight w:val="521"/>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32"/>
                <w:szCs w:val="32"/>
                <w:b w:val="1"/>
                <w:bCs w:val="1"/>
                <w:color w:val="auto"/>
              </w:rPr>
              <w:t>Xylem Inc.</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35"/>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60" w:type="dxa"/>
            <w:vAlign w:val="bottom"/>
            <w:gridSpan w:val="6"/>
          </w:tcPr>
          <w:p>
            <w:pPr>
              <w:jc w:val="center"/>
              <w:ind w:right="2515"/>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r>
      <w:tr>
        <w:trPr>
          <w:trHeight w:val="459"/>
        </w:trPr>
        <w:tc>
          <w:tcPr>
            <w:tcW w:w="1360" w:type="dxa"/>
            <w:vAlign w:val="bottom"/>
          </w:tcPr>
          <w:p>
            <w:pPr>
              <w:spacing w:after="0"/>
              <w:rPr>
                <w:sz w:val="24"/>
                <w:szCs w:val="24"/>
                <w:color w:val="auto"/>
              </w:rPr>
            </w:pPr>
          </w:p>
        </w:tc>
        <w:tc>
          <w:tcPr>
            <w:tcW w:w="2520" w:type="dxa"/>
            <w:vAlign w:val="bottom"/>
            <w:gridSpan w:val="2"/>
          </w:tcPr>
          <w:p>
            <w:pPr>
              <w:jc w:val="center"/>
              <w:ind w:left="76"/>
              <w:spacing w:after="0"/>
              <w:rPr>
                <w:sz w:val="20"/>
                <w:szCs w:val="20"/>
                <w:color w:val="auto"/>
              </w:rPr>
            </w:pPr>
            <w:r>
              <w:rPr>
                <w:rFonts w:ascii="Arial" w:cs="Arial" w:eastAsia="Arial" w:hAnsi="Arial"/>
                <w:sz w:val="18"/>
                <w:szCs w:val="18"/>
                <w:b w:val="1"/>
                <w:bCs w:val="1"/>
                <w:color w:val="auto"/>
              </w:rPr>
              <w:t>Indiana</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2"/>
          </w:tcPr>
          <w:p>
            <w:pPr>
              <w:jc w:val="right"/>
              <w:ind w:right="1835"/>
              <w:spacing w:after="0"/>
              <w:rPr>
                <w:sz w:val="20"/>
                <w:szCs w:val="20"/>
                <w:color w:val="auto"/>
              </w:rPr>
            </w:pPr>
            <w:r>
              <w:rPr>
                <w:rFonts w:ascii="Arial" w:cs="Arial" w:eastAsia="Arial" w:hAnsi="Arial"/>
                <w:sz w:val="18"/>
                <w:szCs w:val="18"/>
                <w:b w:val="1"/>
                <w:bCs w:val="1"/>
                <w:color w:val="auto"/>
              </w:rPr>
              <w:t>45-2080495</w:t>
            </w:r>
          </w:p>
        </w:tc>
      </w:tr>
      <w:tr>
        <w:trPr>
          <w:trHeight w:val="176"/>
        </w:trPr>
        <w:tc>
          <w:tcPr>
            <w:tcW w:w="6620" w:type="dxa"/>
            <w:vAlign w:val="bottom"/>
            <w:gridSpan w:val="6"/>
          </w:tcPr>
          <w:p>
            <w:pPr>
              <w:jc w:val="center"/>
              <w:ind w:right="1220"/>
              <w:spacing w:after="0"/>
              <w:rPr>
                <w:sz w:val="20"/>
                <w:szCs w:val="20"/>
                <w:color w:val="auto"/>
              </w:rPr>
            </w:pPr>
            <w:r>
              <w:rPr>
                <w:rFonts w:ascii="Arial" w:cs="Arial" w:eastAsia="Arial" w:hAnsi="Arial"/>
                <w:sz w:val="14"/>
                <w:szCs w:val="14"/>
                <w:i w:val="1"/>
                <w:iCs w:val="1"/>
                <w:color w:val="auto"/>
              </w:rPr>
              <w:t>(State or other jurisdiction of incorporation or</w:t>
            </w:r>
          </w:p>
        </w:tc>
        <w:tc>
          <w:tcPr>
            <w:tcW w:w="600" w:type="dxa"/>
            <w:vAlign w:val="bottom"/>
          </w:tcPr>
          <w:p>
            <w:pPr>
              <w:spacing w:after="0"/>
              <w:rPr>
                <w:sz w:val="15"/>
                <w:szCs w:val="15"/>
                <w:color w:val="auto"/>
              </w:rPr>
            </w:pPr>
          </w:p>
        </w:tc>
        <w:tc>
          <w:tcPr>
            <w:tcW w:w="3740" w:type="dxa"/>
            <w:vAlign w:val="bottom"/>
          </w:tcPr>
          <w:p>
            <w:pPr>
              <w:jc w:val="center"/>
              <w:ind w:right="955"/>
              <w:spacing w:after="0"/>
              <w:rPr>
                <w:sz w:val="20"/>
                <w:szCs w:val="20"/>
                <w:color w:val="auto"/>
              </w:rPr>
            </w:pPr>
            <w:r>
              <w:rPr>
                <w:rFonts w:ascii="Arial" w:cs="Arial" w:eastAsia="Arial" w:hAnsi="Arial"/>
                <w:sz w:val="14"/>
                <w:szCs w:val="14"/>
                <w:i w:val="1"/>
                <w:iCs w:val="1"/>
                <w:color w:val="auto"/>
              </w:rPr>
              <w:t>(I.R.S. Employer Identification No.)</w:t>
            </w:r>
          </w:p>
        </w:tc>
      </w:tr>
      <w:tr>
        <w:trPr>
          <w:trHeight w:val="186"/>
        </w:trPr>
        <w:tc>
          <w:tcPr>
            <w:tcW w:w="1360" w:type="dxa"/>
            <w:vAlign w:val="bottom"/>
          </w:tcPr>
          <w:p>
            <w:pPr>
              <w:spacing w:after="0"/>
              <w:rPr>
                <w:sz w:val="16"/>
                <w:szCs w:val="16"/>
                <w:color w:val="auto"/>
              </w:rPr>
            </w:pPr>
          </w:p>
        </w:tc>
        <w:tc>
          <w:tcPr>
            <w:tcW w:w="2520" w:type="dxa"/>
            <w:vAlign w:val="bottom"/>
            <w:gridSpan w:val="2"/>
          </w:tcPr>
          <w:p>
            <w:pPr>
              <w:jc w:val="center"/>
              <w:ind w:left="76"/>
              <w:spacing w:after="0"/>
              <w:rPr>
                <w:sz w:val="20"/>
                <w:szCs w:val="20"/>
                <w:color w:val="auto"/>
              </w:rPr>
            </w:pPr>
            <w:r>
              <w:rPr>
                <w:rFonts w:ascii="Arial" w:cs="Arial" w:eastAsia="Arial" w:hAnsi="Arial"/>
                <w:sz w:val="14"/>
                <w:szCs w:val="14"/>
                <w:i w:val="1"/>
                <w:iCs w:val="1"/>
                <w:color w:val="auto"/>
              </w:rPr>
              <w:t>organization)</w:t>
            </w:r>
          </w:p>
        </w:tc>
        <w:tc>
          <w:tcPr>
            <w:tcW w:w="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45"/>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60" w:type="dxa"/>
            <w:vAlign w:val="bottom"/>
            <w:gridSpan w:val="6"/>
          </w:tcPr>
          <w:p>
            <w:pPr>
              <w:jc w:val="center"/>
              <w:ind w:right="2535"/>
              <w:spacing w:after="0"/>
              <w:rPr>
                <w:sz w:val="20"/>
                <w:szCs w:val="20"/>
                <w:color w:val="auto"/>
              </w:rPr>
            </w:pPr>
            <w:r>
              <w:rPr>
                <w:rFonts w:ascii="Arial" w:cs="Arial" w:eastAsia="Arial" w:hAnsi="Arial"/>
                <w:sz w:val="18"/>
                <w:szCs w:val="18"/>
                <w:b w:val="1"/>
                <w:bCs w:val="1"/>
                <w:color w:val="auto"/>
              </w:rPr>
              <w:t>1 International Drive, Rye Brook, NY 10573</w:t>
            </w:r>
          </w:p>
        </w:tc>
      </w:tr>
      <w:tr>
        <w:trPr>
          <w:trHeight w:val="186"/>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4"/>
                <w:szCs w:val="14"/>
                <w:i w:val="1"/>
                <w:iCs w:val="1"/>
                <w:color w:val="auto"/>
              </w:rPr>
              <w:t>(Address of principal executive offices) (Zip code)</w:t>
            </w:r>
          </w:p>
        </w:tc>
      </w:tr>
      <w:tr>
        <w:trPr>
          <w:trHeight w:val="354"/>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00" w:type="dxa"/>
            <w:vAlign w:val="bottom"/>
            <w:gridSpan w:val="2"/>
          </w:tcPr>
          <w:p>
            <w:pPr>
              <w:jc w:val="center"/>
              <w:ind w:left="899"/>
              <w:spacing w:after="0"/>
              <w:rPr>
                <w:sz w:val="20"/>
                <w:szCs w:val="20"/>
                <w:color w:val="auto"/>
              </w:rPr>
            </w:pPr>
            <w:r>
              <w:rPr>
                <w:rFonts w:ascii="Arial" w:cs="Arial" w:eastAsia="Arial" w:hAnsi="Arial"/>
                <w:sz w:val="18"/>
                <w:szCs w:val="18"/>
                <w:b w:val="1"/>
                <w:bCs w:val="1"/>
                <w:color w:val="auto"/>
              </w:rPr>
              <w:t>(914) 323-5700</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6"/>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80" w:type="dxa"/>
            <w:vAlign w:val="bottom"/>
            <w:gridSpan w:val="5"/>
          </w:tcPr>
          <w:p>
            <w:pPr>
              <w:jc w:val="center"/>
              <w:ind w:right="3515"/>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363"/>
        </w:trPr>
        <w:tc>
          <w:tcPr>
            <w:tcW w:w="662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92"/>
        </w:trPr>
        <w:tc>
          <w:tcPr>
            <w:tcW w:w="1360" w:type="dxa"/>
            <w:vAlign w:val="bottom"/>
          </w:tcPr>
          <w:p>
            <w:pPr>
              <w:spacing w:after="0"/>
              <w:rPr>
                <w:sz w:val="24"/>
                <w:szCs w:val="24"/>
                <w:color w:val="auto"/>
              </w:rPr>
            </w:pPr>
          </w:p>
        </w:tc>
        <w:tc>
          <w:tcPr>
            <w:tcW w:w="252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9"/>
              </w:rPr>
              <w:t>Title of each class</w:t>
            </w:r>
          </w:p>
        </w:tc>
        <w:tc>
          <w:tcPr>
            <w:tcW w:w="940" w:type="dxa"/>
            <w:vAlign w:val="bottom"/>
          </w:tcPr>
          <w:p>
            <w:pPr>
              <w:spacing w:after="0"/>
              <w:rPr>
                <w:sz w:val="24"/>
                <w:szCs w:val="2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Trading Symbol(s)</w:t>
            </w:r>
          </w:p>
        </w:tc>
        <w:tc>
          <w:tcPr>
            <w:tcW w:w="6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77"/>
        </w:trPr>
        <w:tc>
          <w:tcPr>
            <w:tcW w:w="3880" w:type="dxa"/>
            <w:vAlign w:val="bottom"/>
            <w:gridSpan w:val="3"/>
          </w:tcPr>
          <w:p>
            <w:pPr>
              <w:jc w:val="center"/>
              <w:ind w:left="295"/>
              <w:spacing w:after="0"/>
              <w:rPr>
                <w:sz w:val="20"/>
                <w:szCs w:val="20"/>
                <w:color w:val="auto"/>
              </w:rPr>
            </w:pPr>
            <w:r>
              <w:rPr>
                <w:rFonts w:ascii="Arial" w:cs="Arial" w:eastAsia="Arial" w:hAnsi="Arial"/>
                <w:sz w:val="18"/>
                <w:szCs w:val="18"/>
                <w:color w:val="auto"/>
                <w:w w:val="99"/>
              </w:rPr>
              <w:t>Common Stock, par value $0.01 per share</w:t>
            </w:r>
          </w:p>
        </w:tc>
        <w:tc>
          <w:tcPr>
            <w:tcW w:w="940" w:type="dxa"/>
            <w:vAlign w:val="bottom"/>
          </w:tcPr>
          <w:p>
            <w:pPr>
              <w:spacing w:after="0"/>
              <w:rPr>
                <w:sz w:val="24"/>
                <w:szCs w:val="2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XYL</w:t>
            </w:r>
          </w:p>
        </w:tc>
        <w:tc>
          <w:tcPr>
            <w:tcW w:w="6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56"/>
        </w:trPr>
        <w:tc>
          <w:tcPr>
            <w:tcW w:w="3880" w:type="dxa"/>
            <w:vAlign w:val="bottom"/>
            <w:gridSpan w:val="3"/>
          </w:tcPr>
          <w:p>
            <w:pPr>
              <w:jc w:val="center"/>
              <w:ind w:left="295"/>
              <w:spacing w:after="0"/>
              <w:rPr>
                <w:sz w:val="20"/>
                <w:szCs w:val="20"/>
                <w:color w:val="auto"/>
              </w:rPr>
            </w:pPr>
            <w:r>
              <w:rPr>
                <w:rFonts w:ascii="Arial" w:cs="Arial" w:eastAsia="Arial" w:hAnsi="Arial"/>
                <w:sz w:val="18"/>
                <w:szCs w:val="18"/>
                <w:color w:val="auto"/>
                <w:w w:val="99"/>
              </w:rPr>
              <w:t>2.250% Senior Notes due 2023</w:t>
            </w:r>
          </w:p>
        </w:tc>
        <w:tc>
          <w:tcPr>
            <w:tcW w:w="940" w:type="dxa"/>
            <w:vAlign w:val="bottom"/>
          </w:tcPr>
          <w:p>
            <w:pPr>
              <w:spacing w:after="0"/>
              <w:rPr>
                <w:sz w:val="22"/>
                <w:szCs w:val="2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XYL23</w:t>
            </w:r>
          </w:p>
        </w:tc>
        <w:tc>
          <w:tcPr>
            <w:tcW w:w="600" w:type="dxa"/>
            <w:vAlign w:val="bottom"/>
          </w:tcPr>
          <w:p>
            <w:pPr>
              <w:spacing w:after="0"/>
              <w:rPr>
                <w:sz w:val="22"/>
                <w:szCs w:val="22"/>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75"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294"/>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310"/>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0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r>
      <w:tr>
        <w:trPr>
          <w:trHeight w:val="961"/>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0"/>
          <w:szCs w:val="20"/>
          <w:color w:val="auto"/>
        </w:rPr>
      </w:pPr>
    </w:p>
    <w:p>
      <w:pPr>
        <w:ind w:right="54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1, 2020, there were 179,915,293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69215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40"/>
          </w:cols>
          <w:pgMar w:left="320" w:top="625"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40" w:type="dxa"/>
            <w:vAlign w:val="bottom"/>
            <w:gridSpan w:val="4"/>
          </w:tcPr>
          <w:p>
            <w:pPr>
              <w:jc w:val="center"/>
              <w:ind w:right="2500"/>
              <w:spacing w:after="0"/>
              <w:rPr>
                <w:sz w:val="20"/>
                <w:szCs w:val="20"/>
                <w:color w:val="auto"/>
              </w:rPr>
            </w:pPr>
            <w:r>
              <w:rPr>
                <w:rFonts w:ascii="Arial" w:cs="Arial" w:eastAsia="Arial" w:hAnsi="Arial"/>
                <w:sz w:val="18"/>
                <w:szCs w:val="18"/>
                <w:b w:val="1"/>
                <w:bCs w:val="1"/>
                <w:color w:val="auto"/>
                <w:w w:val="98"/>
              </w:rPr>
              <w:t>Xylem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4"/>
          </w:tcPr>
          <w:p>
            <w:pPr>
              <w:jc w:val="center"/>
              <w:ind w:right="248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58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9"/>
              </w:rPr>
              <w:t>PART I – Financial Information</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Condensed Consolidated Financial Statements:</w:t>
              </w:r>
            </w:hyperlink>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780" w:type="dxa"/>
            <w:vAlign w:val="bottom"/>
            <w:gridSpan w:val="10"/>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Income Statements for the Three Months Ended March 31, </w:t>
              </w:r>
            </w:hyperlink>
            <w:r>
              <w:rPr>
                <w:rFonts w:ascii="Arial" w:cs="Arial" w:eastAsia="Arial" w:hAnsi="Arial"/>
                <w:sz w:val="18"/>
                <w:szCs w:val="18"/>
                <w:u w:val="single" w:color="auto"/>
                <w:color w:val="0000FF"/>
              </w:rPr>
              <w:t>2020</w:t>
            </w:r>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and 2019 </w:t>
              </w:r>
              <w:r>
                <w:rPr>
                  <w:rFonts w:ascii="Arial" w:cs="Arial" w:eastAsia="Arial" w:hAnsi="Arial"/>
                  <w:sz w:val="18"/>
                  <w:szCs w:val="18"/>
                  <w:u w:val="single" w:color="auto"/>
                  <w:color w:val="0000FF"/>
                </w:rPr>
                <w:t>(Unaudited)</w:t>
              </w:r>
            </w:hyperlink>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80" w:type="dxa"/>
            <w:vAlign w:val="bottom"/>
            <w:gridSpan w:val="10"/>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for the Three Months Ended</w:t>
              </w:r>
            </w:hyperlink>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780" w:type="dxa"/>
            <w:vAlign w:val="bottom"/>
            <w:gridSpan w:val="10"/>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u w:val="single" w:color="auto"/>
                  <w:color w:val="0000FF"/>
                </w:rPr>
                <w:t>March 31,</w:t>
              </w:r>
              <w:r>
                <w:rPr>
                  <w:rFonts w:ascii="Arial" w:cs="Arial" w:eastAsia="Arial" w:hAnsi="Arial"/>
                  <w:sz w:val="18"/>
                  <w:szCs w:val="18"/>
                  <w:color w:val="0000FF"/>
                </w:rPr>
                <w:t xml:space="preserve"> 2020 and 2019 </w:t>
              </w:r>
              <w:r>
                <w:rPr>
                  <w:rFonts w:ascii="Arial" w:cs="Arial" w:eastAsia="Arial" w:hAnsi="Arial"/>
                  <w:sz w:val="18"/>
                  <w:szCs w:val="18"/>
                  <w:u w:val="single" w:color="auto"/>
                  <w:color w:val="0000FF"/>
                </w:rPr>
                <w:t>(Unaudited)</w:t>
              </w:r>
            </w:hyperlink>
          </w:p>
        </w:tc>
        <w:tc>
          <w:tcPr>
            <w:tcW w:w="1500" w:type="dxa"/>
            <w:vAlign w:val="bottom"/>
          </w:tcPr>
          <w:p>
            <w:pPr>
              <w:jc w:val="right"/>
              <w:spacing w:after="0" w:line="17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780" w:type="dxa"/>
            <w:vAlign w:val="bottom"/>
            <w:gridSpan w:val="1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Sheets as of March </w:t>
              </w:r>
            </w:hyperlink>
            <w:r>
              <w:rPr>
                <w:rFonts w:ascii="Arial" w:cs="Arial" w:eastAsia="Arial" w:hAnsi="Arial"/>
                <w:sz w:val="18"/>
                <w:szCs w:val="18"/>
                <w:color w:val="0000FF"/>
              </w:rPr>
              <w:t>31</w:t>
            </w:r>
            <w:hyperlink w:anchor="page5">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31, 2019</w:t>
              </w:r>
            </w:hyperlink>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6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(Unaudited)</w:t>
              </w:r>
            </w:hyperlink>
          </w:p>
        </w:tc>
        <w:tc>
          <w:tcPr>
            <w:tcW w:w="27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780" w:type="dxa"/>
            <w:vAlign w:val="bottom"/>
            <w:gridSpan w:val="10"/>
          </w:tcPr>
          <w:p>
            <w:pPr>
              <w:spacing w:after="0" w:line="176"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 March 31,</w:t>
              </w:r>
            </w:hyperlink>
          </w:p>
        </w:tc>
        <w:tc>
          <w:tcPr>
            <w:tcW w:w="1500" w:type="dxa"/>
            <w:vAlign w:val="bottom"/>
            <w:vMerge w:val="restart"/>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3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2020 and 2019 </w:t>
              </w:r>
              <w:r>
                <w:rPr>
                  <w:rFonts w:ascii="Arial" w:cs="Arial" w:eastAsia="Arial" w:hAnsi="Arial"/>
                  <w:sz w:val="18"/>
                  <w:szCs w:val="18"/>
                  <w:u w:val="single" w:color="auto"/>
                  <w:color w:val="0000FF"/>
                </w:rPr>
                <w:t>(Unaudited)</w:t>
              </w:r>
            </w:hyperlink>
          </w:p>
        </w:tc>
        <w:tc>
          <w:tcPr>
            <w:tcW w:w="4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6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780" w:type="dxa"/>
            <w:vAlign w:val="bottom"/>
            <w:gridSpan w:val="10"/>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the Condensed Consolidated Financial Statements (Unaudited)</w:t>
              </w:r>
            </w:hyperlink>
          </w:p>
        </w:tc>
        <w:tc>
          <w:tcPr>
            <w:tcW w:w="15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5">
              <w:r>
                <w:rPr>
                  <w:rFonts w:ascii="Arial" w:cs="Arial" w:eastAsia="Arial" w:hAnsi="Arial"/>
                  <w:sz w:val="18"/>
                  <w:szCs w:val="18"/>
                  <w:u w:val="single" w:color="auto"/>
                  <w:color w:val="0000FF"/>
                </w:rPr>
                <w:t>Quantitative and Qualitative Disclosures About Market Risk</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10"/>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Controls and Procedures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58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9"/>
              </w:rPr>
              <w:t>PART II – Other Information</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160" w:type="dxa"/>
            <w:vAlign w:val="bottom"/>
          </w:tcPr>
          <w:p>
            <w:pPr>
              <w:ind w:left="20"/>
              <w:spacing w:after="0"/>
              <w:rPr>
                <w:sz w:val="20"/>
                <w:szCs w:val="20"/>
                <w:color w:val="auto"/>
              </w:rPr>
            </w:pPr>
            <w:r>
              <w:rPr>
                <w:rFonts w:ascii="Arial" w:cs="Arial" w:eastAsia="Arial" w:hAnsi="Arial"/>
                <w:sz w:val="18"/>
                <w:szCs w:val="18"/>
                <w:color w:val="auto"/>
              </w:rPr>
              <w:t>Item 1</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Legal Proceedings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56"/>
        </w:trPr>
        <w:tc>
          <w:tcPr>
            <w:tcW w:w="1160" w:type="dxa"/>
            <w:vAlign w:val="bottom"/>
          </w:tcPr>
          <w:p>
            <w:pPr>
              <w:ind w:left="20"/>
              <w:spacing w:after="0"/>
              <w:rPr>
                <w:sz w:val="20"/>
                <w:szCs w:val="20"/>
                <w:color w:val="auto"/>
              </w:rPr>
            </w:pPr>
            <w:r>
              <w:rPr>
                <w:rFonts w:ascii="Arial" w:cs="Arial" w:eastAsia="Arial" w:hAnsi="Arial"/>
                <w:sz w:val="18"/>
                <w:szCs w:val="18"/>
                <w:color w:val="auto"/>
              </w:rPr>
              <w:t>Item 1A</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10"/>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Risk Factors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45</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Unregistered Sales of Equity Securities and Use of Proceeds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11"/>
          </w:tcPr>
          <w:p>
            <w:pPr>
              <w:ind w:left="5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Defaults Upon Senior Securities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16"/>
        </w:trPr>
        <w:tc>
          <w:tcPr>
            <w:tcW w:w="1160" w:type="dxa"/>
            <w:vAlign w:val="bottom"/>
          </w:tcPr>
          <w:p>
            <w:pPr>
              <w:ind w:left="20"/>
              <w:spacing w:after="0"/>
              <w:rPr>
                <w:sz w:val="20"/>
                <w:szCs w:val="20"/>
                <w:color w:val="auto"/>
              </w:rPr>
            </w:pPr>
            <w:r>
              <w:rPr>
                <w:rFonts w:ascii="Arial" w:cs="Arial" w:eastAsia="Arial" w:hAnsi="Arial"/>
                <w:sz w:val="18"/>
                <w:szCs w:val="18"/>
                <w:color w:val="auto"/>
              </w:rPr>
              <w:t>Item 4</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10"/>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Mine Safety Disclosures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Item 5</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840" w:type="dxa"/>
            <w:vAlign w:val="bottom"/>
            <w:gridSpan w:val="4"/>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Other Information</w:t>
              </w:r>
            </w:hyperlink>
          </w:p>
        </w:tc>
        <w:tc>
          <w:tcPr>
            <w:tcW w:w="80" w:type="dxa"/>
            <w:vAlign w:val="bottom"/>
            <w:tcBorders>
              <w:top w:val="single" w:sz="8" w:color="0000FF"/>
            </w:tcBorders>
          </w:tcPr>
          <w:p>
            <w:pPr>
              <w:spacing w:after="0"/>
              <w:rPr>
                <w:sz w:val="24"/>
                <w:szCs w:val="24"/>
                <w:color w:val="auto"/>
              </w:rPr>
            </w:pPr>
          </w:p>
        </w:tc>
        <w:tc>
          <w:tcPr>
            <w:tcW w:w="5860" w:type="dxa"/>
            <w:vAlign w:val="bottom"/>
            <w:gridSpan w:val="5"/>
          </w:tcPr>
          <w:p>
            <w:pPr>
              <w:spacing w:after="0"/>
              <w:rPr>
                <w:sz w:val="24"/>
                <w:szCs w:val="24"/>
                <w:color w:val="auto"/>
              </w:rPr>
            </w:pPr>
          </w:p>
        </w:tc>
        <w:tc>
          <w:tcPr>
            <w:tcW w:w="15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7780" w:type="dxa"/>
            <w:vAlign w:val="bottom"/>
            <w:gridSpan w:val="10"/>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Exhibits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0"/>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Signatures</w:t>
              </w:r>
            </w:hyperlink>
          </w:p>
        </w:tc>
        <w:tc>
          <w:tcPr>
            <w:tcW w:w="150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1180" w:type="dxa"/>
            <w:vAlign w:val="bottom"/>
          </w:tcPr>
          <w:p>
            <w:pPr>
              <w:spacing w:after="0"/>
              <w:rPr>
                <w:sz w:val="20"/>
                <w:szCs w:val="20"/>
                <w:color w:val="auto"/>
              </w:rPr>
            </w:pPr>
          </w:p>
        </w:tc>
        <w:tc>
          <w:tcPr>
            <w:tcW w:w="7000" w:type="dxa"/>
            <w:vAlign w:val="bottom"/>
          </w:tcPr>
          <w:p>
            <w:pPr>
              <w:ind w:left="4160"/>
              <w:spacing w:after="0"/>
              <w:rPr>
                <w:sz w:val="20"/>
                <w:szCs w:val="20"/>
                <w:color w:val="auto"/>
              </w:rPr>
            </w:pPr>
            <w:r>
              <w:rPr>
                <w:rFonts w:ascii="Arial" w:cs="Arial" w:eastAsia="Arial" w:hAnsi="Arial"/>
                <w:sz w:val="18"/>
                <w:szCs w:val="18"/>
                <w:b w:val="1"/>
                <w:bCs w:val="1"/>
                <w:color w:val="auto"/>
              </w:rPr>
              <w:t>PART I</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00" w:type="dxa"/>
            <w:vAlign w:val="bottom"/>
          </w:tcPr>
          <w:p>
            <w:pPr>
              <w:ind w:left="100"/>
              <w:spacing w:after="0"/>
              <w:rPr>
                <w:sz w:val="20"/>
                <w:szCs w:val="20"/>
                <w:color w:val="auto"/>
              </w:rPr>
            </w:pPr>
            <w:r>
              <w:rPr>
                <w:rFonts w:ascii="Arial" w:cs="Arial" w:eastAsia="Arial" w:hAnsi="Arial"/>
                <w:sz w:val="18"/>
                <w:szCs w:val="18"/>
                <w:b w:val="1"/>
                <w:bCs w:val="1"/>
                <w:color w:val="auto"/>
              </w:rPr>
              <w:t>CONDENSED CONSOLIDATED FINANCIAL STATEMENTS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XYLEM INC. AND SUBSIDIARIES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CONDENSED CONSOLIDATED INCOME STATEMENTS (Unaudited)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gridSpan w:val="2"/>
          </w:tcPr>
          <w:p>
            <w:pPr>
              <w:spacing w:after="0"/>
              <w:rPr>
                <w:sz w:val="20"/>
                <w:szCs w:val="20"/>
                <w:color w:val="auto"/>
              </w:rPr>
            </w:pPr>
            <w:r>
              <w:rPr>
                <w:rFonts w:ascii="Arial" w:cs="Arial" w:eastAsia="Arial" w:hAnsi="Arial"/>
                <w:sz w:val="18"/>
                <w:szCs w:val="18"/>
                <w:color w:val="auto"/>
              </w:rPr>
              <w:t>(in millions, except per share data)</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8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6"/>
        </w:trPr>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0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57"/>
        </w:trPr>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7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Gain from sale of business</w:t>
            </w:r>
          </w:p>
        </w:tc>
        <w:tc>
          <w:tcPr>
            <w:tcW w:w="3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3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4"/>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7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0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50"/>
        </w:trPr>
        <w:tc>
          <w:tcPr>
            <w:tcW w:w="1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70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340"/>
              <w:spacing w:after="0"/>
              <w:rPr>
                <w:sz w:val="20"/>
                <w:szCs w:val="20"/>
                <w:color w:val="auto"/>
              </w:rPr>
            </w:pPr>
            <w:r>
              <w:rPr>
                <w:rFonts w:ascii="Arial" w:cs="Arial" w:eastAsia="Arial" w:hAnsi="Arial"/>
                <w:sz w:val="18"/>
                <w:szCs w:val="18"/>
                <w:color w:val="auto"/>
              </w:rPr>
              <w:t>Basic</w:t>
            </w:r>
          </w:p>
        </w:tc>
        <w:tc>
          <w:tcPr>
            <w:tcW w:w="7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180.2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63"/>
        </w:trPr>
        <w:tc>
          <w:tcPr>
            <w:tcW w:w="1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70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(LOSS)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7"/>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876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8760" w:type="dxa"/>
            <w:vAlign w:val="bottom"/>
          </w:tcPr>
          <w:p>
            <w:pPr>
              <w:ind w:left="12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8760" w:type="dxa"/>
            <w:vAlign w:val="bottom"/>
          </w:tcPr>
          <w:p>
            <w:pPr>
              <w:ind w:left="340"/>
              <w:spacing w:after="0"/>
              <w:rPr>
                <w:sz w:val="20"/>
                <w:szCs w:val="20"/>
                <w:color w:val="auto"/>
              </w:rPr>
            </w:pPr>
            <w:r>
              <w:rPr>
                <w:rFonts w:ascii="Arial" w:cs="Arial" w:eastAsia="Arial" w:hAnsi="Arial"/>
                <w:sz w:val="18"/>
                <w:szCs w:val="18"/>
                <w:color w:val="auto"/>
              </w:rPr>
              <w:t>Amount of loss reclassified into net income</w:t>
            </w:r>
          </w:p>
        </w:tc>
        <w:tc>
          <w:tcPr>
            <w:tcW w:w="2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8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760" w:type="dxa"/>
            <w:vAlign w:val="bottom"/>
          </w:tcPr>
          <w:p>
            <w:pPr>
              <w:ind w:left="34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876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related to items of other comprehensive (loss) income</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5"/>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7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Xylem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6"/>
        </w:trPr>
        <w:tc>
          <w:tcPr>
            <w:tcW w:w="7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9"/>
        </w:trPr>
        <w:tc>
          <w:tcPr>
            <w:tcW w:w="7480" w:type="dxa"/>
            <w:vAlign w:val="bottom"/>
          </w:tcPr>
          <w:p>
            <w:pPr>
              <w:ind w:left="320"/>
              <w:spacing w:after="0"/>
              <w:rPr>
                <w:sz w:val="20"/>
                <w:szCs w:val="20"/>
                <w:color w:val="auto"/>
              </w:rPr>
            </w:pPr>
            <w:r>
              <w:rPr>
                <w:rFonts w:ascii="Arial" w:cs="Arial" w:eastAsia="Arial" w:hAnsi="Arial"/>
                <w:sz w:val="18"/>
                <w:szCs w:val="18"/>
                <w:color w:val="auto"/>
              </w:rPr>
              <w:t>Receivables, less allowances for discounts, returns and doubtful accounts of $29 and $35</w:t>
            </w:r>
          </w:p>
        </w:tc>
        <w:tc>
          <w:tcPr>
            <w:tcW w:w="300" w:type="dxa"/>
            <w:vAlign w:val="bottom"/>
          </w:tcPr>
          <w:p>
            <w:pPr>
              <w:spacing w:after="0"/>
              <w:rPr>
                <w:sz w:val="19"/>
                <w:szCs w:val="19"/>
                <w:color w:val="auto"/>
              </w:rPr>
            </w:pPr>
          </w:p>
        </w:tc>
        <w:tc>
          <w:tcPr>
            <w:tcW w:w="15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80" w:type="dxa"/>
            <w:vAlign w:val="bottom"/>
          </w:tcPr>
          <w:p>
            <w:pPr>
              <w:ind w:left="320"/>
              <w:spacing w:after="0"/>
              <w:rPr>
                <w:sz w:val="20"/>
                <w:szCs w:val="20"/>
                <w:color w:val="auto"/>
              </w:rPr>
            </w:pPr>
            <w:r>
              <w:rPr>
                <w:rFonts w:ascii="Arial" w:cs="Arial" w:eastAsia="Arial" w:hAnsi="Arial"/>
                <w:sz w:val="18"/>
                <w:szCs w:val="18"/>
                <w:color w:val="auto"/>
              </w:rPr>
              <w:t>in 2020 and 2019, respectively</w:t>
            </w:r>
          </w:p>
        </w:tc>
        <w:tc>
          <w:tcPr>
            <w:tcW w:w="3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2,790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1,141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3"/>
        </w:trPr>
        <w:tc>
          <w:tcPr>
            <w:tcW w:w="748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7,591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1"/>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Short-term borrowings and current maturities of long-term debt</w:t>
            </w:r>
          </w:p>
        </w:tc>
        <w:tc>
          <w:tcPr>
            <w:tcW w:w="3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459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748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1,584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Accrued postretirement benefits</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433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57"/>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4,770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30"/>
        </w:trPr>
        <w:tc>
          <w:tcPr>
            <w:tcW w:w="7480" w:type="dxa"/>
            <w:vAlign w:val="bottom"/>
          </w:tcPr>
          <w:p>
            <w:pPr>
              <w:ind w:left="100"/>
              <w:spacing w:after="0"/>
              <w:rPr>
                <w:sz w:val="20"/>
                <w:szCs w:val="20"/>
                <w:color w:val="auto"/>
              </w:rPr>
            </w:pPr>
            <w:r>
              <w:rPr>
                <w:rFonts w:ascii="Arial" w:cs="Arial" w:eastAsia="Arial" w:hAnsi="Arial"/>
                <w:sz w:val="18"/>
                <w:szCs w:val="18"/>
                <w:color w:val="auto"/>
              </w:rPr>
              <w:t>Commitments and contingencies (Note 18)</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Common Stock – par value $0.01 per share:</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Authorized 750.0 shares, issued 194.4 shares and 193.9 shares in 2020 and 2019,</w:t>
            </w:r>
          </w:p>
        </w:tc>
        <w:tc>
          <w:tcPr>
            <w:tcW w:w="300" w:type="dxa"/>
            <w:vAlign w:val="bottom"/>
            <w:shd w:val="clear" w:color="auto" w:fill="CCEEFF"/>
          </w:tcPr>
          <w:p>
            <w:pPr>
              <w:spacing w:after="0"/>
              <w:rPr>
                <w:sz w:val="20"/>
                <w:szCs w:val="20"/>
                <w:color w:val="auto"/>
              </w:rPr>
            </w:pPr>
          </w:p>
        </w:tc>
        <w:tc>
          <w:tcPr>
            <w:tcW w:w="15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50"/>
        </w:trPr>
        <w:tc>
          <w:tcPr>
            <w:tcW w:w="7480" w:type="dxa"/>
            <w:vAlign w:val="bottom"/>
          </w:tcPr>
          <w:p>
            <w:pPr>
              <w:ind w:left="320"/>
              <w:spacing w:after="0"/>
              <w:rPr>
                <w:sz w:val="20"/>
                <w:szCs w:val="20"/>
                <w:color w:val="auto"/>
              </w:rPr>
            </w:pPr>
            <w:r>
              <w:rPr>
                <w:rFonts w:ascii="Arial" w:cs="Arial" w:eastAsia="Arial" w:hAnsi="Arial"/>
                <w:sz w:val="18"/>
                <w:szCs w:val="18"/>
                <w:color w:val="auto"/>
              </w:rPr>
              <w:t>Treasury stock – at cost 14.5 shares and 13.7 shares in 2020 and 2019, respectively</w:t>
            </w:r>
          </w:p>
        </w:tc>
        <w:tc>
          <w:tcPr>
            <w:tcW w:w="30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63"/>
        </w:trPr>
        <w:tc>
          <w:tcPr>
            <w:tcW w:w="7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2,812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56"/>
        </w:trPr>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75"/>
        </w:trPr>
        <w:tc>
          <w:tcPr>
            <w:tcW w:w="7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three months ended March 31,</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Restructuring and asset impairment charges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restructuring</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Changes in assets and liabilities (net of acquisitions):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receivables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7960" w:type="dxa"/>
            <w:vAlign w:val="bottom"/>
          </w:tcPr>
          <w:p>
            <w:pPr>
              <w:ind w:left="340"/>
              <w:spacing w:after="0"/>
              <w:rPr>
                <w:sz w:val="20"/>
                <w:szCs w:val="20"/>
                <w:color w:val="auto"/>
              </w:rPr>
            </w:pPr>
            <w:r>
              <w:rPr>
                <w:rFonts w:ascii="Arial" w:cs="Arial" w:eastAsia="Arial" w:hAnsi="Arial"/>
                <w:sz w:val="18"/>
                <w:szCs w:val="18"/>
                <w:color w:val="auto"/>
              </w:rPr>
              <w:t>Changes in inventories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accounts payable</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Net Cash – Investing activities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Short-term debt issued, net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debt repaid</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96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employee stock options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Dividends paid</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changes on cash</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724</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5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(net of refunds received)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39"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9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19, "Segment Information", to the condensed consolidated financial statements for further segment background information.</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9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2019 ("2019 Annual Report") in preparing these unaudited condensed consolidated financial statements, with the exception of accounting standard updates described in Note 2. These condensed consolidated financial statements should be read in conjunction with the audited consolidated financial statements and the notes included in our 2019 Annual Report.</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 contingency accruals and valuation allowances, goodwill and indefinite lived intangible impairment testing, contingent liabilities and lease accounting. Actual results could differ from these estimates.</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26"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amending the accounting for the impairment of financial instruments, including trade receivables. Under previous guidance, credit losses were recognized when the applicable losses had a probable likelihood of occurring and this assessment was based on past events and current conditions. The amended current guidance eliminates the “probable” threshold and requires an entity to use a broader range of information, including forecast information when estimating expected credit losses. Generally, this should result in a more timely recognition of credit losses. This guidance is effective for interim and annual periods beginning after December 15, 2019 with early adoption permitted for interim and annual periods beginning after December 15, 2018. The requirements of the amended guidance should be applied using a modified retrospective approach</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ind w:right="60"/>
        <w:spacing w:after="0" w:line="235" w:lineRule="auto"/>
        <w:rPr>
          <w:sz w:val="20"/>
          <w:szCs w:val="20"/>
          <w:color w:val="auto"/>
        </w:rPr>
      </w:pPr>
      <w:r>
        <w:rPr>
          <w:rFonts w:ascii="Arial" w:cs="Arial" w:eastAsia="Arial" w:hAnsi="Arial"/>
          <w:sz w:val="18"/>
          <w:szCs w:val="18"/>
          <w:color w:val="auto"/>
        </w:rPr>
        <w:t>except for debt securities, which require a prospective transition approach. We adopted this guidance as of January 1, 2020. The adoption of this guidance did not have a material impact on our financial condition and results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0"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During the three months ended March 31, 2020 and 2019 we spent approximately $0 million and $5 million, net of cash received on acquisition activity, respectively.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82"/>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6"/>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Building Services</w:t>
            </w:r>
          </w:p>
        </w:tc>
        <w:tc>
          <w:tcPr>
            <w:tcW w:w="30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Water</w:t>
            </w:r>
          </w:p>
        </w:tc>
        <w:tc>
          <w:tcPr>
            <w:tcW w:w="30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Software as a Service</w:t>
            </w:r>
          </w:p>
        </w:tc>
        <w:tc>
          <w:tcPr>
            <w:tcW w:w="30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Test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2"/>
        </w:trPr>
        <w:tc>
          <w:tcPr>
            <w:tcW w:w="8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0"/>
        </w:trPr>
        <w:tc>
          <w:tcPr>
            <w:tcW w:w="8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0"/>
        </w:trPr>
        <w:tc>
          <w:tcPr>
            <w:tcW w:w="8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4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8440" w:type="dxa"/>
            <w:vAlign w:val="bottom"/>
          </w:tcPr>
          <w:p>
            <w:pPr>
              <w:ind w:left="260"/>
              <w:spacing w:after="0"/>
              <w:rPr>
                <w:sz w:val="20"/>
                <w:szCs w:val="20"/>
                <w:color w:val="auto"/>
              </w:rPr>
            </w:pPr>
            <w:r>
              <w:rPr>
                <w:rFonts w:ascii="Arial" w:cs="Arial" w:eastAsia="Arial" w:hAnsi="Arial"/>
                <w:sz w:val="18"/>
                <w:szCs w:val="18"/>
                <w:color w:val="auto"/>
              </w:rPr>
              <w:t>Asia Pacific</w:t>
            </w:r>
          </w:p>
        </w:tc>
        <w:tc>
          <w:tcPr>
            <w:tcW w:w="30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Contract Balances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Contract Assets (a)</w:t>
            </w:r>
          </w:p>
        </w:tc>
        <w:tc>
          <w:tcPr>
            <w:tcW w:w="4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5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1"/>
                <w:szCs w:val="21"/>
                <w:color w:val="auto"/>
              </w:rPr>
            </w:pP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46</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1"/>
                <w:szCs w:val="21"/>
                <w:color w:val="auto"/>
              </w:rPr>
            </w:pPr>
          </w:p>
        </w:tc>
        <w:tc>
          <w:tcPr>
            <w:tcW w:w="23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57"/>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48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56"/>
        </w:trPr>
        <w:tc>
          <w:tcPr>
            <w:tcW w:w="560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50"/>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2020</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Pr>
          <w:p>
            <w:pPr>
              <w:jc w:val="right"/>
              <w:ind w:right="31"/>
              <w:spacing w:after="0"/>
              <w:rPr>
                <w:sz w:val="20"/>
                <w:szCs w:val="20"/>
                <w:color w:val="auto"/>
              </w:rPr>
            </w:pPr>
            <w:r>
              <w:rPr>
                <w:rFonts w:ascii="Arial" w:cs="Arial" w:eastAsia="Arial" w:hAnsi="Arial"/>
                <w:sz w:val="18"/>
                <w:szCs w:val="18"/>
                <w:b w:val="1"/>
                <w:bCs w:val="1"/>
                <w:color w:val="auto"/>
              </w:rPr>
              <w:t>106</w:t>
            </w:r>
          </w:p>
        </w:tc>
        <w:tc>
          <w:tcPr>
            <w:tcW w:w="4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2380" w:type="dxa"/>
            <w:vAlign w:val="bottom"/>
          </w:tcPr>
          <w:p>
            <w:pPr>
              <w:jc w:val="right"/>
              <w:ind w:right="71"/>
              <w:spacing w:after="0"/>
              <w:rPr>
                <w:sz w:val="20"/>
                <w:szCs w:val="20"/>
                <w:color w:val="auto"/>
              </w:rPr>
            </w:pPr>
            <w:r>
              <w:rPr>
                <w:rFonts w:ascii="Arial" w:cs="Arial" w:eastAsia="Arial" w:hAnsi="Arial"/>
                <w:sz w:val="18"/>
                <w:szCs w:val="18"/>
                <w:b w:val="1"/>
                <w:bCs w:val="1"/>
                <w:color w:val="auto"/>
              </w:rPr>
              <w:t>135</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w:t>
            </w:r>
          </w:p>
        </w:tc>
      </w:tr>
      <w:tr>
        <w:trPr>
          <w:trHeight w:val="250"/>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21"/>
                <w:szCs w:val="21"/>
                <w:color w:val="auto"/>
              </w:rPr>
            </w:pPr>
          </w:p>
        </w:tc>
        <w:tc>
          <w:tcPr>
            <w:tcW w:w="23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1"/>
                <w:szCs w:val="21"/>
                <w:color w:val="auto"/>
              </w:rPr>
            </w:pPr>
          </w:p>
        </w:tc>
        <w:tc>
          <w:tcPr>
            <w:tcW w:w="2380" w:type="dxa"/>
            <w:vAlign w:val="bottom"/>
          </w:tcPr>
          <w:p>
            <w:pPr>
              <w:jc w:val="right"/>
              <w:ind w:right="11"/>
              <w:spacing w:after="0"/>
              <w:rPr>
                <w:sz w:val="20"/>
                <w:szCs w:val="20"/>
                <w:color w:val="auto"/>
              </w:rPr>
            </w:pPr>
            <w:r>
              <w:rPr>
                <w:rFonts w:ascii="Arial" w:cs="Arial" w:eastAsia="Arial" w:hAnsi="Arial"/>
                <w:sz w:val="18"/>
                <w:szCs w:val="18"/>
                <w:b w:val="1"/>
                <w:bCs w:val="1"/>
                <w:color w:val="auto"/>
              </w:rPr>
              <w:t>(47)</w:t>
            </w:r>
          </w:p>
        </w:tc>
      </w:tr>
      <w:tr>
        <w:trPr>
          <w:trHeight w:val="263"/>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w:t>
            </w:r>
          </w:p>
        </w:tc>
        <w:tc>
          <w:tcPr>
            <w:tcW w:w="44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80" w:type="dxa"/>
            <w:vAlign w:val="bottom"/>
            <w:shd w:val="clear" w:color="auto" w:fill="CCEEFF"/>
          </w:tcPr>
          <w:p>
            <w:pPr>
              <w:spacing w:after="0"/>
              <w:rPr>
                <w:sz w:val="22"/>
                <w:szCs w:val="22"/>
                <w:color w:val="auto"/>
              </w:rPr>
            </w:pPr>
          </w:p>
        </w:tc>
        <w:tc>
          <w:tcPr>
            <w:tcW w:w="238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5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8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w:t>
            </w:r>
          </w:p>
        </w:tc>
      </w:tr>
      <w:tr>
        <w:trPr>
          <w:trHeight w:val="28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106</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2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(a)</w:t>
        <w:tab/>
        <w:t>Excludes receivable balances which are disclosed on the balance sheet</w:t>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Performance obligations</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March 31, 2020, the aggregate amount of the transaction price allocated to performance obligations that are unsatisfied or partially unsatisfied for contracts with performance obligations, amount to $380 million.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ourselves. During the three months ended March 31, 2020, we recognized restructuring charges of $2 million. We incurred these charges primarily as a continuation of our efforts to reposition our European and North American businesses to optimize our cost structure and improve our operational efficiency and effectiveness. The charges included the reduction of headcount within our Water Infrastructure segment.</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three months ended March 31, 2019, we recognized restructuring charges of $8 million.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1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r>
      <w:tr>
        <w:trPr>
          <w:trHeight w:val="242"/>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8500" w:type="dxa"/>
            <w:vAlign w:val="bottom"/>
          </w:tcPr>
          <w:p>
            <w:pPr>
              <w:ind w:left="12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63"/>
        </w:trPr>
        <w:tc>
          <w:tcPr>
            <w:tcW w:w="8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related charges</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57"/>
        </w:trPr>
        <w:tc>
          <w:tcPr>
            <w:tcW w:w="8500" w:type="dxa"/>
            <w:vAlign w:val="bottom"/>
          </w:tcPr>
          <w:p>
            <w:pPr>
              <w:ind w:left="20"/>
              <w:spacing w:after="0"/>
              <w:rPr>
                <w:sz w:val="20"/>
                <w:szCs w:val="20"/>
                <w:color w:val="auto"/>
              </w:rPr>
            </w:pPr>
            <w:r>
              <w:rPr>
                <w:rFonts w:ascii="Arial" w:cs="Arial" w:eastAsia="Arial" w:hAnsi="Arial"/>
                <w:sz w:val="18"/>
                <w:szCs w:val="18"/>
                <w:color w:val="auto"/>
              </w:rPr>
              <w:t>Total restructuring charges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4"/>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56"/>
        </w:trPr>
        <w:tc>
          <w:tcPr>
            <w:tcW w:w="8500" w:type="dxa"/>
            <w:vAlign w:val="bottom"/>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8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50"/>
        </w:trPr>
        <w:tc>
          <w:tcPr>
            <w:tcW w:w="8500" w:type="dxa"/>
            <w:vAlign w:val="bottom"/>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Water Infrastructure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50"/>
        </w:trPr>
        <w:tc>
          <w:tcPr>
            <w:tcW w:w="8500" w:type="dxa"/>
            <w:vAlign w:val="bottom"/>
          </w:tcPr>
          <w:p>
            <w:pPr>
              <w:ind w:left="460"/>
              <w:spacing w:after="0"/>
              <w:rPr>
                <w:sz w:val="20"/>
                <w:szCs w:val="20"/>
                <w:color w:val="auto"/>
              </w:rPr>
            </w:pPr>
            <w:r>
              <w:rPr>
                <w:rFonts w:ascii="Arial" w:cs="Arial" w:eastAsia="Arial" w:hAnsi="Arial"/>
                <w:sz w:val="18"/>
                <w:szCs w:val="18"/>
                <w:color w:val="auto"/>
              </w:rPr>
              <w:t>Applied Water</w:t>
            </w:r>
          </w:p>
        </w:tc>
        <w:tc>
          <w:tcPr>
            <w:tcW w:w="3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63"/>
        </w:trPr>
        <w:tc>
          <w:tcPr>
            <w:tcW w:w="85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spacing w:after="0" w:line="13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three months ended March 31, 2020 and 2019:</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2019</w:t>
            </w:r>
          </w:p>
        </w:tc>
      </w:tr>
      <w:tr>
        <w:trPr>
          <w:trHeight w:val="25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r>
      <w:tr>
        <w:trPr>
          <w:trHeight w:val="250"/>
        </w:trPr>
        <w:tc>
          <w:tcPr>
            <w:tcW w:w="8400" w:type="dxa"/>
            <w:vAlign w:val="bottom"/>
          </w:tcPr>
          <w:p>
            <w:pPr>
              <w:ind w:left="1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w:t>
            </w:r>
          </w:p>
        </w:tc>
      </w:tr>
      <w:tr>
        <w:trPr>
          <w:trHeight w:val="263"/>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payments</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50"/>
        </w:trPr>
        <w:tc>
          <w:tcPr>
            <w:tcW w:w="8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8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March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7"/>
        </w:trPr>
        <w:tc>
          <w:tcPr>
            <w:tcW w:w="8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8400" w:type="dxa"/>
            <w:vAlign w:val="bottom"/>
          </w:tcPr>
          <w:p>
            <w:pPr>
              <w:ind w:left="44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63"/>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8400" w:type="dxa"/>
            <w:vAlign w:val="bottom"/>
          </w:tcPr>
          <w:p>
            <w:pPr>
              <w:ind w:left="44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w:t>
            </w:r>
          </w:p>
        </w:tc>
      </w:tr>
      <w:tr>
        <w:trPr>
          <w:trHeight w:val="263"/>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Regional selling locations (a)</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bl>
    <w:p>
      <w:pPr>
        <w:spacing w:after="0" w:line="110" w:lineRule="exact"/>
        <w:rPr>
          <w:sz w:val="20"/>
          <w:szCs w:val="20"/>
          <w:color w:val="auto"/>
        </w:rPr>
      </w:pPr>
    </w:p>
    <w:p>
      <w:pPr>
        <w:ind w:left="340" w:hanging="332"/>
        <w:spacing w:after="0" w:line="260"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which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expected restructuring spend for actions commenced as of March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7"/>
              </w:rPr>
              <w:t>Water</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2"/>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2020:</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5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Q1 2020</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r>
      <w:tr>
        <w:trPr>
          <w:trHeight w:val="27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2019:</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52</w:t>
            </w: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r>
      <w:tr>
        <w:trPr>
          <w:trHeight w:val="25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Q1 2020</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w:t>
            </w:r>
          </w:p>
        </w:tc>
      </w:tr>
      <w:tr>
        <w:trPr>
          <w:trHeight w:val="25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2017:</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23</w:t>
            </w: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2017</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r>
      <w:tr>
        <w:trPr>
          <w:trHeight w:val="250"/>
        </w:trPr>
        <w:tc>
          <w:tcPr>
            <w:tcW w:w="5440" w:type="dxa"/>
            <w:vAlign w:val="bottom"/>
          </w:tcPr>
          <w:p>
            <w:pPr>
              <w:ind w:left="20"/>
              <w:spacing w:after="0"/>
              <w:rPr>
                <w:sz w:val="20"/>
                <w:szCs w:val="20"/>
                <w:color w:val="auto"/>
              </w:rPr>
            </w:pPr>
            <w:r>
              <w:rPr>
                <w:rFonts w:ascii="Arial" w:cs="Arial" w:eastAsia="Arial" w:hAnsi="Arial"/>
                <w:sz w:val="18"/>
                <w:szCs w:val="18"/>
                <w:color w:val="auto"/>
              </w:rPr>
              <w:t>Costs incurred during 2018</w:t>
            </w: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6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2019</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5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incurred during Q1 2020</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Water Infrastructure actions commenced in 2020 consist primarily of severance charges and are substantially complete. The Water Infrastructure, Applied Water, and Measurement &amp; Control Solutions actions commenced in 2019 consist primarily of severance charges. The Applied Water and Measurement &amp; Control Solutions actions are complete and the Water Infrastructure actions are expected to continue through the fourth quarter of 2020. The Water Infrastructure, Applied Water and Measurement &amp; Control Solutions actions commenced in 2017 consist primarily of severance charges. The Measurement &amp; Control Solutions actions are complete and the Water Infrastructure and Applied Water actions are expected to continue through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a customer relationship, were impaired. Accordingly we recognized an impairment charge of $3 million. Refer to Note 9, "Goodwill and Other Intangible Assets," for additional information.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3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income tax provision for the three months ended March 31, 2020 was $4 million resulting in an effective tax rate of 10.0%, compared to a $15 million charge resulting in an effective tax rate of 16.6% for the same period in 2019. The effective tax rate for the three month period ended March 31, 2020 differs from the United States federal statutory rate primarily due to the mix of earnings in jurisdictions, partially offset by the Global Intangible Low-Taxed Income ("GILTI") inclusion. Additionally, the effective tax rate for the three month period ended March 31, 2020 is lower than the same period in 2019 due to the relative impact of the benefit from favorable equity compensation deductions on the effective tax 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litigation, based on the technical merits of the position. The</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3" w:name="page14"/>
    <w:bookmarkEnd w:id="13"/>
    <w:p>
      <w:pPr>
        <w:ind w:right="20"/>
        <w:spacing w:after="0" w:line="252" w:lineRule="auto"/>
        <w:rPr>
          <w:sz w:val="20"/>
          <w:szCs w:val="20"/>
          <w:color w:val="auto"/>
        </w:rPr>
      </w:pPr>
      <w:r>
        <w:rPr>
          <w:rFonts w:ascii="Arial" w:cs="Arial" w:eastAsia="Arial" w:hAnsi="Arial"/>
          <w:sz w:val="18"/>
          <w:szCs w:val="18"/>
          <w:color w:val="auto"/>
        </w:rPr>
        <w:t>tax benefits recognized in the condensed consolidated financial statements from such positions are measured based on the largest benefit that has a greater than 50% likelihood of being realized upon ultimate resolution. The amount of unrecognized tax benefits at March 31, 2020 was $128 million, as compared to $129 million at December 31, 2019, which if ultimately recognized will reduce our effective tax rate. We believe that it is reasonably possible that the unrecognized tax benefits will be reduced by approximately $4 million within the next 12 months as a result of the expiration of certain statutes of limitations. We classify interest expense relating to unrecognized tax benefits as a component of other non-operating expense, net, and tax penalties as a component of income tax expense in our Condensed Consolidated Income Statements. As of March 31, 2020, we had $9 million of interest accrued for unrecognized tax benefits.</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The assessment asserts an aggregate amount of approximately $80 million for tax, penalties and interest. Xylem filed an appeal with the Administrative Court of Stockholm. Management, in consultation with external legal advisors, believes it is more likely than not that Xylem will prevail on the proposed assessment and is vigorously defending our position through litigation. As of March 31, 2020, we have not recorded any unrecognized tax benefits related to this uncertain tax position.</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9"/>
                <w:szCs w:val="19"/>
                <w:color w:val="auto"/>
              </w:rPr>
            </w:pPr>
          </w:p>
        </w:tc>
      </w:tr>
      <w:tr>
        <w:trPr>
          <w:trHeight w:val="210"/>
        </w:trPr>
        <w:tc>
          <w:tcPr>
            <w:tcW w:w="8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2019</w:t>
            </w:r>
          </w:p>
        </w:tc>
      </w:tr>
      <w:tr>
        <w:trPr>
          <w:trHeight w:val="256"/>
        </w:trPr>
        <w:tc>
          <w:tcPr>
            <w:tcW w:w="8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(in millions)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r>
      <w:tr>
        <w:trPr>
          <w:trHeight w:val="230"/>
        </w:trPr>
        <w:tc>
          <w:tcPr>
            <w:tcW w:w="8660" w:type="dxa"/>
            <w:vAlign w:val="bottom"/>
          </w:tcPr>
          <w:p>
            <w:pPr>
              <w:ind w:left="120"/>
              <w:spacing w:after="0"/>
              <w:rPr>
                <w:sz w:val="20"/>
                <w:szCs w:val="20"/>
                <w:color w:val="auto"/>
              </w:rPr>
            </w:pPr>
            <w:r>
              <w:rPr>
                <w:rFonts w:ascii="Arial" w:cs="Arial" w:eastAsia="Arial" w:hAnsi="Arial"/>
                <w:sz w:val="18"/>
                <w:szCs w:val="18"/>
                <w:color w:val="auto"/>
              </w:rPr>
              <w:t>Shares (in thousands):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3"/>
        </w:trPr>
        <w:tc>
          <w:tcPr>
            <w:tcW w:w="8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180,154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179,720</w:t>
            </w:r>
          </w:p>
        </w:tc>
      </w:tr>
      <w:tr>
        <w:trPr>
          <w:trHeight w:val="250"/>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 Participating securities (a)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w:t>
            </w:r>
          </w:p>
        </w:tc>
      </w:tr>
      <w:tr>
        <w:trPr>
          <w:trHeight w:val="257"/>
        </w:trPr>
        <w:tc>
          <w:tcPr>
            <w:tcW w:w="8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180,179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179,746</w:t>
            </w:r>
          </w:p>
        </w:tc>
      </w:tr>
      <w:tr>
        <w:trPr>
          <w:trHeight w:val="250"/>
        </w:trPr>
        <w:tc>
          <w:tcPr>
            <w:tcW w:w="8660" w:type="dxa"/>
            <w:vAlign w:val="bottom"/>
          </w:tcPr>
          <w:p>
            <w:pPr>
              <w:ind w:left="120"/>
              <w:spacing w:after="0"/>
              <w:rPr>
                <w:sz w:val="20"/>
                <w:szCs w:val="20"/>
                <w:color w:val="auto"/>
              </w:rPr>
            </w:pPr>
            <w:r>
              <w:rPr>
                <w:rFonts w:ascii="Arial" w:cs="Arial" w:eastAsia="Arial" w:hAnsi="Arial"/>
                <w:sz w:val="18"/>
                <w:szCs w:val="18"/>
                <w:color w:val="auto"/>
              </w:rPr>
              <w:t>Plus incremental shares from assumed conversions: (b)</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835</w:t>
            </w:r>
          </w:p>
        </w:tc>
      </w:tr>
      <w:tr>
        <w:trPr>
          <w:trHeight w:val="250"/>
        </w:trPr>
        <w:tc>
          <w:tcPr>
            <w:tcW w:w="8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532</w:t>
            </w:r>
          </w:p>
        </w:tc>
      </w:tr>
      <w:tr>
        <w:trPr>
          <w:trHeight w:val="250"/>
        </w:trPr>
        <w:tc>
          <w:tcPr>
            <w:tcW w:w="8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181,294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181,113</w:t>
            </w:r>
          </w:p>
        </w:tc>
      </w:tr>
      <w:tr>
        <w:trPr>
          <w:trHeight w:val="250"/>
        </w:trPr>
        <w:tc>
          <w:tcPr>
            <w:tcW w:w="866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5"/>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0.44</w:t>
            </w:r>
          </w:p>
        </w:tc>
      </w:tr>
      <w:tr>
        <w:trPr>
          <w:trHeight w:val="263"/>
        </w:trPr>
        <w:tc>
          <w:tcPr>
            <w:tcW w:w="8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0.21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0.43</w:t>
            </w:r>
          </w:p>
        </w:tc>
      </w:tr>
    </w:tbl>
    <w:p>
      <w:pPr>
        <w:spacing w:after="0" w:line="110" w:lineRule="exact"/>
        <w:rPr>
          <w:sz w:val="20"/>
          <w:szCs w:val="20"/>
          <w:color w:val="auto"/>
        </w:rPr>
      </w:pPr>
    </w:p>
    <w:p>
      <w:pPr>
        <w:ind w:left="340" w:right="500" w:hanging="332"/>
        <w:spacing w:after="0" w:line="260"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shareholders are considered participating securities for purposes of computing earnings per share.</w:t>
      </w:r>
    </w:p>
    <w:p>
      <w:pPr>
        <w:spacing w:after="0" w:line="87" w:lineRule="exact"/>
        <w:rPr>
          <w:rFonts w:ascii="Arial" w:cs="Arial" w:eastAsia="Arial" w:hAnsi="Arial"/>
          <w:sz w:val="16"/>
          <w:szCs w:val="16"/>
          <w:color w:val="auto"/>
        </w:rPr>
      </w:pPr>
    </w:p>
    <w:p>
      <w:pPr>
        <w:ind w:left="340" w:right="40" w:hanging="332"/>
        <w:spacing w:after="0" w:line="248"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34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Borders>
              <w:bottom w:val="single" w:sz="8" w:color="auto"/>
            </w:tcBorders>
            <w:gridSpan w:val="5"/>
          </w:tcPr>
          <w:p>
            <w:pPr>
              <w:jc w:val="right"/>
              <w:ind w:right="935"/>
              <w:spacing w:after="0"/>
              <w:rPr>
                <w:sz w:val="20"/>
                <w:szCs w:val="20"/>
                <w:color w:val="auto"/>
              </w:rPr>
            </w:pPr>
            <w:r>
              <w:rPr>
                <w:rFonts w:ascii="Arial" w:cs="Arial" w:eastAsia="Arial" w:hAnsi="Arial"/>
                <w:sz w:val="14"/>
                <w:szCs w:val="14"/>
                <w:b w:val="1"/>
                <w:bCs w:val="1"/>
                <w:color w:val="auto"/>
              </w:rPr>
              <w:t>March 31,</w:t>
            </w:r>
          </w:p>
        </w:tc>
      </w:tr>
      <w:tr>
        <w:trPr>
          <w:trHeight w:val="209"/>
        </w:trPr>
        <w:tc>
          <w:tcPr>
            <w:tcW w:w="340" w:type="dxa"/>
            <w:vAlign w:val="bottom"/>
          </w:tcPr>
          <w:p>
            <w:pPr>
              <w:spacing w:after="0"/>
              <w:rPr>
                <w:sz w:val="18"/>
                <w:szCs w:val="18"/>
                <w:color w:val="auto"/>
              </w:rPr>
            </w:pPr>
          </w:p>
        </w:tc>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2019</w:t>
            </w:r>
          </w:p>
        </w:tc>
      </w:tr>
      <w:tr>
        <w:trPr>
          <w:trHeight w:val="256"/>
        </w:trPr>
        <w:tc>
          <w:tcPr>
            <w:tcW w:w="340" w:type="dxa"/>
            <w:vAlign w:val="bottom"/>
          </w:tcPr>
          <w:p>
            <w:pPr>
              <w:spacing w:after="0"/>
              <w:rPr>
                <w:sz w:val="22"/>
                <w:szCs w:val="22"/>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1,367</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1,394</w:t>
            </w:r>
          </w:p>
        </w:tc>
      </w:tr>
      <w:tr>
        <w:trPr>
          <w:trHeight w:val="250"/>
        </w:trPr>
        <w:tc>
          <w:tcPr>
            <w:tcW w:w="340" w:type="dxa"/>
            <w:vAlign w:val="bottom"/>
          </w:tcPr>
          <w:p>
            <w:pPr>
              <w:spacing w:after="0"/>
              <w:rPr>
                <w:sz w:val="21"/>
                <w:szCs w:val="21"/>
                <w:color w:val="auto"/>
              </w:rPr>
            </w:pPr>
          </w:p>
        </w:tc>
        <w:tc>
          <w:tcPr>
            <w:tcW w:w="7840" w:type="dxa"/>
            <w:vAlign w:val="bottom"/>
          </w:tcPr>
          <w:p>
            <w:pPr>
              <w:ind w:left="12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348</w:t>
            </w:r>
          </w:p>
        </w:tc>
      </w:tr>
      <w:tr>
        <w:trPr>
          <w:trHeight w:val="263"/>
        </w:trPr>
        <w:tc>
          <w:tcPr>
            <w:tcW w:w="340" w:type="dxa"/>
            <w:vAlign w:val="bottom"/>
          </w:tcPr>
          <w:p>
            <w:pPr>
              <w:spacing w:after="0"/>
              <w:rPr>
                <w:sz w:val="22"/>
                <w:szCs w:val="22"/>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 share units</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472</w:t>
            </w:r>
          </w:p>
        </w:tc>
      </w:tr>
      <w:tr>
        <w:trPr>
          <w:trHeight w:val="675"/>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Note 8. Inventories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3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95"/>
              <w:spacing w:after="0"/>
              <w:rPr>
                <w:sz w:val="20"/>
                <w:szCs w:val="20"/>
                <w:color w:val="auto"/>
              </w:rPr>
            </w:pPr>
            <w:r>
              <w:rPr>
                <w:rFonts w:ascii="Arial" w:cs="Arial" w:eastAsia="Arial" w:hAnsi="Arial"/>
                <w:sz w:val="14"/>
                <w:szCs w:val="14"/>
                <w:color w:val="auto"/>
              </w:rPr>
              <w:t>December 31,</w:t>
            </w:r>
          </w:p>
        </w:tc>
      </w:tr>
      <w:tr>
        <w:trPr>
          <w:trHeight w:val="196"/>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r>
      <w:tr>
        <w:trPr>
          <w:trHeight w:val="256"/>
        </w:trPr>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212</w:t>
            </w:r>
          </w:p>
        </w:tc>
      </w:tr>
      <w:tr>
        <w:trPr>
          <w:trHeight w:val="250"/>
        </w:trPr>
        <w:tc>
          <w:tcPr>
            <w:tcW w:w="8180" w:type="dxa"/>
            <w:vAlign w:val="bottom"/>
            <w:gridSpan w:val="2"/>
          </w:tcPr>
          <w:p>
            <w:pPr>
              <w:ind w:left="12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47</w:t>
            </w:r>
          </w:p>
        </w:tc>
      </w:tr>
      <w:tr>
        <w:trPr>
          <w:trHeight w:val="257"/>
        </w:trPr>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294</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280</w:t>
            </w:r>
          </w:p>
        </w:tc>
      </w:tr>
      <w:tr>
        <w:trPr>
          <w:trHeight w:val="250"/>
        </w:trPr>
        <w:tc>
          <w:tcPr>
            <w:tcW w:w="34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Total inventories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21"/>
                <w:szCs w:val="21"/>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539</w:t>
            </w:r>
          </w:p>
        </w:tc>
      </w:tr>
      <w:tr>
        <w:trPr>
          <w:trHeight w:val="27"/>
        </w:trPr>
        <w:tc>
          <w:tcPr>
            <w:tcW w:w="3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three months ended March 31, 2020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restart"/>
          </w:tcPr>
          <w:p>
            <w:pPr>
              <w:jc w:val="right"/>
              <w:ind w:right="153"/>
              <w:spacing w:after="0"/>
              <w:rPr>
                <w:sz w:val="20"/>
                <w:szCs w:val="20"/>
                <w:color w:val="auto"/>
              </w:rPr>
            </w:pPr>
            <w:r>
              <w:rPr>
                <w:rFonts w:ascii="Arial" w:cs="Arial" w:eastAsia="Arial" w:hAnsi="Arial"/>
                <w:sz w:val="14"/>
                <w:szCs w:val="14"/>
                <w:b w:val="1"/>
                <w:bCs w:val="1"/>
                <w:color w:val="auto"/>
              </w:rPr>
              <w:t>Applied Water</w:t>
            </w:r>
          </w:p>
        </w:tc>
        <w:tc>
          <w:tcPr>
            <w:tcW w:w="100" w:type="dxa"/>
            <w:vAlign w:val="bottom"/>
            <w:vMerge w:val="restart"/>
          </w:tcPr>
          <w:p>
            <w:pPr>
              <w:spacing w:after="0"/>
              <w:rPr>
                <w:sz w:val="16"/>
                <w:szCs w:val="16"/>
                <w:color w:val="auto"/>
              </w:rPr>
            </w:pPr>
          </w:p>
        </w:tc>
        <w:tc>
          <w:tcPr>
            <w:tcW w:w="1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Measurement &amp;</w:t>
            </w:r>
          </w:p>
        </w:tc>
        <w:tc>
          <w:tcPr>
            <w:tcW w:w="200" w:type="dxa"/>
            <w:vAlign w:val="bottom"/>
          </w:tcPr>
          <w:p>
            <w:pPr>
              <w:spacing w:after="0"/>
              <w:rPr>
                <w:sz w:val="16"/>
                <w:szCs w:val="16"/>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Balance as of January 1, 2020</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2,839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120"/>
              <w:spacing w:after="0"/>
              <w:rPr>
                <w:sz w:val="20"/>
                <w:szCs w:val="20"/>
                <w:color w:val="auto"/>
              </w:rPr>
            </w:pPr>
            <w:r>
              <w:rPr>
                <w:rFonts w:ascii="Arial" w:cs="Arial" w:eastAsia="Arial" w:hAnsi="Arial"/>
                <w:sz w:val="18"/>
                <w:szCs w:val="18"/>
                <w:i w:val="1"/>
                <w:iCs w:val="1"/>
                <w:color w:val="auto"/>
              </w:rPr>
              <w:t>Activity in 2020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and other</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040" w:type="dxa"/>
            <w:vAlign w:val="bottom"/>
          </w:tcPr>
          <w:p>
            <w:pPr>
              <w:ind w:left="120"/>
              <w:spacing w:after="0"/>
              <w:rPr>
                <w:sz w:val="20"/>
                <w:szCs w:val="20"/>
                <w:color w:val="auto"/>
              </w:rPr>
            </w:pPr>
            <w:r>
              <w:rPr>
                <w:rFonts w:ascii="Arial" w:cs="Arial" w:eastAsia="Arial" w:hAnsi="Arial"/>
                <w:sz w:val="18"/>
                <w:szCs w:val="18"/>
                <w:b w:val="1"/>
                <w:bCs w:val="1"/>
                <w:color w:val="auto"/>
              </w:rPr>
              <w:t>Balance as of March 31, 2020</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b w:val="1"/>
                <w:bCs w:val="1"/>
                <w:color w:val="auto"/>
              </w:rPr>
              <w:t>638</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b w:val="1"/>
                <w:bCs w:val="1"/>
                <w:color w:val="auto"/>
              </w:rPr>
              <w:t>508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1,644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2,790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3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7"/>
          </w:tcPr>
          <w:p>
            <w:pPr>
              <w:spacing w:after="0"/>
              <w:rPr>
                <w:sz w:val="20"/>
                <w:szCs w:val="20"/>
                <w:color w:val="auto"/>
              </w:rPr>
            </w:pPr>
            <w:r>
              <w:rPr>
                <w:rFonts w:ascii="Arial" w:cs="Arial" w:eastAsia="Arial" w:hAnsi="Arial"/>
                <w:sz w:val="18"/>
                <w:szCs w:val="18"/>
                <w:color w:val="auto"/>
              </w:rPr>
              <w:t>Information regarding our other intangible assets is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December 31, 2019</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340"/>
              <w:spacing w:after="0" w:line="148"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Carrying</w:t>
            </w:r>
          </w:p>
        </w:tc>
        <w:tc>
          <w:tcPr>
            <w:tcW w:w="180" w:type="dxa"/>
            <w:vAlign w:val="bottom"/>
          </w:tcPr>
          <w:p>
            <w:pPr>
              <w:spacing w:after="0"/>
              <w:rPr>
                <w:sz w:val="12"/>
                <w:szCs w:val="12"/>
                <w:color w:val="auto"/>
              </w:rPr>
            </w:pPr>
          </w:p>
        </w:tc>
        <w:tc>
          <w:tcPr>
            <w:tcW w:w="1220" w:type="dxa"/>
            <w:vAlign w:val="bottom"/>
            <w:gridSpan w:val="3"/>
          </w:tcPr>
          <w:p>
            <w:pPr>
              <w:jc w:val="center"/>
              <w:ind w:right="300"/>
              <w:spacing w:after="0" w:line="148"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Intangibles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Amortization</w:t>
            </w:r>
          </w:p>
        </w:tc>
        <w:tc>
          <w:tcPr>
            <w:tcW w:w="12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Intangibles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931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(361)</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Amortization expense related to finite-lived intangible assets was $35 million and $35 million for the three month periods ended March 31, 2020 and 2019, respectively.</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During the first quarter of 2019, we determined that the intended use of a finite-lived customer relationship within the test application of our Measurement &amp; Control Solutions segment had changed. Accordingly we recorded a $3</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15" w:name="page16"/>
    <w:bookmarkEnd w:id="15"/>
    <w:p>
      <w:pPr>
        <w:ind w:right="300"/>
        <w:spacing w:after="0" w:line="261" w:lineRule="auto"/>
        <w:rPr>
          <w:sz w:val="20"/>
          <w:szCs w:val="20"/>
          <w:color w:val="auto"/>
        </w:rPr>
      </w:pPr>
      <w:r>
        <w:rPr>
          <w:rFonts w:ascii="Arial" w:cs="Arial" w:eastAsia="Arial" w:hAnsi="Arial"/>
          <w:sz w:val="18"/>
          <w:szCs w:val="18"/>
          <w:color w:val="auto"/>
        </w:rPr>
        <w:t>million impairment charge. The charge was calculated using the income approach and is reflected in “Restructuring and asset impairment charges” in our Condensed Consolidated Income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$376 million and $0 million as of March 31, 2020 and December 31, 2019, respectively. As of March 31, 2020, our most significant foreign currency derivatives included contracts to sell U.S. Dollar and purchase Euro, purchase Swedish Krona and sell Euro, sell British Pound and purchase Euro, purchase Polish Zloty and sell Euro, purchase U.S. Dollar and sell Canadian Dollar, and to sell Canadian Dollar and purchase Euro. The purchased notional amounts associated with these currency derivatives are $151 million, $117 million, $38 million, $24 million, $23 million and $18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13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Beginning in 2015, we entered into cross currency swaps to manage our exposure to fluctuations in the Euro-U.S. Dollar exchange rate. During 2019 we entered into additional cross currency swaps. The total notional amount of derivative instruments designated as net investment hedges was $702 million and $714 million as of March 31, 2020 and December 31, 2019,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We designated the entirety of the outstanding balance, or $544 million and $554 million as of March 31, 2020 and December 31, 2019, respectively, net of unamortized discount, as a hedge of a net investment in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0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2019</w:t>
            </w:r>
          </w:p>
        </w:tc>
      </w:tr>
      <w:tr>
        <w:trPr>
          <w:trHeight w:val="24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8520" w:type="dxa"/>
            <w:vAlign w:val="bottom"/>
          </w:tcPr>
          <w:p>
            <w:pPr>
              <w:ind w:left="120"/>
              <w:spacing w:after="0"/>
              <w:rPr>
                <w:sz w:val="20"/>
                <w:szCs w:val="20"/>
                <w:color w:val="auto"/>
              </w:rPr>
            </w:pPr>
            <w:r>
              <w:rPr>
                <w:rFonts w:ascii="Arial" w:cs="Arial" w:eastAsia="Arial" w:hAnsi="Arial"/>
                <w:sz w:val="18"/>
                <w:szCs w:val="18"/>
                <w:b w:val="1"/>
                <w:bCs w:val="1"/>
                <w:color w:val="auto"/>
              </w:rPr>
              <w:t>Foreign Exchange Contracts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(9)</w:t>
            </w:r>
          </w:p>
        </w:tc>
      </w:tr>
      <w:tr>
        <w:trPr>
          <w:trHeight w:val="250"/>
        </w:trPr>
        <w:tc>
          <w:tcPr>
            <w:tcW w:w="8520" w:type="dxa"/>
            <w:vAlign w:val="bottom"/>
          </w:tcPr>
          <w:p>
            <w:pPr>
              <w:ind w:left="220"/>
              <w:spacing w:after="0"/>
              <w:rPr>
                <w:sz w:val="20"/>
                <w:szCs w:val="20"/>
                <w:color w:val="auto"/>
              </w:rPr>
            </w:pPr>
            <w:r>
              <w:rPr>
                <w:rFonts w:ascii="Arial" w:cs="Arial" w:eastAsia="Arial" w:hAnsi="Arial"/>
                <w:sz w:val="18"/>
                <w:szCs w:val="18"/>
                <w:color w:val="auto"/>
              </w:rPr>
              <w:t>Amount of loss reclassified from OCI into revenue</w:t>
            </w:r>
          </w:p>
        </w:tc>
        <w:tc>
          <w:tcPr>
            <w:tcW w:w="30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center"/>
              <w:ind w:left="413"/>
              <w:spacing w:after="0"/>
              <w:rPr>
                <w:sz w:val="20"/>
                <w:szCs w:val="20"/>
                <w:color w:val="auto"/>
              </w:rPr>
            </w:pPr>
            <w:r>
              <w:rPr>
                <w:rFonts w:ascii="Arial" w:cs="Arial" w:eastAsia="Arial" w:hAnsi="Arial"/>
                <w:sz w:val="18"/>
                <w:szCs w:val="18"/>
                <w:color w:val="auto"/>
                <w:w w:val="99"/>
              </w:rPr>
              <w:t>1</w:t>
            </w:r>
          </w:p>
        </w:tc>
      </w:tr>
      <w:tr>
        <w:trPr>
          <w:trHeight w:val="263"/>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 reclassified from OCI into cost of revenue</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1</w:t>
            </w:r>
          </w:p>
        </w:tc>
      </w:tr>
      <w:tr>
        <w:trPr>
          <w:trHeight w:val="270"/>
        </w:trPr>
        <w:tc>
          <w:tcPr>
            <w:tcW w:w="8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8520" w:type="dxa"/>
            <w:vAlign w:val="bottom"/>
          </w:tcPr>
          <w:p>
            <w:pPr>
              <w:ind w:left="120"/>
              <w:spacing w:after="0"/>
              <w:rPr>
                <w:sz w:val="20"/>
                <w:szCs w:val="20"/>
                <w:color w:val="auto"/>
              </w:rPr>
            </w:pPr>
            <w:r>
              <w:rPr>
                <w:rFonts w:ascii="Arial" w:cs="Arial" w:eastAsia="Arial" w:hAnsi="Arial"/>
                <w:sz w:val="18"/>
                <w:szCs w:val="18"/>
                <w:b w:val="1"/>
                <w:bCs w:val="1"/>
                <w:color w:val="auto"/>
              </w:rPr>
              <w:t>Cross Currency Swaps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9"/>
              </w:rPr>
              <w:t>7</w:t>
            </w:r>
          </w:p>
        </w:tc>
      </w:tr>
      <w:tr>
        <w:trPr>
          <w:trHeight w:val="250"/>
        </w:trPr>
        <w:tc>
          <w:tcPr>
            <w:tcW w:w="852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300" w:type="dxa"/>
            <w:vAlign w:val="bottom"/>
          </w:tcPr>
          <w:p>
            <w:pPr>
              <w:spacing w:after="0"/>
              <w:rPr>
                <w:sz w:val="21"/>
                <w:szCs w:val="21"/>
                <w:color w:val="auto"/>
              </w:rPr>
            </w:pP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center"/>
              <w:ind w:left="413"/>
              <w:spacing w:after="0"/>
              <w:rPr>
                <w:sz w:val="20"/>
                <w:szCs w:val="20"/>
                <w:color w:val="auto"/>
              </w:rPr>
            </w:pPr>
            <w:r>
              <w:rPr>
                <w:rFonts w:ascii="Arial" w:cs="Arial" w:eastAsia="Arial" w:hAnsi="Arial"/>
                <w:sz w:val="18"/>
                <w:szCs w:val="18"/>
                <w:color w:val="auto"/>
                <w:w w:val="99"/>
              </w:rPr>
              <w:t>3</w:t>
            </w:r>
          </w:p>
        </w:tc>
      </w:tr>
      <w:tr>
        <w:trPr>
          <w:trHeight w:val="263"/>
        </w:trPr>
        <w:tc>
          <w:tcPr>
            <w:tcW w:w="85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Foreign Currency Denominated Debt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520" w:type="dxa"/>
            <w:vAlign w:val="bottom"/>
          </w:tcPr>
          <w:p>
            <w:pPr>
              <w:ind w:left="220"/>
              <w:spacing w:after="0"/>
              <w:rPr>
                <w:sz w:val="20"/>
                <w:szCs w:val="20"/>
                <w:color w:val="auto"/>
              </w:rPr>
            </w:pPr>
            <w:r>
              <w:rPr>
                <w:rFonts w:ascii="Arial" w:cs="Arial" w:eastAsia="Arial" w:hAnsi="Arial"/>
                <w:sz w:val="18"/>
                <w:szCs w:val="18"/>
                <w:color w:val="auto"/>
              </w:rPr>
              <w:t>Amount of gain recognized in OCI</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56"/>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left="413"/>
              <w:spacing w:after="0"/>
              <w:rPr>
                <w:sz w:val="20"/>
                <w:szCs w:val="20"/>
                <w:color w:val="auto"/>
              </w:rPr>
            </w:pPr>
            <w:r>
              <w:rPr>
                <w:rFonts w:ascii="Arial" w:cs="Arial" w:eastAsia="Arial" w:hAnsi="Arial"/>
                <w:sz w:val="18"/>
                <w:szCs w:val="18"/>
                <w:color w:val="auto"/>
                <w:w w:val="99"/>
              </w:rPr>
              <w:t>7</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$2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no gains or losses on the net investment hedges are expected to be reclassified into earnings over their duration.</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9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fair values of our foreign exchange contracts currently included in our hedging program designated as hedging instruments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2019</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0"/>
        </w:trPr>
        <w:tc>
          <w:tcPr>
            <w:tcW w:w="7760" w:type="dxa"/>
            <w:vAlign w:val="bottom"/>
          </w:tcPr>
          <w:p>
            <w:pPr>
              <w:ind w:left="1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w:t>
            </w:r>
          </w:p>
        </w:tc>
      </w:tr>
      <w:tr>
        <w:trPr>
          <w:trHeight w:val="263"/>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4</w:t>
            </w:r>
          </w:p>
        </w:tc>
      </w:tr>
      <w:tr>
        <w:trPr>
          <w:trHeight w:val="263"/>
        </w:trPr>
        <w:tc>
          <w:tcPr>
            <w:tcW w:w="77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(9)</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r>
      <w:tr>
        <w:trPr>
          <w:trHeight w:val="25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accrued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r>
    </w:tbl>
    <w:p>
      <w:pPr>
        <w:spacing w:after="0" w:line="1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fair value of our long-term debt, due in 2023, designated as a net investment hedge was $565 million and $591 million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9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Compensation and other employee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177</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Customer-related liabilities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b w:val="1"/>
                <w:bCs w:val="1"/>
                <w:color w:val="auto"/>
              </w:rPr>
              <w:t>155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warranty costs</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108</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619</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12. Credit Facilities and 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tcPr>
          <w:p>
            <w:pPr>
              <w:spacing w:after="0"/>
              <w:rPr>
                <w:sz w:val="20"/>
                <w:szCs w:val="20"/>
                <w:color w:val="auto"/>
              </w:rPr>
            </w:pPr>
            <w:r>
              <w:rPr>
                <w:rFonts w:ascii="Arial" w:cs="Arial" w:eastAsia="Arial" w:hAnsi="Arial"/>
                <w:sz w:val="18"/>
                <w:szCs w:val="18"/>
                <w:color w:val="auto"/>
              </w:rPr>
              <w:t>Total debt outstanding is summarized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4.875% Senior Notes due 2021 (a)</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0"/>
        </w:trPr>
        <w:tc>
          <w:tcPr>
            <w:tcW w:w="8180" w:type="dxa"/>
            <w:vAlign w:val="bottom"/>
          </w:tcPr>
          <w:p>
            <w:pPr>
              <w:ind w:left="340"/>
              <w:spacing w:after="0"/>
              <w:rPr>
                <w:sz w:val="20"/>
                <w:szCs w:val="20"/>
                <w:color w:val="auto"/>
              </w:rPr>
            </w:pPr>
            <w:r>
              <w:rPr>
                <w:rFonts w:ascii="Arial" w:cs="Arial" w:eastAsia="Arial" w:hAnsi="Arial"/>
                <w:sz w:val="18"/>
                <w:szCs w:val="18"/>
                <w:color w:val="auto"/>
              </w:rPr>
              <w:t>2.250% Senior Notes due 2023 (a)</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3.250% Senior Notes due 2026 (a)</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0"/>
        </w:trPr>
        <w:tc>
          <w:tcPr>
            <w:tcW w:w="8180" w:type="dxa"/>
            <w:vAlign w:val="bottom"/>
          </w:tcPr>
          <w:p>
            <w:pPr>
              <w:ind w:left="340"/>
              <w:spacing w:after="0"/>
              <w:rPr>
                <w:sz w:val="20"/>
                <w:szCs w:val="20"/>
                <w:color w:val="auto"/>
              </w:rPr>
            </w:pPr>
            <w:r>
              <w:rPr>
                <w:rFonts w:ascii="Arial" w:cs="Arial" w:eastAsia="Arial" w:hAnsi="Arial"/>
                <w:sz w:val="18"/>
                <w:szCs w:val="18"/>
                <w:color w:val="auto"/>
              </w:rPr>
              <w:t>4.375% Senior Notes due 2046 (a)</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8180" w:type="dxa"/>
            <w:vAlign w:val="bottom"/>
          </w:tcPr>
          <w:p>
            <w:pPr>
              <w:ind w:left="3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and unamortized discount (b)</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2,490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0" w:hanging="332"/>
        <w:spacing w:after="0" w:line="25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2021 was $640 million and $629 million as of March 31, 2020 and December 31, 2019, respectively. The fair value of our Senior Notes due 2023 was $565 million and $591 million as of March 31, 2020 and December 31, 2019, respectively. The fair value of our Senior Notes due 2026 was $533 million and $518 million as of March 31, 2020 and December 31, 2019, respectively. The fair value of our Senior Notes due 2046 was $400 million and $431 million as of March 31, 2020 and December 31, 2019, respectively.</w:t>
      </w:r>
    </w:p>
    <w:p>
      <w:pPr>
        <w:spacing w:after="0" w:line="94" w:lineRule="exact"/>
        <w:rPr>
          <w:rFonts w:ascii="Arial" w:cs="Arial" w:eastAsia="Arial" w:hAnsi="Arial"/>
          <w:sz w:val="16"/>
          <w:szCs w:val="16"/>
          <w:color w:val="auto"/>
        </w:rPr>
      </w:pPr>
    </w:p>
    <w:p>
      <w:pPr>
        <w:ind w:left="340" w:right="480" w:hanging="332"/>
        <w:spacing w:after="0" w:line="253"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September 20, 2011, we issued 4.875% Senior Notes of $600 million aggregate principal amount due October 2021 (the "Senior Notes due 2021"). 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9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Senior Notes include covenants that restrict our ability, subject to exceptions, to incur debt secured by liens and engage in sale and leaseback transactions, as well as provide for customary events of default (subject, in certain cases, to receipt of notice of default and/or customary grace and cure periods). We may redeem the Senior Notes, as applicable, in whole or in part, at any time at a redemption price equal to the principal amount of the Senior Notes to be redeemed, plus a make-whole premium. We may also redeem the Senior Notes in certain</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other circumstances, as set forth in the applicable Senior Notes indenture.</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Interest on the Senior Notes due 2021 is payable on April 1 and October 1 of each year. Interest on the Senior Notes due 2023 is payable on March 11 of each year. Interest on the Senior Notes due 2026 and the Senior Notes due 2046 is payable on May 1 and November 1 of each year beginning on May 1, 2017. As of March 31, 2020, we are in compliance with all covenants for the Senior Notes.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2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score.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Environmental, Social and Governance score).</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which will be based on the last four fiscal quarters, and in addition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 As of March 31, 2020, the 2019 Credit Facility was undrawn and we are in compliance with all covenants.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March 31, 2020 and December 31, 2019, none of the Company's $600 million U.S. Dollar commercial paper program was outstanding. We have the ability to continue borrowing under this program going forward in future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$547 million) which may be denominated in a variety of currencies. The maximum issuing balance may be increased in accordance with the Dealer Agreement. As of March 31, 2020 and December 31, 2019, $ 268 million and $276 million of the Company's Euro commercial paper program was outstanding, respectively, at a weighted average interest rate of (0.21)%.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13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Effective October 20, 2016, Xylem entered into an uncommitted short term facility with SEB Bank. The line of credit provides for an aggregate principal amount of up to €110 million (approximately $120 million). The full amount of €100M has been drawn on March 19, 2020 at an interest rate of 0.70% for a duration of three months with a maturity date on June 19, 2020. As of March 31, 2020 and December 31, 2019, $120 million and $0 million were outstanding under the uncommitted short term facility, respectively.</w:t>
      </w:r>
    </w:p>
    <w:p>
      <w:pPr>
        <w:spacing w:after="0" w:line="23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Effective November 29, 2019, Xylem entered into an uncommitted short term facility with BGL BNP Paribas Bank. The line of credit provides for an aggregate principal amount of up to €65 million (approximately $71 million). The full amount of €65M has been drawn on March 19, 2020 at an interest rate of 1.25% for a duration of three months with a maturity date in June 19, 2020. No amounts were outstanding previously under the BGL BNP Paribas Bank short term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3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April 25, 2020, the Company’s subsidiary, Xylem Europe GmbH (the “borrower”) entered into a 12-month €100 million (approximately $109 million) term loan facility the terms of which are set forth in a term loan agreement, among the borrower, the Company, as parent guarantor and ING Bank. The Company has entered into a parent guarantee in favor of ING Bank also dated April 25, 2020 to secure all present and future obligations of the borrower under the Term Loan Agreement. Borrowings accrue interest at a rate equal to the EURIBOR or a replacement base rate, plus an applicable margin based on Xylem's credit rating. Xylem will also pay quarterly fees whether such commitment is used or unused. To date none of the ING Bank term facility has been drawn down upon.</w:t>
      </w:r>
    </w:p>
    <w:p>
      <w:pPr>
        <w:spacing w:after="0" w:line="23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April 30, 2020, the Company entered into a 12-month $50 million term loan facility the terms of which are set forth in a term loan agreement among the Company and Australia and New Zealand Banking Group Limited. Borrowings accrue interest at a rate equal to 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adjusted LIBOR rate plus 1.50%. The full amount of $50 million has been drawn down upon on April 30,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9"/>
                <w:szCs w:val="19"/>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2019</w:t>
            </w: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63"/>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80" w:type="dxa"/>
            <w:vAlign w:val="bottom"/>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63"/>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634"/>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50"/>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periodic benefit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21"/>
                <w:szCs w:val="21"/>
                <w:color w:val="auto"/>
              </w:rPr>
            </w:pPr>
          </w:p>
        </w:tc>
        <w:tc>
          <w:tcPr>
            <w:tcW w:w="1180" w:type="dxa"/>
            <w:vAlign w:val="bottom"/>
          </w:tcPr>
          <w:p>
            <w:pPr>
              <w:jc w:val="center"/>
              <w:ind w:left="674"/>
              <w:spacing w:after="0"/>
              <w:rPr>
                <w:sz w:val="20"/>
                <w:szCs w:val="20"/>
                <w:color w:val="auto"/>
              </w:rPr>
            </w:pPr>
            <w:r>
              <w:rPr>
                <w:rFonts w:ascii="Arial" w:cs="Arial" w:eastAsia="Arial" w:hAnsi="Arial"/>
                <w:sz w:val="18"/>
                <w:szCs w:val="18"/>
                <w:b w:val="1"/>
                <w:bCs w:val="1"/>
                <w:color w:val="auto"/>
                <w:w w:val="99"/>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w:t>
            </w:r>
          </w:p>
        </w:tc>
      </w:tr>
      <w:tr>
        <w:trPr>
          <w:trHeight w:val="263"/>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634"/>
              <w:spacing w:after="0"/>
              <w:rPr>
                <w:sz w:val="20"/>
                <w:szCs w:val="20"/>
                <w:color w:val="auto"/>
              </w:rPr>
            </w:pPr>
            <w:r>
              <w:rPr>
                <w:rFonts w:ascii="Arial" w:cs="Arial" w:eastAsia="Arial" w:hAnsi="Arial"/>
                <w:sz w:val="18"/>
                <w:szCs w:val="18"/>
                <w:b w:val="1"/>
                <w:bCs w:val="1"/>
                <w:color w:val="auto"/>
                <w:w w:val="99"/>
              </w:rPr>
              <w:t>(4)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50"/>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periodic benefit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b w:val="1"/>
                <w:bCs w:val="1"/>
                <w:color w:val="auto"/>
                <w:w w:val="99"/>
              </w:rPr>
              <w:t>6</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8060" w:type="dxa"/>
            <w:vAlign w:val="bottom"/>
          </w:tcPr>
          <w:p>
            <w:pPr>
              <w:ind w:left="120"/>
              <w:spacing w:after="0"/>
              <w:rPr>
                <w:sz w:val="20"/>
                <w:szCs w:val="20"/>
                <w:color w:val="auto"/>
              </w:rPr>
            </w:pPr>
            <w:r>
              <w:rPr>
                <w:rFonts w:ascii="Arial" w:cs="Arial" w:eastAsia="Arial" w:hAnsi="Arial"/>
                <w:sz w:val="18"/>
                <w:szCs w:val="18"/>
                <w:b w:val="1"/>
                <w:bCs w:val="1"/>
                <w:color w:val="auto"/>
              </w:rPr>
              <w:t>Total net periodic benefit cost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b w:val="1"/>
                <w:bCs w:val="1"/>
                <w:color w:val="auto"/>
                <w:w w:val="99"/>
              </w:rPr>
              <w:t>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0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right="240"/>
        <w:spacing w:after="0" w:line="261"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of less than $1 million for the three months ended March 31, 2020 and March 31, 2019,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$12 million and $5 million to our defined benefit plans during the three months ended March 31, 2020 and 2019,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$10 million and $20 million are expected during the remainder of 2020.</w:t>
      </w:r>
    </w:p>
    <w:p>
      <w:pPr>
        <w:spacing w:after="0" w:line="11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During Q1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2021. Included in the Company's Q1 contributions is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$5 million paid to meet the shortfall between the cost of the bulk annuity policy and the plan assets. As a result of the change in assets from a mix of equities and bonds to the bulk annuity, the plan's expected rate of return on assets was reduced to 1.00% at December 31, 2019. The rate at December 31, 2018 was 7.25%. On January 27, 2020, the plan's assets of $336 million were transferred to the insurance company for the purchase of the bulk annuity.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2020:</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1,991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1,866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(375)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2,967</w:t>
            </w:r>
          </w:p>
        </w:tc>
        <w:tc>
          <w:tcPr>
            <w:tcW w:w="0" w:type="dxa"/>
            <w:vAlign w:val="bottom"/>
          </w:tcPr>
          <w:p>
            <w:pPr>
              <w:spacing w:after="0"/>
              <w:rPr>
                <w:sz w:val="1"/>
                <w:szCs w:val="1"/>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Cumulative effect of change in</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4"/>
        </w:trPr>
        <w:tc>
          <w:tcPr>
            <w:tcW w:w="2620" w:type="dxa"/>
            <w:vAlign w:val="bottom"/>
          </w:tcPr>
          <w:p>
            <w:pPr>
              <w:ind w:left="120"/>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50"/>
        </w:trPr>
        <w:tc>
          <w:tcPr>
            <w:tcW w:w="2620" w:type="dxa"/>
            <w:vAlign w:val="bottom"/>
          </w:tcPr>
          <w:p>
            <w:pPr>
              <w:ind w:left="12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35"/>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($0.26 per</w:t>
            </w:r>
          </w:p>
        </w:tc>
        <w:tc>
          <w:tcPr>
            <w:tcW w:w="140" w:type="dxa"/>
            <w:vAlign w:val="bottom"/>
            <w:shd w:val="clear" w:color="auto" w:fill="CCEEFF"/>
          </w:tcPr>
          <w:p>
            <w:pPr>
              <w:spacing w:after="0"/>
              <w:rPr>
                <w:sz w:val="20"/>
                <w:szCs w:val="20"/>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restart"/>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vMerge w:val="restart"/>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p>
        </w:tc>
        <w:tc>
          <w:tcPr>
            <w:tcW w:w="7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64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1,854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(461)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shows the changes in stockholders' equity for the three months ended March 31,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8"/>
        </w:trPr>
        <w:tc>
          <w:tcPr>
            <w:tcW w:w="2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57"/>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1,639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2,782</w:t>
            </w:r>
          </w:p>
        </w:tc>
      </w:tr>
      <w:tr>
        <w:trPr>
          <w:trHeight w:val="250"/>
        </w:trPr>
        <w:tc>
          <w:tcPr>
            <w:tcW w:w="2620" w:type="dxa"/>
            <w:vAlign w:val="bottom"/>
          </w:tcPr>
          <w:p>
            <w:pPr>
              <w:ind w:left="120"/>
              <w:spacing w:after="0"/>
              <w:rPr>
                <w:sz w:val="20"/>
                <w:szCs w:val="20"/>
                <w:color w:val="auto"/>
              </w:rPr>
            </w:pPr>
            <w:r>
              <w:rPr>
                <w:rFonts w:ascii="Arial" w:cs="Arial" w:eastAsia="Arial" w:hAnsi="Arial"/>
                <w:sz w:val="18"/>
                <w:szCs w:val="18"/>
                <w:color w:val="auto"/>
              </w:rPr>
              <w:t>Sale of business</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79</w:t>
            </w: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4"/>
        </w:trPr>
        <w:tc>
          <w:tcPr>
            <w:tcW w:w="2620" w:type="dxa"/>
            <w:vAlign w:val="bottom"/>
          </w:tcPr>
          <w:p>
            <w:pPr>
              <w:ind w:left="12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20</w:t>
            </w:r>
          </w:p>
        </w:tc>
      </w:tr>
      <w:tr>
        <w:trPr>
          <w:trHeight w:val="235"/>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declared ($0.24 per</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50"/>
        </w:trPr>
        <w:tc>
          <w:tcPr>
            <w:tcW w:w="2620" w:type="dxa"/>
            <w:vAlign w:val="bottom"/>
          </w:tcPr>
          <w:p>
            <w:pPr>
              <w:ind w:left="12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63"/>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37"/>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2,808</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Share-based compensation expense was $8 million and $9 million during the three months ended March 31, 2020 and 2019, respectively. The unrecognized compensation expense related to our stock options, restricted stock units and performance share units was $9 million, $29 million and $15 million, respectively, at March 31, 2020 and is expected to be recognized over a weighted average period of 2.3, 2.2 and 2.4 years, respectively. The amount of cash received from the exercise of stock options was $5 million and $4 million for the three months ended March 31, 2020 and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three months ended March 31, 2020</w:t>
      </w:r>
      <w:r>
        <w:rPr>
          <w:rFonts w:ascii="Arial" w:cs="Arial" w:eastAsia="Arial" w:hAnsi="Arial"/>
          <w:sz w:val="16"/>
          <w:szCs w:val="16"/>
          <w:color w:val="auto"/>
        </w:rPr>
        <w:t>:</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Average</w:t>
            </w: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Exercise</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 / Share</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2020</w:t>
            </w:r>
          </w:p>
        </w:tc>
        <w:tc>
          <w:tcPr>
            <w:tcW w:w="14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2,040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48.56</w:t>
            </w:r>
          </w:p>
        </w:tc>
        <w:tc>
          <w:tcPr>
            <w:tcW w:w="12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80.66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41.18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Outstanding at March 31, 2020</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53.72</w:t>
            </w:r>
          </w:p>
        </w:tc>
        <w:tc>
          <w:tcPr>
            <w:tcW w:w="12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Options exercisable at March 31, 2020</w:t>
            </w: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44.45</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Vested and expected to vest as of March 31, 2020</w:t>
            </w:r>
          </w:p>
        </w:tc>
        <w:tc>
          <w:tcPr>
            <w:tcW w:w="14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52.67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1"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three months ended March 31, 2020 was $5.6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2020 grants: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4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22.90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r>
      <w:tr>
        <w:trPr>
          <w:trHeight w:val="250"/>
        </w:trPr>
        <w:tc>
          <w:tcPr>
            <w:tcW w:w="646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4420" w:type="dxa"/>
            <w:vAlign w:val="bottom"/>
          </w:tcPr>
          <w:p>
            <w:pPr>
              <w:jc w:val="right"/>
              <w:ind w:right="70"/>
              <w:spacing w:after="0"/>
              <w:rPr>
                <w:sz w:val="20"/>
                <w:szCs w:val="20"/>
                <w:color w:val="auto"/>
              </w:rPr>
            </w:pPr>
            <w:r>
              <w:rPr>
                <w:rFonts w:ascii="Arial" w:cs="Arial" w:eastAsia="Arial" w:hAnsi="Arial"/>
                <w:sz w:val="18"/>
                <w:szCs w:val="18"/>
                <w:b w:val="1"/>
                <w:bCs w:val="1"/>
                <w:color w:val="auto"/>
              </w:rPr>
              <w:t>1.15</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r>
      <w:tr>
        <w:trPr>
          <w:trHeight w:val="263"/>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yield</w:t>
            </w:r>
          </w:p>
        </w:tc>
        <w:tc>
          <w:tcPr>
            <w:tcW w:w="4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1.29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r>
      <w:tr>
        <w:trPr>
          <w:trHeight w:val="250"/>
        </w:trPr>
        <w:tc>
          <w:tcPr>
            <w:tcW w:w="6460" w:type="dxa"/>
            <w:vAlign w:val="bottom"/>
          </w:tcPr>
          <w:p>
            <w:pPr>
              <w:ind w:left="120"/>
              <w:spacing w:after="0"/>
              <w:rPr>
                <w:sz w:val="20"/>
                <w:szCs w:val="20"/>
                <w:color w:val="auto"/>
              </w:rPr>
            </w:pPr>
            <w:r>
              <w:rPr>
                <w:rFonts w:ascii="Arial" w:cs="Arial" w:eastAsia="Arial" w:hAnsi="Arial"/>
                <w:sz w:val="18"/>
                <w:szCs w:val="18"/>
                <w:color w:val="auto"/>
              </w:rPr>
              <w:t>Expected term (in years)</w:t>
            </w:r>
          </w:p>
        </w:tc>
        <w:tc>
          <w:tcPr>
            <w:tcW w:w="44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spacing w:after="0"/>
              <w:rPr>
                <w:sz w:val="21"/>
                <w:szCs w:val="21"/>
                <w:color w:val="auto"/>
              </w:rPr>
            </w:pPr>
          </w:p>
        </w:tc>
      </w:tr>
      <w:tr>
        <w:trPr>
          <w:trHeight w:val="263"/>
        </w:trPr>
        <w:tc>
          <w:tcPr>
            <w:tcW w:w="6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fair value / share</w:t>
            </w:r>
          </w:p>
        </w:tc>
        <w:tc>
          <w:tcPr>
            <w:tcW w:w="4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16.03</w:t>
            </w:r>
          </w:p>
        </w:tc>
        <w:tc>
          <w:tcPr>
            <w:tcW w:w="360" w:type="dxa"/>
            <w:vAlign w:val="bottom"/>
            <w:shd w:val="clear" w:color="auto" w:fill="CCEEFF"/>
          </w:tcPr>
          <w:p>
            <w:pPr>
              <w:spacing w:after="0"/>
              <w:rPr>
                <w:sz w:val="22"/>
                <w:szCs w:val="22"/>
                <w:color w:val="auto"/>
              </w:rPr>
            </w:pPr>
          </w:p>
        </w:tc>
      </w:tr>
    </w:tbl>
    <w:p>
      <w:pPr>
        <w:spacing w:after="0" w:line="107"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United States Treasury yield curve in effect at the time of option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following is a summary of restricted stock unit activity for the three months ended March 31, 2020</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5"/>
                <w:szCs w:val="15"/>
                <w:color w:val="auto"/>
              </w:rPr>
            </w:pPr>
          </w:p>
        </w:tc>
        <w:tc>
          <w:tcPr>
            <w:tcW w:w="138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50"/>
        </w:trPr>
        <w:tc>
          <w:tcPr>
            <w:tcW w:w="80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5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50"/>
        </w:trPr>
        <w:tc>
          <w:tcPr>
            <w:tcW w:w="80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75"/>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78"/>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63"/>
        </w:trPr>
        <w:tc>
          <w:tcPr>
            <w:tcW w:w="8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75"/>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at March 31, 2020</w:t>
            </w:r>
          </w:p>
        </w:tc>
        <w:tc>
          <w:tcPr>
            <w:tcW w:w="15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75.34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three months ended March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The fair value of the ROIC performance share units is equal to the closing share price on the date of the grant:</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at January 1, 2020</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Vested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Forfeited</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Outstanding at March 31, 2020</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4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Share units</w:t>
            </w:r>
          </w:p>
        </w:tc>
        <w:tc>
          <w:tcPr>
            <w:tcW w:w="240" w:type="dxa"/>
            <w:vAlign w:val="bottom"/>
          </w:tcPr>
          <w:p>
            <w:pPr>
              <w:spacing w:after="0"/>
              <w:rPr>
                <w:sz w:val="11"/>
                <w:szCs w:val="11"/>
                <w:color w:val="auto"/>
              </w:rPr>
            </w:pPr>
          </w:p>
        </w:tc>
        <w:tc>
          <w:tcPr>
            <w:tcW w:w="134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37"/>
        </w:trPr>
        <w:tc>
          <w:tcPr>
            <w:tcW w:w="1400" w:type="dxa"/>
            <w:vAlign w:val="bottom"/>
          </w:tcPr>
          <w:p>
            <w:pPr>
              <w:jc w:val="right"/>
              <w:ind w:right="75"/>
              <w:spacing w:after="0"/>
              <w:rPr>
                <w:sz w:val="20"/>
                <w:szCs w:val="20"/>
                <w:color w:val="auto"/>
              </w:rPr>
            </w:pPr>
            <w:r>
              <w:rPr>
                <w:rFonts w:ascii="Arial" w:cs="Arial" w:eastAsia="Arial" w:hAnsi="Arial"/>
                <w:sz w:val="18"/>
                <w:szCs w:val="18"/>
                <w:color w:val="auto"/>
              </w:rPr>
              <w:t>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56"/>
        </w:trPr>
        <w:tc>
          <w:tcPr>
            <w:tcW w:w="1400" w:type="dxa"/>
            <w:vAlign w:val="bottom"/>
          </w:tcPr>
          <w:p>
            <w:pPr>
              <w:jc w:val="right"/>
              <w:ind w:right="75"/>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2"/>
                <w:szCs w:val="22"/>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57"/>
        </w:trPr>
        <w:tc>
          <w:tcPr>
            <w:tcW w:w="140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2"/>
                <w:szCs w:val="22"/>
                <w:color w:val="auto"/>
              </w:rPr>
            </w:pPr>
          </w:p>
        </w:tc>
        <w:tc>
          <w:tcPr>
            <w:tcW w:w="1340" w:type="dxa"/>
            <w:vAlign w:val="bottom"/>
          </w:tcPr>
          <w:p>
            <w:pPr>
              <w:jc w:val="right"/>
              <w:ind w:right="78"/>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63"/>
        </w:trPr>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50"/>
        </w:trPr>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76.60</w:t>
            </w:r>
          </w:p>
        </w:tc>
        <w:tc>
          <w:tcPr>
            <w:tcW w:w="0" w:type="dxa"/>
            <w:vAlign w:val="bottom"/>
          </w:tcPr>
          <w:p>
            <w:pPr>
              <w:spacing w:after="0"/>
              <w:rPr>
                <w:sz w:val="1"/>
                <w:szCs w:val="1"/>
                <w:color w:val="auto"/>
              </w:rPr>
            </w:pPr>
          </w:p>
        </w:tc>
      </w:tr>
      <w:tr>
        <w:trPr>
          <w:trHeight w:val="27"/>
        </w:trPr>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-864870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-530860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-205105</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40" w:space="720"/>
            <w:col w:w="2980"/>
          </w:cols>
          <w:pgMar w:left="320" w:top="11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39"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following is a summary of our Total Shareholder Return ("TSR") performance share unit grants for the three months ended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1"/>
                <w:szCs w:val="11"/>
                <w:color w:val="auto"/>
              </w:rPr>
            </w:pPr>
          </w:p>
        </w:tc>
        <w:tc>
          <w:tcPr>
            <w:tcW w:w="13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260" w:type="dxa"/>
            <w:vAlign w:val="bottom"/>
          </w:tcPr>
          <w:p>
            <w:pPr>
              <w:spacing w:after="0"/>
              <w:rPr>
                <w:sz w:val="15"/>
                <w:szCs w:val="15"/>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b w:val="1"/>
                <w:bCs w:val="1"/>
                <w:color w:val="auto"/>
              </w:rPr>
              <w:t>Fair Value /Share</w:t>
            </w:r>
          </w:p>
        </w:tc>
        <w:tc>
          <w:tcPr>
            <w:tcW w:w="0" w:type="dxa"/>
            <w:vAlign w:val="bottom"/>
          </w:tcPr>
          <w:p>
            <w:pPr>
              <w:spacing w:after="0"/>
              <w:rPr>
                <w:sz w:val="1"/>
                <w:szCs w:val="1"/>
                <w:color w:val="auto"/>
              </w:rPr>
            </w:pPr>
          </w:p>
        </w:tc>
      </w:tr>
      <w:tr>
        <w:trPr>
          <w:trHeight w:val="250"/>
        </w:trPr>
        <w:tc>
          <w:tcPr>
            <w:tcW w:w="82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Outstanding at January 1, 2020</w:t>
            </w:r>
          </w:p>
        </w:tc>
        <w:tc>
          <w:tcPr>
            <w:tcW w:w="14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50"/>
        </w:trPr>
        <w:tc>
          <w:tcPr>
            <w:tcW w:w="82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105.66</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Market Condition Achieved (a)</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50"/>
        </w:trPr>
        <w:tc>
          <w:tcPr>
            <w:tcW w:w="8260" w:type="dxa"/>
            <w:vAlign w:val="bottom"/>
          </w:tcPr>
          <w:p>
            <w:pPr>
              <w:ind w:left="1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7"/>
              <w:spacing w:after="0"/>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263"/>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b w:val="1"/>
                <w:bCs w:val="1"/>
                <w:color w:val="auto"/>
              </w:rPr>
              <w:t>Outstanding at March 31, 2020</w:t>
            </w: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97.97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200" w:firstLine="8"/>
        <w:spacing w:after="0" w:line="260" w:lineRule="auto"/>
        <w:tabs>
          <w:tab w:leader="none" w:pos="243"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2020 grants: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3"/>
        </w:trPr>
        <w:tc>
          <w:tcPr>
            <w:tcW w:w="6100" w:type="dxa"/>
            <w:vAlign w:val="bottom"/>
          </w:tcPr>
          <w:p>
            <w:pPr>
              <w:ind w:left="120"/>
              <w:spacing w:after="0"/>
              <w:rPr>
                <w:sz w:val="20"/>
                <w:szCs w:val="20"/>
                <w:color w:val="auto"/>
              </w:rPr>
            </w:pPr>
            <w:r>
              <w:rPr>
                <w:rFonts w:ascii="Arial" w:cs="Arial" w:eastAsia="Arial" w:hAnsi="Arial"/>
                <w:sz w:val="18"/>
                <w:szCs w:val="18"/>
                <w:color w:val="auto"/>
              </w:rPr>
              <w:t>Risk-free interest rate</w:t>
            </w:r>
          </w:p>
        </w:tc>
        <w:tc>
          <w:tcPr>
            <w:tcW w:w="46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three months ended March 31, 2020 and March 31, 2019 the Company repurchased approximately 0.8 million shares of common stock for $60 million and approximately 0.5 million shares of common stock for $39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96"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There were approximately</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0.7 million shares repurchased for $50 million under this program for the three months ended March 31, 2020. For the three months ended March 31, 2019, we repurchased approximately 0.3 million shares for $25 million. There are up to $288 million in shares that may still be purchased under this plan as of March 31, 2020.</w:t>
      </w:r>
    </w:p>
    <w:p>
      <w:pPr>
        <w:spacing w:after="0" w:line="9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Aside from the aforementioned repurchase program, we repurchased approximately 0.1 million shares and approximately 0.2 million shares for approximately $10 million and approximately $14 million for the three months ended March 31, 2020 and 2019, respectively, in relation to settlement of employee tax withholding obligations due as a result of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tcPr>
          <w:p>
            <w:pPr>
              <w:spacing w:after="0"/>
              <w:rPr>
                <w:sz w:val="17"/>
                <w:szCs w:val="17"/>
                <w:color w:val="auto"/>
              </w:rPr>
            </w:pP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6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21"/>
                <w:szCs w:val="21"/>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28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9"/>
                <w:szCs w:val="19"/>
                <w:color w:val="auto"/>
              </w:rPr>
            </w:pPr>
          </w:p>
        </w:tc>
        <w:tc>
          <w:tcPr>
            <w:tcW w:w="128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3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three months ended March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5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Instruments</w:t>
            </w:r>
          </w:p>
        </w:tc>
        <w:tc>
          <w:tcPr>
            <w:tcW w:w="32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29</w:t>
            </w:r>
          </w:p>
        </w:tc>
      </w:tr>
      <w:tr>
        <w:trPr>
          <w:trHeight w:val="263"/>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Amortization of prior service cost and net actuarial loss 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3"/>
        </w:trPr>
        <w:tc>
          <w:tcPr>
            <w:tcW w:w="5240" w:type="dxa"/>
            <w:vAlign w:val="bottom"/>
          </w:tcPr>
          <w:p>
            <w:pPr>
              <w:ind w:left="120"/>
              <w:spacing w:after="0" w:line="202" w:lineRule="exact"/>
              <w:rPr>
                <w:sz w:val="20"/>
                <w:szCs w:val="20"/>
                <w:color w:val="auto"/>
              </w:rPr>
            </w:pPr>
            <w:r>
              <w:rPr>
                <w:rFonts w:ascii="Arial" w:cs="Arial" w:eastAsia="Arial" w:hAnsi="Arial"/>
                <w:sz w:val="18"/>
                <w:szCs w:val="18"/>
                <w:color w:val="auto"/>
              </w:rPr>
              <w:t>postretirement benefit plans into other non-operating income</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50"/>
        </w:trPr>
        <w:tc>
          <w:tcPr>
            <w:tcW w:w="5240" w:type="dxa"/>
            <w:vAlign w:val="bottom"/>
          </w:tcPr>
          <w:p>
            <w:pPr>
              <w:ind w:left="12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29"/>
        </w:trPr>
        <w:tc>
          <w:tcPr>
            <w:tcW w:w="5240" w:type="dxa"/>
            <w:vAlign w:val="bottom"/>
          </w:tcPr>
          <w:p>
            <w:pPr>
              <w:ind w:left="120"/>
              <w:spacing w:after="0"/>
              <w:rPr>
                <w:sz w:val="20"/>
                <w:szCs w:val="20"/>
                <w:color w:val="auto"/>
              </w:rPr>
            </w:pPr>
            <w:r>
              <w:rPr>
                <w:rFonts w:ascii="Arial" w:cs="Arial" w:eastAsia="Arial" w:hAnsi="Arial"/>
                <w:sz w:val="18"/>
                <w:szCs w:val="18"/>
                <w:color w:val="auto"/>
              </w:rPr>
              <w:t>Reclassification of unrealized loss on derivative hedge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5240" w:type="dxa"/>
            <w:vAlign w:val="bottom"/>
          </w:tcPr>
          <w:p>
            <w:pPr>
              <w:ind w:left="12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35"/>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(316)</w:t>
            </w:r>
          </w:p>
        </w:tc>
      </w:tr>
      <w:tr>
        <w:trPr>
          <w:trHeight w:val="27"/>
        </w:trPr>
        <w:tc>
          <w:tcPr>
            <w:tcW w:w="5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environmental matters, tax, intellectual property matters, acquisitions or divestitures, product liability and personal injury claims, privacy, employment, labor and pension matters, government contract issues and commercial or contractual disputes.</w:t>
      </w:r>
    </w:p>
    <w:p>
      <w:pPr>
        <w:sectPr>
          <w:pgSz w:w="11900" w:h="16838" w:orient="portrait"/>
          <w:cols w:equalWidth="0" w:num="1">
            <w:col w:w="11220"/>
          </w:cols>
          <w:pgMar w:left="320" w:top="11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type w:val="continuous"/>
        </w:sectPr>
      </w:pPr>
    </w:p>
    <w:bookmarkStart w:id="25" w:name="page26"/>
    <w:bookmarkEnd w:id="25"/>
    <w:p>
      <w:pPr>
        <w:ind w:right="80"/>
        <w:spacing w:after="0" w:line="252" w:lineRule="auto"/>
        <w:rPr>
          <w:sz w:val="20"/>
          <w:szCs w:val="20"/>
          <w:color w:val="auto"/>
        </w:rPr>
      </w:pPr>
      <w:r>
        <w:rPr>
          <w:rFonts w:ascii="Arial" w:cs="Arial" w:eastAsia="Arial" w:hAnsi="Arial"/>
          <w:sz w:val="18"/>
          <w:szCs w:val="18"/>
          <w:color w:val="auto"/>
        </w:rPr>
        <w:t>From time to time, claims may be asserted against Xylem alleging injury caused by any of our products resulting from asbestos exposure. We believe there are numerous legal defenses available for such claims and would defend ourselves vigorously. Pursuant to the Distribution Agreement among ITT Corporation (now ITT LLC), Exelis and Xylem, ITT Corporation (now ITT LLC) has an obligation to indemnify, defend and hold Xylem harmless for asbestos product liability matters, including settlements, judgments, and legal defense costs associated with all pending and future claims that may arise from past sales of ITT’s legacy products. We believe ITT Corporation (now ITT LLC) remains a substantial entity with sufficient financial resources to honor its obligations to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$3 million and $5 million as of March 31, 2020 and December 31, 2019, respectively, for these general legal matters.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part of our 2011 spin-off from our former parent, ITT Corporation (now ITT LLC), Exelis Inc. and Xylem will indemnify, defend and hold harmless each of the other parties with respect to such parties’ assumed or retained liabilities under the Distribution Agreement and breaches of the Distribution Agreement or related spin agreements. The former parent’s indemnification obligations include asserted and unasserted asbestos and silica liability claims that relate to the presence or alleged presence of asbestos or silica in products manufactured, repaired or sold prior to October 31, 2011, the Distribution Date, subject to limited exceptions with respect to certain employee claims, or in the structure or material of any building or facility, subject to exceptions with respect to employee claims relating to Xylem buildings or facilities. The indemnification associated with pending and future asbestos claims does not expire. Xylem has not recorded a liability for material matters for which we expect to be indemnified by the former parent or Exelis Inc. through the Distribution Agreement and we are not aware of any claims or other circumstances that would give rise to material payments from us under such indemnifications. On May 29, 2015, Harris Inc. acquired Exelis. As the parent of Exelis, Harris Inc. is responsible for Exelis’ indemnification obligations under the Distribution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March 31, 2020 and December 31, 2019, the amount of surety bonds, bank guarantees, stand-by letters of credit and insurance letters of credit was $330 million and $340 million,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United States Environmental Protection Agency, and from similar state and foreign environmental agencies, that a number of sites formerly or currently owned and/or operated by Xylem or for which we are responsible under the Distribution Agreement,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6" w:name="page27"/>
    <w:bookmarkEnd w:id="26"/>
    <w:p>
      <w:pPr>
        <w:ind w:right="780"/>
        <w:spacing w:after="0" w:line="261" w:lineRule="auto"/>
        <w:rPr>
          <w:sz w:val="20"/>
          <w:szCs w:val="20"/>
          <w:color w:val="auto"/>
        </w:rPr>
      </w:pPr>
      <w:r>
        <w:rPr>
          <w:rFonts w:ascii="Arial" w:cs="Arial" w:eastAsia="Arial" w:hAnsi="Arial"/>
          <w:sz w:val="18"/>
          <w:szCs w:val="18"/>
          <w:color w:val="auto"/>
        </w:rPr>
        <w:t>environmental expenditures are recorded on an undiscounted basis. We have estimated and accrued $3 million and $3 million as of March 31, 2020 and December 31, 2019, respectively, for environmental matters.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39"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 and specific non-performance. The table below provides the changes in our product warranty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2019</w:t>
            </w: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w:t>
            </w:r>
          </w:p>
        </w:tc>
      </w:tr>
      <w:tr>
        <w:trPr>
          <w:trHeight w:val="250"/>
        </w:trPr>
        <w:tc>
          <w:tcPr>
            <w:tcW w:w="8180" w:type="dxa"/>
            <w:vAlign w:val="bottom"/>
          </w:tcPr>
          <w:p>
            <w:pPr>
              <w:ind w:left="12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263"/>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50"/>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r>
      <w:tr>
        <w:trPr>
          <w:trHeight w:val="275"/>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Warranty accrual - March 31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Our business has three reportable segments: Water Infrastructure, Applied Water and Measurement &amp; Control Solutions. When determining the reportable segments, the Company aggregated operating segments based on their similar economic and operating characteristics.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7" w:name="page28"/>
    <w:bookmarkEnd w:id="27"/>
    <w:p>
      <w:pPr>
        <w:ind w:right="240"/>
        <w:spacing w:after="0" w:line="261"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(see Note 1 in the 2019 Annual Report). The following tables contain financial information for each reportable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2"/>
        </w:trPr>
        <w:tc>
          <w:tcPr>
            <w:tcW w:w="80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1,123</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Other non-operating (expense) income, net</w:t>
            </w:r>
          </w:p>
        </w:tc>
        <w:tc>
          <w:tcPr>
            <w:tcW w:w="3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5"/>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8060" w:type="dxa"/>
            <w:vAlign w:val="bottom"/>
          </w:tcPr>
          <w:p>
            <w:pPr>
              <w:ind w:left="12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8060" w:type="dxa"/>
            <w:vAlign w:val="bottom"/>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80" w:hanging="332"/>
        <w:spacing w:after="0" w:line="253"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93"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8" w:name="page29"/>
    <w:bookmarkEnd w:id="28"/>
    <w:p>
      <w:pPr>
        <w:ind w:left="1580" w:right="1640" w:hanging="1551"/>
        <w:spacing w:after="0" w:line="271" w:lineRule="auto"/>
        <w:tabs>
          <w:tab w:leader="none" w:pos="15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7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 Except as otherwise indicated or unless the context otherwise requires, "Xylem," "we," "us," "our" and the "Company" refer to Xylem Inc. and its subsidiaries.</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This Report contains information that may constitute “forward-looking statements" within the meaning of the Private Securities Litigation Act of 1995. Forward-looking statements by their nature address matters that are, to different degrees, uncertain. Generally, the words “anticipate,” “estimate,” “expect,” “project,” “intend,” “plan,” “forecast,” “believe,” “target,” “will,” “could,” “would,” “should” and similar expressions identify forward-looking statements. However, the absence of these words or similar expressions does not mean that a statement is not forward-looking. These forward-looking statements include any statements that are not historical in nature, including any statements about the capitalization of the Company, the Company’s restructuring and realignment plans, future strategic plans and other statements that describe the Company’s business strategy, outlook, objectives, plans, intentions or goals. All statements that address operating or financial performance, events or developments that we expect or anticipate will occur in the future - including statements relating to orders, revenues, operating margins and earnings per share growth, and statements expressing general views about future operating results - are forward-looking statements. Forward-looking statements involve known and unknown risks, uncertainties and other important factors that could cause actual results to differ materially from those expressed or implied in, or reasonably inferred from, such forward-looking statements. Many of these risks and uncertainties are currently amplified by and may continue to be amplified by, or in the future may be amplified by, the novel coronavirus (COVID-19) pandemic.</w:t>
      </w:r>
    </w:p>
    <w:p>
      <w:pPr>
        <w:spacing w:after="0" w:line="218"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Factors that could cause results to differ materially from those anticipated include: overall economic and business conditions; uncertainty of the magnitude, duration, geographic reach and impact on the global economy of the COVID-19 pandemic; the current, and uncertain future, impact of the COVID-19 pandemic on our business, growth, projections, financial condition, operations, cash flows, and liquidity, including the impact of adverse economic conditions caused by the COVID-19 pandemic on our performance or customer markets; actual or potential other epidemics, pandemics or global health crises; geopolitical and other risks associated with our international operations, including military actions, protectionism, economic sanctions or trade barriers including tariffs and embargoes that could affect customer markets and our business, and non-compliance with laws, including foreign corrupt practice laws, data privacy, export and import laws and competition laws; potential for unexpected cancellations or delays of customer orders in our reported backlog; our exposure to fluctuations in foreign currency exchange rates; disruption, competition and pricing pressures in the markets we serve; industrial, governmental and private sector spending; the strength of housing and related markets; weather conditions; ability to retain and attract talent and key members of management; our relationship with and the performance of our supply chain including channel partners; our ability to successfully identify, complete and integrate acquisitions; our ability to borrow or to refinance our existing indebtedness and availability of liquidity sufficient to meet our needs; uncertainty from the expected discontinuance of LIBOR and transition to any other interest rate benchmark; changes in the value of goodwill or intangible assets; risks relating to product defects, product security, product liability and recalls; claims or investigations by governmental or regulatory bodies; cybersecurity attacks, breaches or other disruptions of information technology systems on which we rely; our sustainability initiatives; litigation and contingent liabilities; and other factors set forth under “Item 1A. Risk Factors” in our Annual Report on Form 10-K for the year ended December 31, 2019 ("2019 Annual Report") and with subsequent filings we make with the Securities and Exchange Commission ("SEC").</w:t>
      </w:r>
    </w:p>
    <w:p>
      <w:pPr>
        <w:spacing w:after="0" w:line="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All forward-looking statements made herein are based on information currently available to the Company as of the date of this Report. The Company undertakes no obligation to publicly update or revise any forward-looking statements, whether as a result of new information, future events or otherwise, except as required by law.</w:t>
      </w:r>
    </w:p>
    <w:p>
      <w:pPr>
        <w:spacing w:after="0" w:line="68"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Our quarterly financial periods end on the Saturday closest to the last day of the calendar quarter, except for the fourth quarter which ends on December 31. For ease of presentation, the reporting periods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2" w:lineRule="exact"/>
        <w:rPr>
          <w:sz w:val="20"/>
          <w:szCs w:val="20"/>
          <w:color w:val="auto"/>
        </w:rPr>
      </w:pPr>
    </w:p>
    <w:p>
      <w:pPr>
        <w:ind w:left="660" w:right="4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9"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We also offer smart lighting solutions that improve efficiency and public safety efforts across communities.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3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global outbreak of the COVID-19 disease was declared a pandemic by the World Health Organization and a national emergency by the U.S. Government in March 2020 and has created significant global volatility, uncertainty and economic disruption. The global spread of the COVID-19 pandemic has curtailed the movement of people, goods and services worldwide, including in many of the regions where we sell our products and services and conduct operations.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section summarizes the most significant impacts related to the COVID-19 pandemic that we have experienced to date, and we have included additional details as applicable throughout other sections of this report. Many of these impacts did not begin to be felt broadly across our businesses until the latter part of the first quarter of 2020. In response to the COVID-19 pandemic, Xylem deployed a COVID-19 Response Team, responsible for Xylem's Pandemic Plan, which is designed to aid in prevention, preparedness, response and recovery at our sites.</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Depending on the severity, magnitude and duration of the COVID-19 pandemic and its economic consequences, we anticipate that it will become more difficult to distinguish specific aspects of our operational and financial performance that are most directly related to COVID-19 from those that are more broadly influenced by ongoing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right="1060"/>
        <w:spacing w:after="0" w:line="246" w:lineRule="auto"/>
        <w:rPr>
          <w:sz w:val="20"/>
          <w:szCs w:val="20"/>
          <w:color w:val="auto"/>
        </w:rPr>
      </w:pPr>
      <w:r>
        <w:rPr>
          <w:rFonts w:ascii="Arial" w:cs="Arial" w:eastAsia="Arial" w:hAnsi="Arial"/>
          <w:sz w:val="18"/>
          <w:szCs w:val="18"/>
          <w:color w:val="auto"/>
        </w:rPr>
        <w:t>macroeconomic, market and industry dynamics that may also be, to varying degrees, related to the COVID-19 pandemic and its consequences.</w:t>
      </w:r>
    </w:p>
    <w:p>
      <w:pPr>
        <w:spacing w:after="0" w:line="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Public health officials have recommended, or governments have mandated, precautions to mitigate the spread of COVID-19, including stay at home or similar measures in many of the areas in which we operate. Operationally, our production facilities located in Latin America, Europe and Asia Pacific have experienced, or continue to experience reduced production levels due to such measures. Those production facilities that experienced temporarily closures have been or will be reopened in the near term.</w:t>
      </w:r>
    </w:p>
    <w:p>
      <w:pPr>
        <w:spacing w:after="0" w:line="9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COVID-19 pandemic is also adversely affecting, and is expected to continue to adversely affect, our operations, supply chains and businesses. Closures and reduced facility production levels have had short term impacts to our internal supply chain. We expect to continue to experience unpredictable interruptions at our internal and external suppliers.</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To date, the most significant impacts were experienced in volume reductions ranging across all segments and concentrated in Asia Pacific, particularly in China and India, and to a lesser extent, the United States and Europe.</w:t>
      </w:r>
    </w:p>
    <w:p>
      <w:pPr>
        <w:spacing w:after="0" w:line="75"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Future demand for our products and services is uncertain as the COVID-19 pandemic has also had an adverse impact on many of the customers we serve. As such, we may experience decreased or delayed demand for our products and services, as well as changes in the payment patterns of our customers. At the end of the first quarter, total backlog increased 4.8% as compared to December 31, 2019 and cancellations were materially consistent with the prior year, with no material cancellations to date. In many cases, Xylem’s products and services are considered "essential services" under various governmental mandates, and as a result we did not experience significant issues in our ability to distribute products or services, aside from customer-driven project delays. However, because the severity, magnitude and duration of the COVID-19 pandemic and its economic consequences are uncertain, rapidly changing and difficult to predict, the pandemic’s ongoing and future impacts on our business, financial condition, results of operations, and stock price remains uncertain and difficult to predict, but we expect our results to continue to be adversely impacted beyond the quarter ending March 31, 2020.</w:t>
      </w:r>
    </w:p>
    <w:p>
      <w:pPr>
        <w:spacing w:after="0" w:line="3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Xylem has taken measures to protect the health and safety of our employees and work with our customers to minimize potential disruptions. We have implemented a support pay program for employees impacted by COVID-19, and an essential services premium pay program for the benefit of employees whose roles are classified as an “essential service” and, as such, are required to work either onsite at a Xylem facility or in the field supporting customers during periods of mandated stay at home or similar measures. Xylem Watermark, our corporate social responsibility program, is also supporting our communities in addressing the challenges posed by this global pandemic through its partnership with Americares and UNICEF, as well as the expansion of the Partner Community Grants program and other philanthropic commitments.</w:t>
      </w:r>
    </w:p>
    <w:p>
      <w:pPr>
        <w:spacing w:after="0" w:line="9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Many of our offices globally have transitioned to a fully remote work from home status, with no material disruption to operations, financial reporting systems, internal control over financial reporting or disclosure controls and procedures.</w:t>
      </w:r>
    </w:p>
    <w:p>
      <w:pPr>
        <w:spacing w:after="0" w:line="89"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will continue to work with our customers, employees, suppliers and communities to address the impacts of COVID-19. We continue to assess possible implications to our business, supply chain and customers, and to take necessary actions in an effort to mitigate adverse consequences.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these items are described in further detail under 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6"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Xylem reported revenue for the first quarter of 2020 of $ 1,123 million, a decrease of 9.2% compared to $1,237 million reported in the first quarter of 2019. On a constant currency basis, revenue decreased by $95 million, or 7.7%, driven entirely by organic declines across all segments and all end markets. While organic revenue decline in the first quarter was anticipated, the decline was much greater than expected as our business was impacted by the global acceleration of the COVID-19 pandemic across all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income of $61 million (margin of 5.4%) during the first quarter of 2020, as compared to $109 million (margin of</w:t>
      </w:r>
    </w:p>
    <w:p>
      <w:pPr>
        <w:spacing w:after="0" w:line="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8.8%) in 2019. Operating income in the first quarter of 2020 benefited from decreases in restructuring and realignment costs of $11 million and special charges of $4 million as compared to the first quarter of 2019. Excluding the impact of these items, adjusted operating income was $70 million (adjusted margin of 6.2%) during the first quarter of 2020 as compared to $133 million (adjusted margin of 10.8%) in 2019. The decrease in adjusted operating margin was primarily due to unfavorable volume, impacted significantly by COVID-19, cost inflation, increased cost of quality, unfavorable mix and increased spending on strategic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1" w:name="page32"/>
    <w:bookmarkEnd w:id="31"/>
    <w:p>
      <w:pPr>
        <w:ind w:right="660"/>
        <w:spacing w:after="0" w:line="261" w:lineRule="auto"/>
        <w:rPr>
          <w:sz w:val="20"/>
          <w:szCs w:val="20"/>
          <w:color w:val="auto"/>
        </w:rPr>
      </w:pPr>
      <w:r>
        <w:rPr>
          <w:rFonts w:ascii="Arial" w:cs="Arial" w:eastAsia="Arial" w:hAnsi="Arial"/>
          <w:sz w:val="18"/>
          <w:szCs w:val="18"/>
          <w:color w:val="auto"/>
        </w:rPr>
        <w:t>investments. These impacts were partially offset by cost reductions from our global procurement and productivity initiatives, including restructuring savings, and price realization.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March 31, 2020 include the following:</w:t>
      </w:r>
    </w:p>
    <w:p>
      <w:pPr>
        <w:spacing w:after="0" w:line="117" w:lineRule="exact"/>
        <w:rPr>
          <w:sz w:val="20"/>
          <w:szCs w:val="20"/>
          <w:color w:val="auto"/>
        </w:rPr>
      </w:pPr>
    </w:p>
    <w:p>
      <w:pPr>
        <w:ind w:left="340" w:right="50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of $1,261 million, down 4.1% from $1,315 million in the prior year, and down 2.4% on an organic basis across all segments, heavily impacted by the COVID-19 pandemic.</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per share of $0.21, down 51.2% when compared to the prior year ($0.23, down 55.8% on an adjusted basis).</w:t>
      </w:r>
    </w:p>
    <w:p>
      <w:pPr>
        <w:spacing w:after="0" w:line="117"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cash flow used by operating activities of $2 million for the three months ended March 31, 2020, down $85 million from the prior year. Negative free cash flow of $53 million, down $67 million from the prior year.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items to represent non-GAAP measures as well as the related reconciling items to the most directly comparable measure calculated and presented in accordance with GAAP. The non-GAAP measures may not be comparable to similarly titled measures reported by other companies, to be key performance indicators:</w:t>
      </w:r>
    </w:p>
    <w:p>
      <w:pPr>
        <w:spacing w:after="0" w:line="102" w:lineRule="exact"/>
        <w:rPr>
          <w:sz w:val="20"/>
          <w:szCs w:val="20"/>
          <w:color w:val="auto"/>
        </w:rPr>
      </w:pPr>
    </w:p>
    <w:p>
      <w:pPr>
        <w:ind w:left="660" w:right="260" w:hanging="328"/>
        <w:spacing w:after="0" w:line="25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97"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2"/>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r>
      <w:tr>
        <w:trPr>
          <w:trHeight w:val="20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auto"/>
            </w:tcBorders>
          </w:tcPr>
          <w:p>
            <w:pPr>
              <w:spacing w:after="0"/>
              <w:rPr>
                <w:sz w:val="18"/>
                <w:szCs w:val="18"/>
                <w:color w:val="auto"/>
              </w:rPr>
            </w:pPr>
          </w:p>
        </w:tc>
      </w:tr>
      <w:tr>
        <w:trPr>
          <w:trHeight w:val="25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&amp;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0.21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0.43</w:t>
            </w:r>
          </w:p>
        </w:tc>
      </w:tr>
      <w:tr>
        <w:trPr>
          <w:trHeight w:val="250"/>
        </w:trPr>
        <w:tc>
          <w:tcPr>
            <w:tcW w:w="7060" w:type="dxa"/>
            <w:vAlign w:val="bottom"/>
          </w:tcPr>
          <w:p>
            <w:pPr>
              <w:ind w:left="120"/>
              <w:spacing w:after="0"/>
              <w:rPr>
                <w:sz w:val="20"/>
                <w:szCs w:val="20"/>
                <w:color w:val="auto"/>
              </w:rPr>
            </w:pPr>
            <w:r>
              <w:rPr>
                <w:rFonts w:ascii="Arial" w:cs="Arial" w:eastAsia="Arial" w:hAnsi="Arial"/>
                <w:sz w:val="18"/>
                <w:szCs w:val="18"/>
                <w:color w:val="auto"/>
              </w:rPr>
              <w:t>Restructuring and realignment, net of tax of $2 and $4</w:t>
            </w:r>
          </w:p>
        </w:tc>
        <w:tc>
          <w:tcPr>
            <w:tcW w:w="280" w:type="dxa"/>
            <w:vAlign w:val="bottom"/>
          </w:tcPr>
          <w:p>
            <w:pPr>
              <w:spacing w:after="0"/>
              <w:rPr>
                <w:sz w:val="21"/>
                <w:szCs w:val="21"/>
                <w:color w:val="auto"/>
              </w:rPr>
            </w:pPr>
          </w:p>
        </w:tc>
        <w:tc>
          <w:tcPr>
            <w:tcW w:w="500" w:type="dxa"/>
            <w:vAlign w:val="bottom"/>
          </w:tcPr>
          <w:p>
            <w:pPr>
              <w:jc w:val="right"/>
              <w:ind w:right="53"/>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0.09</w:t>
            </w:r>
          </w:p>
        </w:tc>
      </w:tr>
      <w:tr>
        <w:trPr>
          <w:trHeight w:val="263"/>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charges, net of tax of $0 and $0</w:t>
            </w: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r>
      <w:tr>
        <w:trPr>
          <w:trHeight w:val="250"/>
        </w:trPr>
        <w:tc>
          <w:tcPr>
            <w:tcW w:w="7060" w:type="dxa"/>
            <w:vAlign w:val="bottom"/>
          </w:tcPr>
          <w:p>
            <w:pPr>
              <w:ind w:left="120"/>
              <w:spacing w:after="0"/>
              <w:rPr>
                <w:sz w:val="20"/>
                <w:szCs w:val="20"/>
                <w:color w:val="auto"/>
              </w:rPr>
            </w:pPr>
            <w:r>
              <w:rPr>
                <w:rFonts w:ascii="Arial" w:cs="Arial" w:eastAsia="Arial" w:hAnsi="Arial"/>
                <w:sz w:val="18"/>
                <w:szCs w:val="18"/>
                <w:color w:val="auto"/>
              </w:rPr>
              <w:t>Tax-related special items</w:t>
            </w:r>
          </w:p>
        </w:tc>
        <w:tc>
          <w:tcPr>
            <w:tcW w:w="280" w:type="dxa"/>
            <w:vAlign w:val="bottom"/>
          </w:tcPr>
          <w:p>
            <w:pPr>
              <w:spacing w:after="0"/>
              <w:rPr>
                <w:sz w:val="21"/>
                <w:szCs w:val="21"/>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63"/>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 net of tax of $0</w:t>
            </w:r>
          </w:p>
        </w:tc>
        <w:tc>
          <w:tcPr>
            <w:tcW w:w="2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4"/>
        </w:trPr>
        <w:tc>
          <w:tcPr>
            <w:tcW w:w="7060" w:type="dxa"/>
            <w:vAlign w:val="bottom"/>
          </w:tcPr>
          <w:p>
            <w:pPr>
              <w:ind w:left="32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0.23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0.52</w:t>
            </w:r>
          </w:p>
        </w:tc>
      </w:tr>
      <w:tr>
        <w:trPr>
          <w:trHeight w:val="27"/>
        </w:trPr>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32" w:name="page33"/>
    <w:bookmarkEnd w:id="32"/>
    <w:p>
      <w:pPr>
        <w:spacing w:after="0" w:line="130" w:lineRule="exact"/>
        <w:rPr>
          <w:sz w:val="20"/>
          <w:szCs w:val="20"/>
          <w:color w:val="auto"/>
        </w:rPr>
      </w:pPr>
    </w:p>
    <w:p>
      <w:pPr>
        <w:ind w:left="328" w:right="140" w:hanging="328"/>
        <w:spacing w:after="0" w:line="261"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restructuring and realignment costs and special charges.</w:t>
      </w:r>
    </w:p>
    <w:p>
      <w:pPr>
        <w:spacing w:after="0" w:line="89" w:lineRule="exact"/>
        <w:rPr>
          <w:rFonts w:ascii="Arial" w:cs="Arial" w:eastAsia="Arial" w:hAnsi="Arial"/>
          <w:sz w:val="18"/>
          <w:szCs w:val="18"/>
          <w:color w:val="auto"/>
        </w:rPr>
      </w:pPr>
    </w:p>
    <w:p>
      <w:pPr>
        <w:ind w:left="328" w:right="460" w:hanging="328"/>
        <w:spacing w:after="0" w:line="261"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89" w:lineRule="exact"/>
        <w:rPr>
          <w:rFonts w:ascii="Arial" w:cs="Arial" w:eastAsia="Arial" w:hAnsi="Arial"/>
          <w:sz w:val="18"/>
          <w:szCs w:val="18"/>
          <w:color w:val="auto"/>
        </w:rPr>
      </w:pPr>
    </w:p>
    <w:p>
      <w:pPr>
        <w:ind w:left="328" w:right="260" w:hanging="328"/>
        <w:spacing w:after="0" w:line="261"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89"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 charges" defined as costs incurred by the Company, such as acquisition and integration related costs, non-cash impairment charges and other special non-operating items, such as pension adjustments.</w:t>
      </w:r>
    </w:p>
    <w:p>
      <w:pPr>
        <w:spacing w:after="0" w:line="89" w:lineRule="exact"/>
        <w:rPr>
          <w:rFonts w:ascii="Arial" w:cs="Arial" w:eastAsia="Arial" w:hAnsi="Arial"/>
          <w:sz w:val="18"/>
          <w:szCs w:val="18"/>
          <w:color w:val="auto"/>
        </w:rPr>
      </w:pPr>
    </w:p>
    <w:p>
      <w:pPr>
        <w:ind w:left="328" w:right="420" w:hanging="328"/>
        <w:spacing w:after="0" w:line="261"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103" w:lineRule="exact"/>
        <w:rPr>
          <w:rFonts w:ascii="Arial" w:cs="Arial" w:eastAsia="Arial" w:hAnsi="Arial"/>
          <w:sz w:val="18"/>
          <w:szCs w:val="18"/>
          <w:color w:val="auto"/>
        </w:rPr>
      </w:pPr>
    </w:p>
    <w:p>
      <w:pPr>
        <w:ind w:left="328" w:right="20" w:hanging="328"/>
        <w:spacing w:after="0" w:line="242" w:lineRule="auto"/>
        <w:tabs>
          <w:tab w:leader="none" w:pos="316" w:val="left"/>
        </w:tabs>
        <w:numPr>
          <w:ilvl w:val="0"/>
          <w:numId w:val="11"/>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48" w:lineRule="exact"/>
        <w:rPr>
          <w:sz w:val="20"/>
          <w:szCs w:val="20"/>
          <w:color w:val="auto"/>
        </w:rPr>
      </w:pPr>
    </w:p>
    <w:tbl>
      <w:tblPr>
        <w:tblLayout w:type="fixed"/>
        <w:tblInd w:w="328"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22"/>
        </w:trPr>
        <w:tc>
          <w:tcPr>
            <w:tcW w:w="6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(used)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393"/>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75"/>
        </w:trPr>
        <w:tc>
          <w:tcPr>
            <w:tcW w:w="6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43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b w:val="1"/>
                <w:bCs w:val="1"/>
                <w:color w:val="auto"/>
              </w:rPr>
              <w:t>Net cash used by investing activities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left="393"/>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63"/>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93"/>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28" w:right="40" w:hanging="328"/>
        <w:spacing w:after="0" w:line="256" w:lineRule="auto"/>
        <w:tabs>
          <w:tab w:leader="none" w:pos="3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and "Adjusted EBITDA" reflects the adjustment to EBITDA to exclude share-based compensation, restructuring and realignment costs, special charges and gain or loss from sale of businesses.</w:t>
      </w:r>
    </w:p>
    <w:p>
      <w:pPr>
        <w:spacing w:after="0" w:line="135" w:lineRule="exact"/>
        <w:rPr>
          <w:sz w:val="20"/>
          <w:szCs w:val="20"/>
          <w:color w:val="auto"/>
        </w:rPr>
      </w:pPr>
    </w:p>
    <w:tbl>
      <w:tblPr>
        <w:tblLayout w:type="fixed"/>
        <w:tblInd w:w="328"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7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09"/>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2019</w:t>
            </w:r>
          </w:p>
        </w:tc>
      </w:tr>
      <w:tr>
        <w:trPr>
          <w:trHeight w:val="256"/>
        </w:trPr>
        <w:tc>
          <w:tcPr>
            <w:tcW w:w="7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38</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r>
      <w:tr>
        <w:trPr>
          <w:trHeight w:val="250"/>
        </w:trPr>
        <w:tc>
          <w:tcPr>
            <w:tcW w:w="700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b w:val="1"/>
                <w:bCs w:val="1"/>
                <w:color w:val="auto"/>
              </w:rPr>
              <w:t>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w:t>
            </w:r>
          </w:p>
        </w:tc>
      </w:tr>
      <w:tr>
        <w:trPr>
          <w:trHeight w:val="26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(income), net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14</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r>
      <w:tr>
        <w:trPr>
          <w:trHeight w:val="250"/>
        </w:trPr>
        <w:tc>
          <w:tcPr>
            <w:tcW w:w="70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26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r>
      <w:tr>
        <w:trPr>
          <w:trHeight w:val="243"/>
        </w:trPr>
        <w:tc>
          <w:tcPr>
            <w:tcW w:w="7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120</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175</w:t>
            </w:r>
          </w:p>
        </w:tc>
      </w:tr>
      <w:tr>
        <w:trPr>
          <w:trHeight w:val="257"/>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r>
      <w:tr>
        <w:trPr>
          <w:trHeight w:val="250"/>
        </w:trPr>
        <w:tc>
          <w:tcPr>
            <w:tcW w:w="7000" w:type="dxa"/>
            <w:vAlign w:val="bottom"/>
          </w:tcPr>
          <w:p>
            <w:pPr>
              <w:ind w:left="200"/>
              <w:spacing w:after="0"/>
              <w:rPr>
                <w:sz w:val="20"/>
                <w:szCs w:val="20"/>
                <w:color w:val="auto"/>
              </w:rPr>
            </w:pPr>
            <w:r>
              <w:rPr>
                <w:rFonts w:ascii="Arial" w:cs="Arial" w:eastAsia="Arial" w:hAnsi="Arial"/>
                <w:sz w:val="18"/>
                <w:szCs w:val="18"/>
                <w:color w:val="auto"/>
              </w:rPr>
              <w:t>Restructuring and realignment</w:t>
            </w:r>
          </w:p>
        </w:tc>
        <w:tc>
          <w:tcPr>
            <w:tcW w:w="2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w:t>
            </w:r>
          </w:p>
        </w:tc>
      </w:tr>
      <w:tr>
        <w:trPr>
          <w:trHeight w:val="26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w:t>
            </w:r>
          </w:p>
        </w:tc>
      </w:tr>
      <w:tr>
        <w:trPr>
          <w:trHeight w:val="250"/>
        </w:trPr>
        <w:tc>
          <w:tcPr>
            <w:tcW w:w="7000" w:type="dxa"/>
            <w:vAlign w:val="bottom"/>
          </w:tcPr>
          <w:p>
            <w:pPr>
              <w:ind w:left="200"/>
              <w:spacing w:after="0"/>
              <w:rPr>
                <w:sz w:val="20"/>
                <w:szCs w:val="20"/>
                <w:color w:val="auto"/>
              </w:rPr>
            </w:pPr>
            <w:r>
              <w:rPr>
                <w:rFonts w:ascii="Arial" w:cs="Arial" w:eastAsia="Arial" w:hAnsi="Arial"/>
                <w:sz w:val="18"/>
                <w:szCs w:val="18"/>
                <w:color w:val="auto"/>
              </w:rPr>
              <w:t>Gain from sale of business</w:t>
            </w:r>
          </w:p>
        </w:tc>
        <w:tc>
          <w:tcPr>
            <w:tcW w:w="280" w:type="dxa"/>
            <w:vAlign w:val="bottom"/>
          </w:tcPr>
          <w:p>
            <w:pPr>
              <w:spacing w:after="0"/>
              <w:rPr>
                <w:sz w:val="21"/>
                <w:szCs w:val="21"/>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5"/>
        </w:trPr>
        <w:tc>
          <w:tcPr>
            <w:tcW w:w="70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138</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08"/>
          </w:cols>
          <w:pgMar w:left="652"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2"/>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70485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8"/>
          </w:cols>
          <w:pgMar w:left="652" w:top="1440" w:right="4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2020 Outlook</w:t>
      </w:r>
    </w:p>
    <w:p>
      <w:pPr>
        <w:spacing w:after="0" w:line="13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withdrew 2020 guidance on March 31, 2020 due to uncertainties caused by COVID-19. We are not prepared to reinstate full-year guidance, but are providing total organic revenue outlook for the second quarter to be down 20% to 30% driven by the impact of COVID-19.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outlook on each of our end markets:</w:t>
      </w:r>
    </w:p>
    <w:p>
      <w:pPr>
        <w:spacing w:after="0" w:line="117" w:lineRule="exact"/>
        <w:rPr>
          <w:sz w:val="20"/>
          <w:szCs w:val="20"/>
          <w:color w:val="auto"/>
        </w:rPr>
      </w:pPr>
    </w:p>
    <w:p>
      <w:pPr>
        <w:ind w:left="660" w:hanging="328"/>
        <w:spacing w:after="0" w:line="23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Utilities revenue decreased by approximately 5% organically in the first quarter driven by weakness in the United States, Asia Pacific and the Middle East, partially offset by strength in Europe. During 2020 we expect operational spending to continue to be resilient and are seeing some areas of opportunity driven by operational pressures facing utilities. Nevertheless, utilities will be facing workforce challenges from impacts of COVID-19 on the way in which they need to operate . We also expect delays in capital projects being awarded and a potential push back in execution of current projects, but anticipate capex spending to hold up in the mid-to-longer term given the multi-year capex funding mechanisms utilities use and the governmental commitments to continued investment we're seeing in a number of our markets.</w:t>
      </w:r>
    </w:p>
    <w:p>
      <w:pPr>
        <w:spacing w:after="0" w:line="94"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Industrial revenue decreased by approximately 10% organically in the first quarter driven by weakness in North America, Asia Pacific and western Europe. As 2020 progresses we expect industrial facilities to limit access to sales teams and channel partners, causing slower orders and activity while non-essential work is deferred. Exposure to the down-stream impacts of a soft oil and gas market will have an effect on both our dewatering and applied water businesses potentially leading to significant demand declines. Additionally, we anticipate softness in the marine and beverage dispensing verticals driven by social distancing and mandatory lockdown constraints.</w:t>
      </w:r>
    </w:p>
    <w:p>
      <w:pPr>
        <w:spacing w:after="0" w:line="96" w:lineRule="exact"/>
        <w:rPr>
          <w:rFonts w:ascii="Arial" w:cs="Arial" w:eastAsia="Arial" w:hAnsi="Arial"/>
          <w:sz w:val="18"/>
          <w:szCs w:val="18"/>
          <w:color w:val="auto"/>
        </w:rPr>
      </w:pPr>
    </w:p>
    <w:p>
      <w:pPr>
        <w:ind w:left="660" w:right="80" w:hanging="328"/>
        <w:spacing w:after="0" w:line="23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commercial markets, organic revenue decline was approximately 11% in the first quarter driven by weakness in the emerging markets and the United States. During the short-term we expect construction site shut-downs to lead to project delays while backlog remains robust and underlying quote activity remains healthy. Although we have not seen a slowdown in project pipelines at this point in time, this is an area that we will be monitoring closely given likely recessionary effects.</w:t>
      </w:r>
    </w:p>
    <w:p>
      <w:pPr>
        <w:spacing w:after="0" w:line="96" w:lineRule="exact"/>
        <w:rPr>
          <w:rFonts w:ascii="Arial" w:cs="Arial" w:eastAsia="Arial" w:hAnsi="Arial"/>
          <w:sz w:val="18"/>
          <w:szCs w:val="18"/>
          <w:color w:val="auto"/>
        </w:rPr>
      </w:pPr>
    </w:p>
    <w:p>
      <w:pPr>
        <w:ind w:left="660" w:right="400" w:hanging="328"/>
        <w:spacing w:after="0" w:line="23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residential markets, organic revenue decline was approximately 14% in the first quarter driven by weakness in western Europe, the United States and Asia Pacific. This market is primarily driven by replacement revenue serviced through distribution network. As such, we anticipate only emergency replacement activity as a result of social distancing requirements and expect industry softness to continue while lockdowns are in place.</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As result of uncertainties caused by the COVID-19 pandemic and its potential impacts on future demand, we are reevaluating aspects of our spending, including capital expenditures, strategic investments and dividends. We have identified approximately $100 million in net reductions of planned spending on a combination of operational and capital expenditures for the remainder of 2020. We will also continue to strategically execute restructuring and realignment actions to reposition our business in an effort to optimize our cost structure and improve our operational efficiency and effectiveness. We are still assessing the amount of any additional restructuring and realignment actions that may incurred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2"/>
        </w:trPr>
        <w:tc>
          <w:tcPr>
            <w:tcW w:w="7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0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8"/>
                <w:szCs w:val="18"/>
                <w:color w:val="auto"/>
              </w:rPr>
            </w:pPr>
          </w:p>
        </w:tc>
      </w:tr>
      <w:tr>
        <w:trPr>
          <w:trHeight w:val="25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22"/>
                <w:szCs w:val="22"/>
                <w:color w:val="auto"/>
              </w:rPr>
            </w:pP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Adjusted operating expenses</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Adjusted operating expenses to revenue ratio</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Interest and other non-operating expense, net</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from sale of business</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NM</w:t>
            </w:r>
          </w:p>
        </w:tc>
        <w:tc>
          <w:tcPr>
            <w:tcW w:w="420" w:type="dxa"/>
            <w:vAlign w:val="bottom"/>
            <w:shd w:val="clear" w:color="auto" w:fill="CCEEFF"/>
          </w:tcPr>
          <w:p>
            <w:pPr>
              <w:spacing w:after="0"/>
              <w:rPr>
                <w:sz w:val="22"/>
                <w:szCs w:val="22"/>
                <w:color w:val="auto"/>
              </w:rPr>
            </w:pPr>
          </w:p>
        </w:tc>
      </w:tr>
      <w:tr>
        <w:trPr>
          <w:trHeight w:val="250"/>
        </w:trPr>
        <w:tc>
          <w:tcPr>
            <w:tcW w:w="71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63"/>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bp</w:t>
            </w: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 generated during the three months ended March 31, 2020 was $1,123 million, reflecting a decrease of $114 million, or 9.2%, compared to the same prior year period. On a constant currency basis, revenue declined 7.7% for the three months ended March 31, 2020. The decrease at constant currency consisted entirely of a decline in organic revenue of $95 million reflecting significantly lower demand across all major geographic regions and segments largely due to COVID-19 related impacts.</w:t>
      </w:r>
    </w:p>
    <w:p>
      <w:pPr>
        <w:spacing w:after="0" w:line="9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revenue during the three months ended March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Measurement &amp; Control</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0"/>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Water Infrastructure</w:t>
            </w:r>
          </w:p>
        </w:tc>
        <w:tc>
          <w:tcPr>
            <w:tcW w:w="280" w:type="dxa"/>
            <w:vAlign w:val="bottom"/>
          </w:tcPr>
          <w:p>
            <w:pPr>
              <w:spacing w:after="0"/>
              <w:rPr>
                <w:sz w:val="16"/>
                <w:szCs w:val="16"/>
                <w:color w:val="auto"/>
              </w:rPr>
            </w:pPr>
          </w:p>
        </w:tc>
        <w:tc>
          <w:tcPr>
            <w:tcW w:w="1880" w:type="dxa"/>
            <w:vAlign w:val="bottom"/>
            <w:gridSpan w:val="3"/>
          </w:tcPr>
          <w:p>
            <w:pPr>
              <w:ind w:left="280"/>
              <w:spacing w:after="0"/>
              <w:rPr>
                <w:sz w:val="20"/>
                <w:szCs w:val="20"/>
                <w:color w:val="auto"/>
              </w:rPr>
            </w:pPr>
            <w:r>
              <w:rPr>
                <w:rFonts w:ascii="Arial" w:cs="Arial" w:eastAsia="Arial" w:hAnsi="Arial"/>
                <w:sz w:val="14"/>
                <w:szCs w:val="14"/>
                <w:b w:val="1"/>
                <w:bCs w:val="1"/>
                <w:color w:val="auto"/>
              </w:rPr>
              <w:t>Applied Water</w:t>
            </w:r>
          </w:p>
        </w:tc>
        <w:tc>
          <w:tcPr>
            <w:tcW w:w="280" w:type="dxa"/>
            <w:vAlign w:val="bottom"/>
          </w:tcPr>
          <w:p>
            <w:pPr>
              <w:spacing w:after="0"/>
              <w:rPr>
                <w:sz w:val="16"/>
                <w:szCs w:val="16"/>
                <w:color w:val="auto"/>
              </w:rPr>
            </w:pPr>
          </w:p>
        </w:tc>
        <w:tc>
          <w:tcPr>
            <w:tcW w:w="1900" w:type="dxa"/>
            <w:vAlign w:val="bottom"/>
            <w:gridSpan w:val="3"/>
          </w:tcPr>
          <w:p>
            <w:pPr>
              <w:ind w:left="440"/>
              <w:spacing w:after="0"/>
              <w:rPr>
                <w:sz w:val="20"/>
                <w:szCs w:val="20"/>
                <w:color w:val="auto"/>
              </w:rPr>
            </w:pPr>
            <w:r>
              <w:rPr>
                <w:rFonts w:ascii="Arial" w:cs="Arial" w:eastAsia="Arial" w:hAnsi="Arial"/>
                <w:sz w:val="14"/>
                <w:szCs w:val="14"/>
                <w:b w:val="1"/>
                <w:bCs w:val="1"/>
                <w:color w:val="auto"/>
              </w:rPr>
              <w:t>Solutions</w:t>
            </w:r>
          </w:p>
        </w:tc>
        <w:tc>
          <w:tcPr>
            <w:tcW w:w="280" w:type="dxa"/>
            <w:vAlign w:val="bottom"/>
          </w:tcPr>
          <w:p>
            <w:pPr>
              <w:spacing w:after="0"/>
              <w:rPr>
                <w:sz w:val="16"/>
                <w:szCs w:val="16"/>
                <w:color w:val="auto"/>
              </w:rPr>
            </w:pPr>
          </w:p>
        </w:tc>
        <w:tc>
          <w:tcPr>
            <w:tcW w:w="1840" w:type="dxa"/>
            <w:vAlign w:val="bottom"/>
            <w:gridSpan w:val="2"/>
          </w:tcPr>
          <w:p>
            <w:pPr>
              <w:jc w:val="right"/>
              <w:ind w:right="573"/>
              <w:spacing w:after="0"/>
              <w:rPr>
                <w:sz w:val="20"/>
                <w:szCs w:val="20"/>
                <w:color w:val="auto"/>
              </w:rPr>
            </w:pPr>
            <w:r>
              <w:rPr>
                <w:rFonts w:ascii="Arial" w:cs="Arial" w:eastAsia="Arial" w:hAnsi="Arial"/>
                <w:sz w:val="14"/>
                <w:szCs w:val="14"/>
                <w:b w:val="1"/>
                <w:bCs w:val="1"/>
                <w:color w:val="auto"/>
              </w:rPr>
              <w:t>Total Xylem</w:t>
            </w:r>
          </w:p>
        </w:tc>
      </w:tr>
      <w:tr>
        <w:trPr>
          <w:trHeight w:val="221"/>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4"/>
              <w:spacing w:after="0"/>
              <w:rPr>
                <w:sz w:val="20"/>
                <w:szCs w:val="20"/>
                <w:color w:val="auto"/>
              </w:rPr>
            </w:pPr>
            <w:r>
              <w:rPr>
                <w:rFonts w:ascii="Arial" w:cs="Arial" w:eastAsia="Arial" w:hAnsi="Arial"/>
                <w:sz w:val="14"/>
                <w:szCs w:val="14"/>
                <w:color w:val="auto"/>
              </w:rPr>
              <w:t>Change</w:t>
            </w:r>
          </w:p>
        </w:tc>
        <w:tc>
          <w:tcPr>
            <w:tcW w:w="1140" w:type="dxa"/>
            <w:vAlign w:val="bottom"/>
          </w:tcPr>
          <w:p>
            <w:pPr>
              <w:jc w:val="right"/>
              <w:ind w:right="153"/>
              <w:spacing w:after="0"/>
              <w:rPr>
                <w:sz w:val="20"/>
                <w:szCs w:val="20"/>
                <w:color w:val="auto"/>
              </w:rPr>
            </w:pPr>
            <w:r>
              <w:rPr>
                <w:rFonts w:ascii="Arial" w:cs="Arial" w:eastAsia="Arial" w:hAnsi="Arial"/>
                <w:sz w:val="14"/>
                <w:szCs w:val="14"/>
                <w:color w:val="auto"/>
              </w:rPr>
              <w:t>% Change</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2019 Revenue</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482</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379</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376</w:t>
            </w: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1,237</w:t>
            </w:r>
          </w:p>
        </w:tc>
        <w:tc>
          <w:tcPr>
            <w:tcW w:w="1140" w:type="dxa"/>
            <w:vAlign w:val="bottom"/>
            <w:tcBorders>
              <w:top w:val="single" w:sz="8" w:color="auto"/>
            </w:tcBorders>
          </w:tcPr>
          <w:p>
            <w:pPr>
              <w:spacing w:after="0"/>
              <w:rPr>
                <w:sz w:val="21"/>
                <w:szCs w:val="21"/>
                <w:color w:val="auto"/>
              </w:rPr>
            </w:pPr>
          </w:p>
        </w:tc>
      </w:tr>
      <w:tr>
        <w:trPr>
          <w:trHeight w:val="263"/>
        </w:trPr>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Organic Impact</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50"/>
        </w:trPr>
        <w:tc>
          <w:tcPr>
            <w:tcW w:w="2660" w:type="dxa"/>
            <w:vAlign w:val="bottom"/>
          </w:tcPr>
          <w:p>
            <w:pPr>
              <w:ind w:left="340"/>
              <w:spacing w:after="0"/>
              <w:rPr>
                <w:sz w:val="20"/>
                <w:szCs w:val="20"/>
                <w:color w:val="auto"/>
              </w:rPr>
            </w:pPr>
            <w:r>
              <w:rPr>
                <w:rFonts w:ascii="Arial" w:cs="Arial" w:eastAsia="Arial" w:hAnsi="Arial"/>
                <w:sz w:val="18"/>
                <w:szCs w:val="18"/>
                <w:color w:val="auto"/>
              </w:rPr>
              <w:t>Acquisitions/(Divestitures)</w:t>
            </w:r>
          </w:p>
        </w:tc>
        <w:tc>
          <w:tcPr>
            <w:tcW w:w="24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26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266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4"/>
        </w:trPr>
        <w:tc>
          <w:tcPr>
            <w:tcW w:w="2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change in revenue</w:t>
            </w:r>
          </w:p>
        </w:tc>
        <w:tc>
          <w:tcPr>
            <w:tcW w:w="2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2020 Revenue</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438</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338</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347</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1,123</w:t>
            </w:r>
          </w:p>
        </w:tc>
        <w:tc>
          <w:tcPr>
            <w:tcW w:w="114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r>
    </w:tbl>
    <w:p>
      <w:pPr>
        <w:spacing w:after="0" w:line="83" w:lineRule="exact"/>
        <w:rPr>
          <w:sz w:val="20"/>
          <w:szCs w:val="20"/>
          <w:color w:val="auto"/>
        </w:rPr>
      </w:pPr>
    </w:p>
    <w:p>
      <w:pPr>
        <w:ind w:left="340" w:right="380" w:hanging="332"/>
        <w:spacing w:after="0" w:line="260"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Australian Dollar, the Norwegian Krone, the Swedish Krona and the Chinese Yuan.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Water Infrastructure revenue decreased $ 44 million, or 9.1%, for the first quarter of 2020 (6.6% decrease at constant currency) as compared to the prior year. Revenue was negatively impacted by $12 million of foreign currency translation, with the change at constant currency coming entirely from an organic decline of $32 million. Organic weakness for the quarter was primarily driven by the industrial end market, particularly in North America, due to continued soft market conditions in oil and gas, and in Asia Pacific, where organic growth was heavily impacted by the COVID-19 pandemic. Organic revenue decline for the quarter was also driven by weakness in the utility end market, particularly in the United States, due to softness in construction and the lapping of projects in the prior year, as well as in India due to the timing of project deployments in the prior year. We estimate that almost half of the organic revenue declines in the segment were impacted by the COVID-19 pandemic, particularly in China and India.</w:t>
      </w:r>
    </w:p>
    <w:p>
      <w:pPr>
        <w:spacing w:after="0" w:line="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From an application perspective, the organic revenue decline during the first quarter was primarily driven by our transport application where market conditions continued to soften in North America in the dewatering applications, with oil and gas, construction and mining all down in the quarter. Asia Pacific also contributed to the organic revenue decline within the transport application, primarily driven by the timing of large utility project deployments in India and the negative impact of the COVID-19 pandemic throughout the region. The treatment application contributed a more modest organic revenue decline during the quarter driven by the timing of filtration project deliveries in the United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Applied Water revenue decreased $41 million, or 10.8%, for the first quarter of 2020 (10.0% decrease at constant currency) as compared to the prior year. Revenue was negatively impacted by $3 million of foreign currency translation for the quarter, with the change at constant currency coming entirely from an organic decline of $38 million. Organic weakness for the quarter was driven by declines across all end markets and in all major geographic regions. We estimate that approximately two thirds of the organic revenue declines in the segment were driven by impacts from the COVID-19 pandemic, particularly in China and the United States where lockdown activities caused a slow down in the markets served.</w:t>
      </w:r>
    </w:p>
    <w:p>
      <w:pPr>
        <w:spacing w:after="0" w:line="10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an application perspective, the organic revenue decline in the first quarter was led by weakness in the building services application in the commercial markets which was driven by the impact of the COVID-19 pandemic within the emerging markets, particularly China, and in the United States where the timing of shipments was impacted by the economic slowdown. The industrial water application also experienced a decline in organic revenue during the quarter driven by industry softening, which has been further impacted by the COVID-19 pandemic, in the emerging markets, western Europe and the United States. Weakness in the building services application in the residential market also contributed to the organic revenue decline during the quarter, primarily in western Europe, the United States and Asia Pacific.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Measurement &amp; Control Solutions revenue decreased $29 million, or 7.7%, for the first quarter of 2020 (6.6% at constant currency) as compared to the prior year. Revenue was negatively impacted by $4 million of foreign currency translation for the quarter, with the change at constant currency coming entirely from an organic decline of $25 million. Organic weakness for the quarter was driven by a decline in the utility end market, primarily in the United States, Asia Pacific and the Middle East, partially offset by organic growth in Europe during the quarter.</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From an application perspective, the organic revenue decline for the segment was driven by the water application, where we lapped strong project deployments in the United States and India during the first quarter of the prior year, and the COVID-19 pandemic which negatively impacted organic growth in the Middle East. Organic revenue declines within the water application were partially offset by organic growth in Europe during the quarter, primarily driven by software sales. The test application also experienced organic revenue decline during the quarter, primarily driven by declines in western Europe, China and North America, largely due to impacts from the COVID-19 pandemic, including component shortages from China. The software as a service ("SaaS") and energy applications had modest declines in revenue as compared to the prior year, primarily in the United States as we lapped a few large project deployments.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first quarter of 2020 were $1,261 million, a decrease of $54 million, or 4.1%, over the prior year (2.4% decrease at constant currency). Order intake was negatively impacted by $23 million of foreign currency translation for the quarter, with the change at constant currency coming entirely from an organic decline of $31 million.</w:t>
      </w:r>
    </w:p>
    <w:p>
      <w:pPr>
        <w:spacing w:after="0" w:line="10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following table illustrates the impact from organic declines, recent acquisitions and divestitures, and foreign currency translation in relation to orders during the three months ended March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4"/>
          </w:tcPr>
          <w:p>
            <w:pPr>
              <w:ind w:left="8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8"/>
        </w:trPr>
        <w:tc>
          <w:tcPr>
            <w:tcW w:w="266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6"/>
                <w:szCs w:val="16"/>
                <w:b w:val="1"/>
                <w:bCs w:val="1"/>
                <w:color w:val="auto"/>
              </w:rPr>
              <w:t>Water Infrastructure</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6"/>
                <w:szCs w:val="16"/>
                <w:b w:val="1"/>
                <w:bCs w:val="1"/>
                <w:color w:val="auto"/>
              </w:rPr>
              <w:t>Applied Water</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55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473"/>
              <w:spacing w:after="0"/>
              <w:rPr>
                <w:sz w:val="20"/>
                <w:szCs w:val="20"/>
                <w:color w:val="auto"/>
              </w:rPr>
            </w:pPr>
            <w:r>
              <w:rPr>
                <w:rFonts w:ascii="Arial" w:cs="Arial" w:eastAsia="Arial" w:hAnsi="Arial"/>
                <w:sz w:val="16"/>
                <w:szCs w:val="16"/>
                <w:b w:val="1"/>
                <w:bCs w:val="1"/>
                <w:color w:val="auto"/>
              </w:rPr>
              <w:t>Total Xylem</w:t>
            </w:r>
          </w:p>
        </w:tc>
      </w:tr>
      <w:tr>
        <w:trPr>
          <w:trHeight w:val="210"/>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Change</w:t>
            </w:r>
          </w:p>
        </w:tc>
        <w:tc>
          <w:tcPr>
            <w:tcW w:w="1200" w:type="dxa"/>
            <w:vAlign w:val="bottom"/>
            <w:gridSpan w:val="2"/>
          </w:tcPr>
          <w:p>
            <w:pPr>
              <w:ind w:left="160"/>
              <w:spacing w:after="0"/>
              <w:rPr>
                <w:sz w:val="20"/>
                <w:szCs w:val="20"/>
                <w:color w:val="auto"/>
              </w:rPr>
            </w:pPr>
            <w:r>
              <w:rPr>
                <w:rFonts w:ascii="Arial" w:cs="Arial" w:eastAsia="Arial" w:hAnsi="Arial"/>
                <w:sz w:val="14"/>
                <w:szCs w:val="14"/>
                <w:color w:val="auto"/>
              </w:rPr>
              <w:t>% Change</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060" w:type="dxa"/>
            <w:vAlign w:val="bottom"/>
          </w:tcPr>
          <w:p>
            <w:pPr>
              <w:jc w:val="right"/>
              <w:ind w:right="113"/>
              <w:spacing w:after="0"/>
              <w:rPr>
                <w:sz w:val="20"/>
                <w:szCs w:val="20"/>
                <w:color w:val="auto"/>
              </w:rPr>
            </w:pPr>
            <w:r>
              <w:rPr>
                <w:rFonts w:ascii="Arial" w:cs="Arial" w:eastAsia="Arial" w:hAnsi="Arial"/>
                <w:sz w:val="14"/>
                <w:szCs w:val="14"/>
                <w:color w:val="auto"/>
              </w:rPr>
              <w:t>% Change</w:t>
            </w:r>
          </w:p>
        </w:tc>
      </w:tr>
      <w:tr>
        <w:trPr>
          <w:trHeight w:val="250"/>
        </w:trPr>
        <w:tc>
          <w:tcPr>
            <w:tcW w:w="2660" w:type="dxa"/>
            <w:vAlign w:val="bottom"/>
          </w:tcPr>
          <w:p>
            <w:pPr>
              <w:ind w:left="20"/>
              <w:spacing w:after="0"/>
              <w:rPr>
                <w:sz w:val="20"/>
                <w:szCs w:val="20"/>
                <w:color w:val="auto"/>
              </w:rPr>
            </w:pPr>
            <w:r>
              <w:rPr>
                <w:rFonts w:ascii="Arial" w:cs="Arial" w:eastAsia="Arial" w:hAnsi="Arial"/>
                <w:sz w:val="18"/>
                <w:szCs w:val="18"/>
                <w:color w:val="auto"/>
              </w:rPr>
              <w:t>2019 Orders</w:t>
            </w: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532</w:t>
            </w:r>
          </w:p>
        </w:tc>
        <w:tc>
          <w:tcPr>
            <w:tcW w:w="10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394</w:t>
            </w: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389</w:t>
            </w:r>
          </w:p>
        </w:tc>
        <w:tc>
          <w:tcPr>
            <w:tcW w:w="1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1,315</w:t>
            </w:r>
          </w:p>
        </w:tc>
        <w:tc>
          <w:tcPr>
            <w:tcW w:w="1060" w:type="dxa"/>
            <w:vAlign w:val="bottom"/>
            <w:tcBorders>
              <w:top w:val="single" w:sz="8" w:color="auto"/>
            </w:tcBorders>
          </w:tcPr>
          <w:p>
            <w:pPr>
              <w:spacing w:after="0"/>
              <w:rPr>
                <w:sz w:val="21"/>
                <w:szCs w:val="2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Organic Impact</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2660" w:type="dxa"/>
            <w:vAlign w:val="bottom"/>
          </w:tcPr>
          <w:p>
            <w:pPr>
              <w:ind w:left="120"/>
              <w:spacing w:after="0"/>
              <w:rPr>
                <w:sz w:val="20"/>
                <w:szCs w:val="20"/>
                <w:color w:val="auto"/>
              </w:rPr>
            </w:pPr>
            <w:r>
              <w:rPr>
                <w:rFonts w:ascii="Arial" w:cs="Arial" w:eastAsia="Arial" w:hAnsi="Arial"/>
                <w:sz w:val="18"/>
                <w:szCs w:val="18"/>
                <w:color w:val="auto"/>
              </w:rPr>
              <w:t>Acquisitions/(Divestitures)</w:t>
            </w:r>
          </w:p>
        </w:tc>
        <w:tc>
          <w:tcPr>
            <w:tcW w:w="2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1"/>
                <w:szCs w:val="21"/>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2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2020 Orders</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514</w:t>
            </w: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372</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375</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1,261</w:t>
            </w:r>
          </w:p>
        </w:tc>
        <w:tc>
          <w:tcPr>
            <w:tcW w:w="106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r>
    </w:tbl>
    <w:p>
      <w:pPr>
        <w:spacing w:after="0" w:line="110" w:lineRule="exact"/>
        <w:rPr>
          <w:sz w:val="20"/>
          <w:szCs w:val="20"/>
          <w:color w:val="auto"/>
        </w:rPr>
      </w:pPr>
    </w:p>
    <w:p>
      <w:pPr>
        <w:ind w:left="340" w:right="380" w:hanging="332"/>
        <w:spacing w:after="0" w:line="260"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Australian Dollar, the Norwegian Krone, the Swedish Krona and the Chinese Yuan.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Water Infrastructure segment orders decreased $18 million, or 3.4%, to $514 million (0.6% decrease at constant currency) for the first quarter of 2020 as compared to the prior year. Order intake during the quarter was negatively impacted by $15 million of foreign currency translation, with the change at constant currency coming from an organic decline in orders in the transport application, which was largely offset by organic order growth in the treatment application. Transport orders were primarily impacted by reduced order intake in North America as compared to the prior year where we had a couple of large project orders, as well as market weakness in the dewatering transport applications in the United States and Europe. The treatment application saw organic order growth in the quarter, primarily driven by strong order intake in Europe, North America and Latin America during the quarter, which was partially offset by a reduction of orders in India. We believe that substantially all of the organic order decline during the quarter was due to COVID-19 impacts, partially offset by organic order growth in the treatment application.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Applied Water segment orders decreased $22 million, or 5.6%, to $372 million (4.6% decrease at constant currency) for the first quarter of 2020 as compared to the prior year. Order intake during the quarter was negatively impacted by $4 million of foreign currency translation. The order decrease on a constant currency basis was primarily driven by organic weakness in the United States, where a decrease in industrial order intake was partially offset by commercial order growth during the quarter, and in Asia Pacific, which was significantly impacted by the COVID-19 pandemic during the quarter. We believe that substantially all of the organic order decline during the quarter was due to COVID-19 impacts.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Measurement &amp; Control Solutions segment orders decreased $14 million, or 3.6%, to $375 million (2.6% decrease at constant currency) for the first quarter of 2020 as compared to the prior year. Order intake during the quarter was negatively impacted by $4 million of foreign currency translation. The order decrease on a constant currency basis was driven by an organic decline in the SaaS application during the quarter, which was negatively impacted by the lapping of large project deployment orders in North America during the prior year. The water application contributed a more modest decline in organic orders during the quarter as significant prior year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100"/>
        <w:spacing w:after="0" w:line="256" w:lineRule="auto"/>
        <w:rPr>
          <w:sz w:val="20"/>
          <w:szCs w:val="20"/>
          <w:color w:val="auto"/>
        </w:rPr>
      </w:pPr>
      <w:r>
        <w:rPr>
          <w:rFonts w:ascii="Arial" w:cs="Arial" w:eastAsia="Arial" w:hAnsi="Arial"/>
          <w:sz w:val="18"/>
          <w:szCs w:val="18"/>
          <w:color w:val="auto"/>
        </w:rPr>
        <w:t>deployments within the AIA platform were largely offset by water metrology orders in North America. These order declines were partially offset by organic growth in the quarter in the test application, primarily in Europe, and in the energy application in North America. We believe that substantially all of the organic order decline during the quarter for the segment was due to COVID-19 impacts.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can occur from time to time. Total backlog was $1,887 million at March 31, 2020, an increase of $54 million or 2.9%, as compared to March 31, 2019 backlog of $1,833 million, and an increase of $ 86 million or 4.8%, as compared to December 31, 2019 backlog of $1,801 million. We anticipate that approximately 56% of the backlog at March 31, 2020 will be recognized as revenue in the remainder of 2020. Cancellations in the quarter were materially consistent with the prior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39"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Gross margin as a percentage of revenue decreased 190 basis points to 36.4% for the three months ended March 31, 2020 as compared to 38.3% for the comparative 2019 period. The gross margin decrease for the quarter was primarily driven by unfavorable volume, impacted by COVID-19, cost inflation, increased cost of quality due to a product warranty issue in our Sensus business and unfavorable mix, which were partially offset by cost reductions from global procurement and productivity improvement initiatives.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months ended March 31, 2020 and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2"/>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r>
      <w:tr>
        <w:trPr>
          <w:trHeight w:val="21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tcPr>
          <w:p>
            <w:pPr>
              <w:spacing w:after="0"/>
              <w:rPr>
                <w:sz w:val="18"/>
                <w:szCs w:val="18"/>
                <w:color w:val="auto"/>
              </w:rPr>
            </w:pPr>
          </w:p>
        </w:tc>
      </w:tr>
      <w:tr>
        <w:trPr>
          <w:trHeight w:val="256"/>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 ("SG&amp;A")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297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Pr>
          <w:p>
            <w:pPr>
              <w:ind w:left="340"/>
              <w:spacing w:after="0"/>
              <w:rPr>
                <w:sz w:val="20"/>
                <w:szCs w:val="20"/>
                <w:color w:val="auto"/>
              </w:rPr>
            </w:pPr>
            <w:r>
              <w:rPr>
                <w:rFonts w:ascii="Arial" w:cs="Arial" w:eastAsia="Arial" w:hAnsi="Arial"/>
                <w:sz w:val="18"/>
                <w:szCs w:val="18"/>
                <w:i w:val="1"/>
                <w:iCs w:val="1"/>
                <w:color w:val="auto"/>
              </w:rPr>
              <w:t>SG&amp;A as a % of revenue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400" w:type="dxa"/>
            <w:vAlign w:val="bottom"/>
          </w:tcPr>
          <w:p>
            <w:pPr>
              <w:ind w:left="20"/>
              <w:spacing w:after="0"/>
              <w:rPr>
                <w:sz w:val="20"/>
                <w:szCs w:val="20"/>
                <w:color w:val="auto"/>
              </w:rPr>
            </w:pPr>
            <w:r>
              <w:rPr>
                <w:rFonts w:ascii="Arial" w:cs="Arial" w:eastAsia="Arial" w:hAnsi="Arial"/>
                <w:sz w:val="18"/>
                <w:szCs w:val="18"/>
                <w:color w:val="auto"/>
              </w:rPr>
              <w:t>bp</w:t>
            </w:r>
          </w:p>
        </w:tc>
      </w:tr>
      <w:tr>
        <w:trPr>
          <w:trHeight w:val="26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 ("R&amp;D")</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Pr>
          <w:p>
            <w:pPr>
              <w:ind w:left="340"/>
              <w:spacing w:after="0"/>
              <w:rPr>
                <w:sz w:val="20"/>
                <w:szCs w:val="20"/>
                <w:color w:val="auto"/>
              </w:rPr>
            </w:pPr>
            <w:r>
              <w:rPr>
                <w:rFonts w:ascii="Arial" w:cs="Arial" w:eastAsia="Arial" w:hAnsi="Arial"/>
                <w:sz w:val="18"/>
                <w:szCs w:val="18"/>
                <w:i w:val="1"/>
                <w:iCs w:val="1"/>
                <w:color w:val="auto"/>
              </w:rPr>
              <w:t>R&amp;D as a % of revenue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400" w:type="dxa"/>
            <w:vAlign w:val="bottom"/>
          </w:tcPr>
          <w:p>
            <w:pPr>
              <w:ind w:left="20"/>
              <w:spacing w:after="0"/>
              <w:rPr>
                <w:sz w:val="20"/>
                <w:szCs w:val="20"/>
                <w:color w:val="auto"/>
              </w:rPr>
            </w:pPr>
            <w:r>
              <w:rPr>
                <w:rFonts w:ascii="Arial" w:cs="Arial" w:eastAsia="Arial" w:hAnsi="Arial"/>
                <w:sz w:val="18"/>
                <w:szCs w:val="18"/>
                <w:color w:val="auto"/>
              </w:rPr>
              <w:t>bp</w:t>
            </w:r>
          </w:p>
        </w:tc>
      </w:tr>
      <w:tr>
        <w:trPr>
          <w:trHeight w:val="257"/>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and asset impairment charges</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Pr>
          <w:p>
            <w:pPr>
              <w:ind w:left="1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348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63"/>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Expense to revenue ratio</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bp</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3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SG&amp;A expenses decreased by $6 million to $297 million, or 26.4% of revenue, in the first quarter of 2020, as compared to $303 million, or 24.5% of revenue, in the comparable 2019 period. The increase in SG&amp;A as a percent of revenue for the quarter was primarily driven by the drop in revenue, which was significantly impacted by the COVID-19 pandemic, as well as in cost inflation and additional investment in strategic growth initiatives, which were partially offset by cost reductions from global procurement and productivity improvement initiatives, including restructuring savings.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R&amp;D expense was $49 million, or 4.4% of revenue, in the first quarter of 2020, as compared to $51 million, or 4.1% of revenue, in the comparable period of 2019. The increase in R&amp;D as a percent of revenue for the period was primarily driven by the drop in revenue, which was significantly impacted by the COVID-19 pandemic.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we recognized restructuring charges of $2 million. We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38" w:name="page39"/>
    <w:bookmarkEnd w:id="38"/>
    <w:p>
      <w:pPr>
        <w:ind w:right="340"/>
        <w:spacing w:after="0" w:line="256" w:lineRule="auto"/>
        <w:rPr>
          <w:sz w:val="20"/>
          <w:szCs w:val="20"/>
          <w:color w:val="auto"/>
        </w:rPr>
      </w:pPr>
      <w:r>
        <w:rPr>
          <w:rFonts w:ascii="Arial" w:cs="Arial" w:eastAsia="Arial" w:hAnsi="Arial"/>
          <w:sz w:val="18"/>
          <w:szCs w:val="18"/>
          <w:color w:val="auto"/>
        </w:rPr>
        <w:t>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Water Infrastructure segment.</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three months ended March 31, 2019, we recognized restructuring charges of $8 million. We incurred these charges primarily as a continuation of our efforts to reposition our European and North American businesses to optimize our cost structure and improve our operational efficiency and effectiveness. The charges included the reduction of headcount and consolidation of facilities within our Measurement &amp; Control Solutions and Water Infrastructure segments, as well as headcount reductions within our Applied Water segment.</w:t>
      </w:r>
    </w:p>
    <w:p>
      <w:pPr>
        <w:spacing w:after="0" w:line="9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following is a roll-forward for the three months ended March 31, 2020 and 2019 of employee position eliminations associated with restructuring activities:</w:t>
      </w:r>
    </w:p>
    <w:p>
      <w:pPr>
        <w:sectPr>
          <w:pgSz w:w="11900" w:h="16838" w:orient="portrait"/>
          <w:cols w:equalWidth="0" w:num="1">
            <w:col w:w="11240"/>
          </w:cols>
          <w:pgMar w:left="320" w:top="1219" w:right="339" w:bottom="1440" w:gutter="0" w:footer="0" w:header="0"/>
        </w:sectPr>
      </w:pP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720" w:type="dxa"/>
            <w:vAlign w:val="bottom"/>
          </w:tcPr>
          <w:p>
            <w:pPr>
              <w:spacing w:after="0"/>
              <w:rPr>
                <w:sz w:val="17"/>
                <w:szCs w:val="17"/>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43"/>
        </w:trPr>
        <w:tc>
          <w:tcPr>
            <w:tcW w:w="8720" w:type="dxa"/>
            <w:vAlign w:val="bottom"/>
          </w:tcPr>
          <w:p>
            <w:pPr>
              <w:spacing w:after="0"/>
              <w:rPr>
                <w:sz w:val="20"/>
                <w:szCs w:val="20"/>
                <w:color w:val="auto"/>
              </w:rPr>
            </w:pPr>
            <w:r>
              <w:rPr>
                <w:rFonts w:ascii="Arial" w:cs="Arial" w:eastAsia="Arial" w:hAnsi="Arial"/>
                <w:sz w:val="18"/>
                <w:szCs w:val="18"/>
                <w:color w:val="auto"/>
              </w:rPr>
              <w:t>Planned reductions - January 1</w:t>
            </w: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196</w:t>
            </w:r>
          </w:p>
        </w:tc>
      </w:tr>
      <w:tr>
        <w:trPr>
          <w:trHeight w:val="257"/>
        </w:trPr>
        <w:tc>
          <w:tcPr>
            <w:tcW w:w="8720" w:type="dxa"/>
            <w:vAlign w:val="bottom"/>
          </w:tcPr>
          <w:p>
            <w:pPr>
              <w:spacing w:after="0"/>
              <w:rPr>
                <w:sz w:val="20"/>
                <w:szCs w:val="20"/>
                <w:color w:val="auto"/>
              </w:rPr>
            </w:pPr>
            <w:r>
              <w:rPr>
                <w:rFonts w:ascii="Arial" w:cs="Arial" w:eastAsia="Arial" w:hAnsi="Arial"/>
                <w:sz w:val="18"/>
                <w:szCs w:val="18"/>
                <w:color w:val="auto"/>
              </w:rPr>
              <w:t>Additional planned reductions</w:t>
            </w:r>
          </w:p>
        </w:tc>
        <w:tc>
          <w:tcPr>
            <w:tcW w:w="1200" w:type="dxa"/>
            <w:vAlign w:val="bottom"/>
          </w:tcPr>
          <w:p>
            <w:pPr>
              <w:jc w:val="right"/>
              <w:ind w:right="74"/>
              <w:spacing w:after="0"/>
              <w:rPr>
                <w:sz w:val="20"/>
                <w:szCs w:val="20"/>
                <w:color w:val="auto"/>
              </w:rPr>
            </w:pPr>
            <w:r>
              <w:rPr>
                <w:rFonts w:ascii="Arial" w:cs="Arial" w:eastAsia="Arial" w:hAnsi="Arial"/>
                <w:sz w:val="18"/>
                <w:szCs w:val="18"/>
                <w:b w:val="1"/>
                <w:bCs w:val="1"/>
                <w:color w:val="auto"/>
              </w:rPr>
              <w:t>50</w:t>
            </w:r>
          </w:p>
        </w:tc>
      </w:tr>
      <w:tr>
        <w:trPr>
          <w:trHeight w:val="263"/>
        </w:trPr>
        <w:tc>
          <w:tcPr>
            <w:tcW w:w="8720" w:type="dxa"/>
            <w:vAlign w:val="bottom"/>
          </w:tcPr>
          <w:p>
            <w:pPr>
              <w:spacing w:after="0"/>
              <w:rPr>
                <w:sz w:val="20"/>
                <w:szCs w:val="20"/>
                <w:color w:val="auto"/>
              </w:rPr>
            </w:pPr>
            <w:r>
              <w:rPr>
                <w:rFonts w:ascii="Arial" w:cs="Arial" w:eastAsia="Arial" w:hAnsi="Arial"/>
                <w:sz w:val="18"/>
                <w:szCs w:val="18"/>
                <w:color w:val="auto"/>
              </w:rPr>
              <w:t>Actual reductions and reversals</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(60)</w:t>
            </w:r>
          </w:p>
        </w:tc>
      </w:tr>
      <w:tr>
        <w:trPr>
          <w:trHeight w:val="257"/>
        </w:trPr>
        <w:tc>
          <w:tcPr>
            <w:tcW w:w="8720" w:type="dxa"/>
            <w:vAlign w:val="bottom"/>
          </w:tcPr>
          <w:p>
            <w:pPr>
              <w:spacing w:after="0"/>
              <w:rPr>
                <w:sz w:val="20"/>
                <w:szCs w:val="20"/>
                <w:color w:val="auto"/>
              </w:rPr>
            </w:pPr>
            <w:r>
              <w:rPr>
                <w:rFonts w:ascii="Arial" w:cs="Arial" w:eastAsia="Arial" w:hAnsi="Arial"/>
                <w:sz w:val="18"/>
                <w:szCs w:val="18"/>
                <w:color w:val="auto"/>
              </w:rPr>
              <w:t>Planned reductions - March 31</w:t>
            </w: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186</w:t>
            </w:r>
          </w:p>
        </w:tc>
      </w:tr>
      <w:tr>
        <w:trPr>
          <w:trHeight w:val="20"/>
        </w:trPr>
        <w:tc>
          <w:tcPr>
            <w:tcW w:w="8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for actions commenced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Water</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51"/>
              <w:spacing w:after="0"/>
              <w:rPr>
                <w:sz w:val="20"/>
                <w:szCs w:val="20"/>
                <w:color w:val="auto"/>
              </w:rPr>
            </w:pPr>
            <w:r>
              <w:rPr>
                <w:rFonts w:ascii="Arial" w:cs="Arial" w:eastAsia="Arial" w:hAnsi="Arial"/>
                <w:sz w:val="14"/>
                <w:szCs w:val="14"/>
                <w:b w:val="1"/>
                <w:bCs w:val="1"/>
                <w:color w:val="auto"/>
              </w:rPr>
              <w:t>Measurement &amp;</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Applied Water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Control Solutions</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b w:val="1"/>
                <w:bCs w:val="1"/>
                <w:color w:val="auto"/>
              </w:rPr>
              <w:t>Actions Commenced in 2020:</w:t>
            </w: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Costs incurred during Q1 2020</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Total expected costs remaining</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Actions Commenced in 2019: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Costs incurred during 2019</w:t>
            </w:r>
          </w:p>
        </w:tc>
        <w:tc>
          <w:tcPr>
            <w:tcW w:w="18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Costs incurred during Q1 2020</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Total expected costs remaining</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b w:val="1"/>
                <w:bCs w:val="1"/>
                <w:color w:val="auto"/>
              </w:rPr>
              <w:t>Actions Commenced in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Costs incurred during 2017</w:t>
            </w:r>
          </w:p>
        </w:tc>
        <w:tc>
          <w:tcPr>
            <w:tcW w:w="18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Costs incurred during 2018</w:t>
            </w:r>
          </w:p>
        </w:tc>
        <w:tc>
          <w:tcPr>
            <w:tcW w:w="18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Costs incurred during 2019</w:t>
            </w:r>
          </w:p>
        </w:tc>
        <w:tc>
          <w:tcPr>
            <w:tcW w:w="18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Costs incurred during Q1 2020</w:t>
            </w:r>
          </w:p>
        </w:tc>
        <w:tc>
          <w:tcPr>
            <w:tcW w:w="18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Total expected costs remaining</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-1851025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-2536825</wp:posOffset>
            </wp:positionV>
            <wp:extent cx="713232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360"/>
        <w:spacing w:after="0"/>
        <w:rPr>
          <w:sz w:val="20"/>
          <w:szCs w:val="20"/>
          <w:color w:val="auto"/>
        </w:rPr>
      </w:pPr>
      <w:r>
        <w:rPr>
          <w:rFonts w:ascii="Arial" w:cs="Arial" w:eastAsia="Arial" w:hAnsi="Arial"/>
          <w:sz w:val="14"/>
          <w:szCs w:val="14"/>
          <w:color w:val="auto"/>
        </w:rPr>
        <w:t>2019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69</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158</w:t>
      </w:r>
    </w:p>
    <w:p>
      <w:pPr>
        <w:spacing w:after="0" w:line="5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14605</wp:posOffset>
            </wp:positionV>
            <wp:extent cx="763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4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14605</wp:posOffset>
            </wp:positionV>
            <wp:extent cx="763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-229235</wp:posOffset>
            </wp:positionH>
            <wp:positionV relativeFrom="paragraph">
              <wp:posOffset>40640</wp:posOffset>
            </wp:positionV>
            <wp:extent cx="763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26035</wp:posOffset>
            </wp:positionV>
            <wp:extent cx="857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w:t>
      </w:r>
    </w:p>
    <w:p>
      <w:pPr>
        <w:spacing w:after="0" w:line="41"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54610</wp:posOffset>
            </wp:positionV>
            <wp:extent cx="8572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52</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50</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w:t>
      </w:r>
    </w:p>
    <w:p>
      <w:pPr>
        <w:spacing w:after="0" w:line="41"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37465</wp:posOffset>
            </wp:positionV>
            <wp:extent cx="857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23</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11</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w:t>
      </w:r>
    </w:p>
    <w:p>
      <w:pPr>
        <w:spacing w:after="0" w:line="41"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54610</wp:posOffset>
            </wp:positionV>
            <wp:extent cx="8572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10000" w:space="400"/>
            <w:col w:w="840"/>
          </w:cols>
          <w:pgMar w:left="320" w:top="1219" w:right="339" w:bottom="1440" w:gutter="0" w:footer="0" w:header="0"/>
          <w:type w:val="continuous"/>
        </w:sectPr>
      </w:pPr>
    </w:p>
    <w:p>
      <w:pPr>
        <w:spacing w:after="0" w:line="252" w:lineRule="auto"/>
        <w:rPr>
          <w:sz w:val="20"/>
          <w:szCs w:val="20"/>
          <w:color w:val="auto"/>
        </w:rPr>
      </w:pPr>
      <w:r>
        <w:rPr>
          <w:rFonts w:ascii="Arial" w:cs="Arial" w:eastAsia="Arial" w:hAnsi="Arial"/>
          <w:sz w:val="18"/>
          <w:szCs w:val="18"/>
          <w:color w:val="auto"/>
        </w:rPr>
        <w:t>The Water Infrastructure actions commenced in 2020 consist primarily of severance charges and are substantially complete. The Water Infrastructure, Applied Water, and Measurement &amp; Control Solutions actions commenced in 2019 consist primarily of severance charges. The Applied Water and Measurement &amp; Control Solutions actions are complete and the Water Infrastructure actions are expected to continue through the fourth quarter of 2020. The Water Infrastructure, Applied Water and Measurement &amp; Control Solutions actions commenced in 2017 consist primarily of severance charges. The Measurement &amp; Control Solutions actions are complete and the Water Infrastructure and Applied Water actions are expected to continue through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Due to the impact of the COVID-19 pandemic, we are reevaluating the restructuring actions planned for 2020.</w:t>
      </w:r>
    </w:p>
    <w:p>
      <w:pPr>
        <w:sectPr>
          <w:pgSz w:w="11900" w:h="16838" w:orient="portrait"/>
          <w:cols w:equalWidth="0" w:num="1">
            <w:col w:w="11240"/>
          </w:cols>
          <w:pgMar w:left="320" w:top="12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39" w:name="page40"/>
    <w:bookmarkEnd w:id="39"/>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first quarter of 2019 we determined that certain assets within our Measurement &amp; Control Solutions segment, including customer relationships, were impaired. Accordingly we recognized impairment charges of $3 million. Refer to Note 9, "Goodwill and Other Intangible Assets," for additional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during the first quarter of 2020 was $61 million, reflecting a decrease of 44.0% compared to $109 million in the first quarter of 2019. Operating margin was 5.4% for 2020 versus 8.8% for 2019, a decrease of 340 basis points. Operating margin benefited from a decrease in restructuring and realignment costs of $ 11 million and special charges of $4 million incurred in 2019 that did not recur during the year. Excluding these restructuring and realignment costs and special charges, adjusted operating income was $70 million with an adjusted operating margin of 6.2% in the first quarter of 2020 as compared to adjusted operating income of $133 million with an adjusted operating margin of 10.8% in the first quarter of 2019. The decrease in adjusted operating margin was primarily due to unfavorable volume, impacted significantly by COVID-19, cost inflation, increased cost of quality, unfavorable mix and increased spending on strategic investments. These impacts were partially offset by cost reductions from our global procurement and productivity initiatives, including restructuring savings, and price realization.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ind w:right="200"/>
        <w:spacing w:after="0" w:line="261"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120" w:type="dxa"/>
            <w:vAlign w:val="bottom"/>
            <w:gridSpan w:val="6"/>
          </w:tcPr>
          <w:p>
            <w:pPr>
              <w:jc w:val="center"/>
              <w:ind w:right="57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r>
      <w:tr>
        <w:trPr>
          <w:trHeight w:val="222"/>
        </w:trPr>
        <w:tc>
          <w:tcPr>
            <w:tcW w:w="7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20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380" w:type="dxa"/>
            <w:vAlign w:val="bottom"/>
            <w:tcBorders>
              <w:bottom w:val="single" w:sz="8" w:color="auto"/>
            </w:tcBorders>
          </w:tcPr>
          <w:p>
            <w:pPr>
              <w:spacing w:after="0"/>
              <w:rPr>
                <w:sz w:val="18"/>
                <w:szCs w:val="18"/>
                <w:color w:val="auto"/>
              </w:rPr>
            </w:pPr>
          </w:p>
        </w:tc>
      </w:tr>
      <w:tr>
        <w:trPr>
          <w:trHeight w:val="243"/>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39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(170)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r>
        <w:trPr>
          <w:trHeight w:val="250"/>
        </w:trPr>
        <w:tc>
          <w:tcPr>
            <w:tcW w:w="7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CCEEFF"/>
            </w:tcBorders>
            <w:gridSpan w:val="2"/>
          </w:tcPr>
          <w:p>
            <w:pPr>
              <w:jc w:val="right"/>
              <w:ind w:right="36"/>
              <w:spacing w:after="0"/>
              <w:rPr>
                <w:sz w:val="20"/>
                <w:szCs w:val="20"/>
                <w:color w:val="auto"/>
              </w:rPr>
            </w:pPr>
            <w:r>
              <w:rPr>
                <w:rFonts w:ascii="Arial" w:cs="Arial" w:eastAsia="Arial" w:hAnsi="Arial"/>
                <w:sz w:val="18"/>
                <w:szCs w:val="18"/>
                <w:color w:val="auto"/>
              </w:rPr>
              <w:t>(44.4)</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10.0 %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12.4</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i w:val="1"/>
                <w:iCs w:val="1"/>
                <w:color w:val="auto"/>
              </w:rPr>
              <w:t>(240)</w:t>
            </w:r>
          </w:p>
        </w:tc>
        <w:tc>
          <w:tcPr>
            <w:tcW w:w="380" w:type="dxa"/>
            <w:vAlign w:val="bottom"/>
          </w:tcPr>
          <w:p>
            <w:pPr>
              <w:spacing w:after="0"/>
              <w:rPr>
                <w:sz w:val="20"/>
                <w:szCs w:val="20"/>
                <w:color w:val="auto"/>
              </w:rPr>
            </w:pPr>
            <w:r>
              <w:rPr>
                <w:rFonts w:ascii="Arial" w:cs="Arial" w:eastAsia="Arial" w:hAnsi="Arial"/>
                <w:sz w:val="18"/>
                <w:szCs w:val="18"/>
                <w:i w:val="1"/>
                <w:iCs w:val="1"/>
                <w:color w:val="auto"/>
              </w:rPr>
              <w:t>bp</w:t>
            </w:r>
          </w:p>
        </w:tc>
      </w:tr>
      <w:tr>
        <w:trPr>
          <w:trHeight w:val="263"/>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Applied Water</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47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(90)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r>
        <w:trPr>
          <w:trHeight w:val="250"/>
        </w:trPr>
        <w:tc>
          <w:tcPr>
            <w:tcW w:w="7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CCEEFF"/>
            </w:tcBorders>
            <w:gridSpan w:val="2"/>
          </w:tcPr>
          <w:p>
            <w:pPr>
              <w:jc w:val="right"/>
              <w:ind w:right="36"/>
              <w:spacing w:after="0"/>
              <w:rPr>
                <w:sz w:val="20"/>
                <w:szCs w:val="20"/>
                <w:color w:val="auto"/>
              </w:rPr>
            </w:pPr>
            <w:r>
              <w:rPr>
                <w:rFonts w:ascii="Arial" w:cs="Arial" w:eastAsia="Arial" w:hAnsi="Arial"/>
                <w:sz w:val="18"/>
                <w:szCs w:val="18"/>
                <w:color w:val="auto"/>
              </w:rPr>
              <w:t>(33.3)</w:t>
            </w:r>
          </w:p>
        </w:tc>
        <w:tc>
          <w:tcPr>
            <w:tcW w:w="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14.5 %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tcPr>
          <w:p>
            <w:pPr>
              <w:jc w:val="right"/>
              <w:ind w:right="36"/>
              <w:spacing w:after="0"/>
              <w:rPr>
                <w:sz w:val="20"/>
                <w:szCs w:val="20"/>
                <w:color w:val="auto"/>
              </w:rPr>
            </w:pPr>
            <w:r>
              <w:rPr>
                <w:rFonts w:ascii="Arial" w:cs="Arial" w:eastAsia="Arial" w:hAnsi="Arial"/>
                <w:sz w:val="18"/>
                <w:szCs w:val="18"/>
                <w:i w:val="1"/>
                <w:iCs w:val="1"/>
                <w:color w:val="auto"/>
              </w:rPr>
              <w:t>(110)</w:t>
            </w:r>
          </w:p>
        </w:tc>
        <w:tc>
          <w:tcPr>
            <w:tcW w:w="380" w:type="dxa"/>
            <w:vAlign w:val="bottom"/>
          </w:tcPr>
          <w:p>
            <w:pPr>
              <w:spacing w:after="0"/>
              <w:rPr>
                <w:sz w:val="20"/>
                <w:szCs w:val="20"/>
                <w:color w:val="auto"/>
              </w:rPr>
            </w:pPr>
            <w:r>
              <w:rPr>
                <w:rFonts w:ascii="Arial" w:cs="Arial" w:eastAsia="Arial" w:hAnsi="Arial"/>
                <w:sz w:val="18"/>
                <w:szCs w:val="18"/>
                <w:i w:val="1"/>
                <w:iCs w:val="1"/>
                <w:color w:val="auto"/>
              </w:rPr>
              <w:t>bp</w:t>
            </w:r>
          </w:p>
        </w:tc>
      </w:tr>
      <w:tr>
        <w:trPr>
          <w:trHeight w:val="263"/>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Measurement &amp; Control Solutions</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1"/>
              <w:spacing w:after="0"/>
              <w:rPr>
                <w:sz w:val="20"/>
                <w:szCs w:val="20"/>
                <w:color w:val="auto"/>
              </w:rPr>
            </w:pPr>
            <w:r>
              <w:rPr>
                <w:rFonts w:ascii="Arial" w:cs="Arial" w:eastAsia="Arial" w:hAnsi="Arial"/>
                <w:sz w:val="18"/>
                <w:szCs w:val="18"/>
                <w:b w:val="1"/>
                <w:bCs w:val="1"/>
                <w:color w:val="auto"/>
              </w:rPr>
              <w:t>(12)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(175.0)</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(780)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r>
        <w:trPr>
          <w:trHeight w:val="250"/>
        </w:trPr>
        <w:tc>
          <w:tcPr>
            <w:tcW w:w="7720" w:type="dxa"/>
            <w:vAlign w:val="bottom"/>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(75.0)</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i w:val="1"/>
                <w:iCs w:val="1"/>
                <w:color w:val="auto"/>
              </w:rPr>
              <w:t>—</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NM</w:t>
            </w:r>
          </w:p>
        </w:tc>
        <w:tc>
          <w:tcPr>
            <w:tcW w:w="380" w:type="dxa"/>
            <w:vAlign w:val="bottom"/>
            <w:shd w:val="clear" w:color="auto" w:fill="CCEEFF"/>
          </w:tcPr>
          <w:p>
            <w:pPr>
              <w:spacing w:after="0"/>
              <w:rPr>
                <w:sz w:val="22"/>
                <w:szCs w:val="22"/>
                <w:color w:val="auto"/>
              </w:rPr>
            </w:pPr>
          </w:p>
        </w:tc>
      </w:tr>
      <w:tr>
        <w:trPr>
          <w:trHeight w:val="250"/>
        </w:trPr>
        <w:tc>
          <w:tcPr>
            <w:tcW w:w="7720" w:type="dxa"/>
            <w:vAlign w:val="bottom"/>
          </w:tcPr>
          <w:p>
            <w:pPr>
              <w:ind w:left="620"/>
              <w:spacing w:after="0"/>
              <w:rPr>
                <w:sz w:val="20"/>
                <w:szCs w:val="20"/>
                <w:color w:val="auto"/>
              </w:rPr>
            </w:pPr>
            <w:r>
              <w:rPr>
                <w:rFonts w:ascii="Arial" w:cs="Arial" w:eastAsia="Arial" w:hAnsi="Arial"/>
                <w:sz w:val="18"/>
                <w:szCs w:val="18"/>
                <w:color w:val="auto"/>
              </w:rPr>
              <w:t>Adjusted operating (loss)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w w:val="99"/>
              </w:rPr>
              <w:t>$</w:t>
            </w:r>
          </w:p>
        </w:tc>
        <w:tc>
          <w:tcPr>
            <w:tcW w:w="78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(135.7)</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(1,030)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r>
        <w:trPr>
          <w:trHeight w:val="250"/>
        </w:trPr>
        <w:tc>
          <w:tcPr>
            <w:tcW w:w="7720" w:type="dxa"/>
            <w:vAlign w:val="bottom"/>
          </w:tcPr>
          <w:p>
            <w:pPr>
              <w:ind w:left="120"/>
              <w:spacing w:after="0"/>
              <w:rPr>
                <w:sz w:val="20"/>
                <w:szCs w:val="20"/>
                <w:color w:val="auto"/>
              </w:rPr>
            </w:pPr>
            <w:r>
              <w:rPr>
                <w:rFonts w:ascii="Arial" w:cs="Arial" w:eastAsia="Arial" w:hAnsi="Arial"/>
                <w:sz w:val="18"/>
                <w:szCs w:val="18"/>
                <w:b w:val="1"/>
                <w:bCs w:val="1"/>
                <w:color w:val="auto"/>
              </w:rPr>
              <w:t>Corporate and other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57"/>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center"/>
              <w:ind w:left="171"/>
              <w:spacing w:after="0"/>
              <w:rPr>
                <w:sz w:val="20"/>
                <w:szCs w:val="20"/>
                <w:color w:val="auto"/>
              </w:rPr>
            </w:pPr>
            <w:r>
              <w:rPr>
                <w:rFonts w:ascii="Arial" w:cs="Arial" w:eastAsia="Arial" w:hAnsi="Arial"/>
                <w:sz w:val="18"/>
                <w:szCs w:val="18"/>
                <w:color w:val="auto"/>
                <w:w w:val="99"/>
              </w:rPr>
              <w:t>(14)</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660"/>
              <w:spacing w:after="0"/>
              <w:rPr>
                <w:sz w:val="20"/>
                <w:szCs w:val="20"/>
                <w:color w:val="auto"/>
              </w:rPr>
            </w:pPr>
            <w:r>
              <w:rPr>
                <w:rFonts w:ascii="Arial" w:cs="Arial" w:eastAsia="Arial" w:hAnsi="Arial"/>
                <w:sz w:val="18"/>
                <w:szCs w:val="18"/>
                <w:color w:val="auto"/>
              </w:rPr>
              <w:t>Adjusted operating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11"/>
              <w:spacing w:after="0"/>
              <w:rPr>
                <w:sz w:val="20"/>
                <w:szCs w:val="20"/>
                <w:color w:val="auto"/>
              </w:rPr>
            </w:pPr>
            <w:r>
              <w:rPr>
                <w:rFonts w:ascii="Arial" w:cs="Arial" w:eastAsia="Arial" w:hAnsi="Arial"/>
                <w:sz w:val="18"/>
                <w:szCs w:val="18"/>
                <w:b w:val="1"/>
                <w:bCs w:val="1"/>
                <w:color w:val="auto"/>
              </w:rPr>
              <w:t>(13)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171"/>
              <w:spacing w:after="0"/>
              <w:rPr>
                <w:sz w:val="20"/>
                <w:szCs w:val="20"/>
                <w:color w:val="auto"/>
              </w:rPr>
            </w:pPr>
            <w:r>
              <w:rPr>
                <w:rFonts w:ascii="Arial" w:cs="Arial" w:eastAsia="Arial" w:hAnsi="Arial"/>
                <w:sz w:val="18"/>
                <w:szCs w:val="18"/>
                <w:color w:val="auto"/>
                <w:w w:val="99"/>
              </w:rPr>
              <w:t>(14)</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Xylem</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r>
      <w:tr>
        <w:trPr>
          <w:trHeight w:val="250"/>
        </w:trPr>
        <w:tc>
          <w:tcPr>
            <w:tcW w:w="772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61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(44.0)</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5.4 %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(340)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r>
        <w:trPr>
          <w:trHeight w:val="250"/>
        </w:trPr>
        <w:tc>
          <w:tcPr>
            <w:tcW w:w="7720" w:type="dxa"/>
            <w:vAlign w:val="bottom"/>
          </w:tcPr>
          <w:p>
            <w:pPr>
              <w:ind w:left="50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21"/>
                <w:szCs w:val="21"/>
                <w:color w:val="auto"/>
              </w:rPr>
            </w:pP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(55.0)</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Special charges</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NM</w:t>
            </w:r>
          </w:p>
        </w:tc>
        <w:tc>
          <w:tcPr>
            <w:tcW w:w="380" w:type="dxa"/>
            <w:vAlign w:val="bottom"/>
            <w:shd w:val="clear" w:color="auto" w:fill="CCEEFF"/>
          </w:tcPr>
          <w:p>
            <w:pPr>
              <w:spacing w:after="0"/>
              <w:rPr>
                <w:sz w:val="22"/>
                <w:szCs w:val="22"/>
                <w:color w:val="auto"/>
              </w:rPr>
            </w:pPr>
          </w:p>
        </w:tc>
      </w:tr>
      <w:tr>
        <w:trPr>
          <w:trHeight w:val="250"/>
        </w:trPr>
        <w:tc>
          <w:tcPr>
            <w:tcW w:w="7720" w:type="dxa"/>
            <w:vAlign w:val="bottom"/>
          </w:tcPr>
          <w:p>
            <w:pPr>
              <w:ind w:left="620"/>
              <w:spacing w:after="0"/>
              <w:rPr>
                <w:sz w:val="20"/>
                <w:szCs w:val="20"/>
                <w:color w:val="auto"/>
              </w:rPr>
            </w:pPr>
            <w:r>
              <w:rPr>
                <w:rFonts w:ascii="Arial" w:cs="Arial" w:eastAsia="Arial" w:hAnsi="Arial"/>
                <w:sz w:val="18"/>
                <w:szCs w:val="18"/>
                <w:color w:val="auto"/>
              </w:rPr>
              <w:t>Adjusted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151"/>
              <w:spacing w:after="0"/>
              <w:rPr>
                <w:sz w:val="20"/>
                <w:szCs w:val="20"/>
                <w:color w:val="auto"/>
              </w:rPr>
            </w:pPr>
            <w:r>
              <w:rPr>
                <w:rFonts w:ascii="Arial" w:cs="Arial" w:eastAsia="Arial" w:hAnsi="Arial"/>
                <w:sz w:val="18"/>
                <w:szCs w:val="18"/>
                <w:b w:val="1"/>
                <w:bCs w:val="1"/>
                <w:color w:val="auto"/>
              </w:rPr>
              <w:t>70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6.2 %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2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(460)</w:t>
            </w:r>
          </w:p>
        </w:tc>
        <w:tc>
          <w:tcPr>
            <w:tcW w:w="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bp</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3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Operating income for our Water Infrastructure segment decreased $12 million, or 23.5%, for the first quarter of 2020 compared to the prior year, with operating margin also decreasing from 10.6% to 8.9%. Operating margin benefited from a decrease in restructuring and realignment costs of $ 4 million in 2020. Excluding these restructuring and realignment costs, adjusted operating income decreased $16 million, or 26.7%, with adjusted operating margin decreasing from 12.4% to 10.0%. The decrease in adjusted operating margin for the quarter was primarily due to cost inflation, unfavorable volume, impacted significantly by COVID-19, unfavorable mix, negative currency impacts and increased spending on strategic investments. These impacts were partially offset by cost reductions from our global procurement and productivity initiatives and price realization.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income for our Applied Water segment decreased $9 million, or 16.1%, for the first quarter of 2020 compared to the prior year, with operating margin also decreasing from 14.8% to 13.9%. Operating margin</w:t>
      </w:r>
    </w:p>
    <w:p>
      <w:pPr>
        <w:sectPr>
          <w:pgSz w:w="11900" w:h="16838" w:orient="portrait"/>
          <w:cols w:equalWidth="0" w:num="1">
            <w:col w:w="11240"/>
          </w:cols>
          <w:pgMar w:left="320" w:top="12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41" w:name="page42"/>
    <w:bookmarkEnd w:id="41"/>
    <w:p>
      <w:pPr>
        <w:ind w:right="20"/>
        <w:spacing w:after="0" w:line="273" w:lineRule="auto"/>
        <w:rPr>
          <w:sz w:val="20"/>
          <w:szCs w:val="20"/>
          <w:color w:val="auto"/>
        </w:rPr>
      </w:pPr>
      <w:r>
        <w:rPr>
          <w:rFonts w:ascii="Arial" w:cs="Arial" w:eastAsia="Arial" w:hAnsi="Arial"/>
          <w:sz w:val="17"/>
          <w:szCs w:val="17"/>
          <w:color w:val="auto"/>
        </w:rPr>
        <w:t>benefited from a decrease in restructuring and realignment costs of $1 million in 2020. Excluding these restructuring and realignment costs, adjusted operating income decreased $10 million, or 16.9%, with adjusted operating margin decreasing from 15.6% to 14.5%. The decrease in adjusted operating margin was primarily due to cost inflation, unfavorable volume, impacted significantly by COVID-19, and increased cost of quality. These impacts were partially offset by cost reductions from our global procurement and productivity initiatives and price realization.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income for our Measurement &amp; Control Solutions segment decreased $28 million, or 175.0%, for the first quarter of 2020 compared to the prior year, resulting in an operating loss of $12 million, with operating margin also decreasing from 4.3% to (3.5)%. Operating margin benefited from a decrease in restructuring and realignment costs of $6 million during the year and $ 4 million of special charges incurred during 2019 that did not recur in 2020. Excluding these items, adjusted operating income decreased $38 million, or 135.7%, for the quarter, resulting in an adjusted operating loss of $10 million, with adjusted operating margin decreasing from 7.4% to (2.9)%. The decrease in adjusted operating margin was primarily due to increased cost of quality, primarily due to a $15 million warranty charge recorded during the quarter for a firmware issue in some of our meters, unfavorable volume, impacted significantly by COVID-19, cost inflation, unfavorable mix and increased spending on strategic investments. These impacts were partially offset by cost reductions from our global procurement and productivity initiatives and price realization.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Operating loss for corporate and other decreased $1 million, or 7.1%, for the first quarter of 2020 compared to the prior year.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Interest expense was $16 million for the three months ended March 31, 2020 and $18 million for the three months ended March 31, 2019. The decrease in interest expense for the three month period ended March 31, 2020 is primarily driven by the impact of cross currency swaps during the quarter and, to a lesser extent, the favorable interest rates associated with our Euro Commercial Paper Program borrowings as compared to borrowings from U.S. Dollar Commercial Paper Program during 2019. See Note 10, "Derivative Financial Instruments", of our condensed consolidated financial statements for a description of our cross currency swaps. See Note 12, "Credit Facilities and Debt", of our condensed consolidated financial statements for a description of our credit facilities and long-term debt and related interest.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income tax provision for the three months ended March 31, 2020 was $4 million resulting in an effective tax rate of 10.0%, compared to a $15 million charge resulting in an effective tax rate of 16.6% for the same period in 2019. The effective tax rate for the three month period ended March 31, 2020 differs from the United States federal statutory rate primarily due to the mix of earnings in jurisdictions, partially offset by the Global Intangible Low-Taxed Income ("GILTI") inclusion. Additionally, the effective tax rate for the three month period ended March 31, 2020 is lower than the same period in 2019 due to the relative impact of the benefit from favorable equity compensation deductions on the effective tax rate.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39"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Other comprehensive loss was $ 87 million for the three months ended March 31, 2020 compared to income of $20 million for the same period in 2019. Foreign currency translation contributed unfavorable year-over-year impacts for the quarter of $107 million, driven primarily by the weakening of the Great British Pound, the Canadian Dollar, the Australian Dollar and the Chinese Yuan as compared to the U.S. Dollar in 2020 versus the strengthening of these currencies in the same prior year period. Additionally, the weakening of the Euro and the South African Rand as compared to the U.S. Dollar was greater in 2020 than the weakening of these currencies in the prior year. These unfavorable currency translation impacts were partially offset by the movement in our Euro net investment hedges during the quarter. In addition to net unfavorable foreign currency translation impacts, there was an unfavorable impact from the movement of tax on the net investment hedges as compared to the prior year of $10 million during the quarter that contributed to the loss. Partially offsetting these unfavorable drivers was the decreased loss in derivative hedge agreements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2"/>
        </w:trPr>
        <w:tc>
          <w:tcPr>
            <w:tcW w:w="66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5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50"/>
        </w:trPr>
        <w:tc>
          <w:tcPr>
            <w:tcW w:w="660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29</w:t>
            </w:r>
          </w:p>
        </w:tc>
      </w:tr>
      <w:tr>
        <w:trPr>
          <w:trHeight w:val="263"/>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116</w:t>
            </w:r>
          </w:p>
        </w:tc>
      </w:tr>
      <w:tr>
        <w:trPr>
          <w:trHeight w:val="250"/>
        </w:trPr>
        <w:tc>
          <w:tcPr>
            <w:tcW w:w="6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75"/>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340" w:right="540" w:hanging="332"/>
        <w:spacing w:after="0" w:line="260"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is primarily due to the weakness of the Euro, the Canadian Dollar, the Chinese Yuan, the Russian Ruble and various other currencies against the U.S. Dollar.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by operating activities was $2 million for the three months ended March 31, 2020 as compared to net cash provided of $ 83 million in the comparable prior year period. This net decrease was primarily driven by the change in working capital levels as compared to the prior year, largely resulting from the sequential use of working capital following the low levels we saw at the end of 2019, and a decrease in cash from earnings.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Cash used in investing activities was $48 million for the three months ended March 31, 2020 as compared to $77 million in the comparable prior year period. This decrease in cash used of $29 million was mainly driven by lower spending on capital expenditures compared to the prior year, which included the purchase of a building and new software tools, and a $5 million reduction in spending on acquisitions.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Cash generated by financing activities was $ 87 million for the three months ended March 31, 2020 as compared to cash used of $29 million in the comparable prior year period. This net increase in cash from financing activities during the period was primarily due to higher levels of short-term debt during the first quarter of 2020, partially offset by an increase in share repurchase activity of $21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ability to fund our capital needs depends on our ongoing ability to generate cash from operations and access to bank financing and the capital markets. As a result of uncertainties caused by the COVID-19 pandemic, we are reevaluating aspects of our spending, including capital expenditures, strategic investments and dividends. We are also considering available federal, state and foreign tax programs related to timing of tax payments and deductions to further manage our liquidity. Historically, we have generated operating cash flow sufficient to fund our primary cash needs. The potentially prolonged economic effects of the COVID-19 pandemic may impact the Company’s future operating cash flows.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w:t>
      </w:r>
    </w:p>
    <w:p>
      <w:pPr>
        <w:spacing w:after="0" w:line="4" w:lineRule="exact"/>
        <w:rPr>
          <w:sz w:val="20"/>
          <w:szCs w:val="20"/>
          <w:color w:val="auto"/>
        </w:rPr>
      </w:pPr>
    </w:p>
    <w:p>
      <w:pPr>
        <w:ind w:right="40" w:firstLine="8"/>
        <w:spacing w:after="0" w:line="246" w:lineRule="auto"/>
        <w:tabs>
          <w:tab w:leader="none" w:pos="2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liquidity of the overall capital markets, and (iii) the current state of the economy. There can be no assurance that such financing will be available to us on acceptable terms or that such financing will be available at all.</w:t>
      </w:r>
    </w:p>
    <w:p>
      <w:pPr>
        <w:spacing w:after="0" w:line="22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monitor our global funding requirements and seek to meet our liquidity needs on a cost effective basis. The future impact of the COVID-19 pandemic is uncertain and may increase our borrowing costs and other costs of capital and otherwise adversely affect our business, results of operations, financial condition and liquidity.</w:t>
      </w:r>
    </w:p>
    <w:p>
      <w:pPr>
        <w:spacing w:after="0" w:line="230"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We have considered the impacts of the COVID-19 pandemic on our liquidity and capital resources and do not currently expect it to impact our ability to meet future liquidity needs or continue to comply with debt covenants. Based on our current global cash positions, cash flows from operations and access to the capital markets, we believe there is sufficient liquidity to meet our funding requirements. In addition, our existing committed credit</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43" w:name="page44"/>
    <w:bookmarkEnd w:id="43"/>
    <w:p>
      <w:pPr>
        <w:ind w:right="220"/>
        <w:spacing w:after="0" w:line="238" w:lineRule="auto"/>
        <w:rPr>
          <w:sz w:val="20"/>
          <w:szCs w:val="20"/>
          <w:color w:val="auto"/>
        </w:rPr>
      </w:pPr>
      <w:r>
        <w:rPr>
          <w:rFonts w:ascii="Arial" w:cs="Arial" w:eastAsia="Arial" w:hAnsi="Arial"/>
          <w:sz w:val="18"/>
          <w:szCs w:val="18"/>
          <w:color w:val="auto"/>
        </w:rPr>
        <w:t>facilities and access to the public debt markets would provide further liquidity if required. Currently, we have available liquidity of approximately $1.7 billion, consisting of cash and available credit facilities, including term loan facilities as disclosed in Note 12, "Credit Facilities and Debt", of our condensed consolidated financial statements. Our debt repayment obligations in 2020 consist of $268 million in outstanding commercial paper and $191 million of other borrowings. Our next long term debt maturity is October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Risk related to these items are described below and under Item 1A, "Risk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3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Non-United States Operations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generated approximately 50% and 51% of our revenue from non-United States operations for the three months ended March 31, 2020 and 2019, respectively. As we continue to grow our operations in the emerging markets and elsewhere outside of the United States, we expect to continue to generate significant revenue from non-United States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United States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United States operations. As of March 31, 2020, we have provided a deferred tax liability of $8 million for net foreign withholding taxes and state income taxes on $505 million of earnings expected to be repatriated to the United States parent as deemed necessary in the future.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Management’s Discussion and Analysis of Financial Condition and Results of Operations in the 2019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2019 Annual Report.</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carrying value of our Advanced Infrastructure Analytics (“AIA”) goodwill reporting unit is $169 million as of March 31, 2020. During the fourth quarter of 2019 we completed our annual goodwill assessment. Our 2019 impairment analysis indicated that the fair value of the AIA reporting unit exceeded its carrying value by less than 20%. We used the income approach to determine the fair value of our goodwill reporting units. Under the income approach, the fair value of the reporting units was based on the present value of the estimated cash flows that the reporting unit is expected to generate over its remaining life. Cash flow projections were based on management’s estimates of revenue growth rates and operating margins, taking into consideration industry and market conditions. The discount rate was based on the weighted average cost of capital appropriate for the reporting unit.</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Given the uncertainty of the future impact of the COVID-19 pandemic, further deterioration of our future cash flows may lead to a charge to earnings. We will continue to evaluate goodwill on an annual basis as of the beginning of our fourth quarter and whenever events and changes in circumstances indicate there may be a potential impairment.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for a discussion of the potential impacts of COVID-19 on the fair value of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Note 2, "Recently Issued Accounting Pronouncements", to the condensed consolidated financial statements for a complete discussion of recent accounting pronouncements.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other material change in the information concerning market risk as stated in our 2019 Annual Report.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management, with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environmental matters, tax, intellectual property matters, acquisitions or divestitures, product liability and personal injury claims, privacy, employment, labor and pension matters, government contract issues and commercial or contractual disputes. See Note 18, "Commitments and Contingencies", to the condensed consolidated financial statements for further information and any updates.</w:t>
      </w: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Information regarding our risk factors appears in Item 1A. of our Annual Report on Form 10-K for the fiscal year ended December 31, 2019 filed with the SEC on February 28, 2020 ("Annual Report"). These risk factors describe some of the assumptions, risks, uncertainties and other factors that could materially and adversely affect our business, financial condition or operating results. In addition, the following risk factor represents a material change in our risk factors from those disclosed in Item 1A. of our Annual Report.</w:t>
      </w:r>
    </w:p>
    <w:p>
      <w:pPr>
        <w:spacing w:after="0" w:line="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results of operations and stock price have been adversely impacted by the coronavirus disease 2019 (COVID-19), and we are unable to predict the full extent to which COVID-19 may adversely impact our business, operations, financial condition, results of operations, and stock price in the future.</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coronavirus disease 2019 (COVID-19) pandemic has created significant global volatility, uncertainty and economic disruption. The global spread of the COVID-19 pandemic has curtailed the movement of people, goods and services worldwide, including in many of the regions where we sell our products and services and conduct operations. Public health officials have recommended, or governments have mandated, precautions to mitigate the spread of COVID-19, including stay at home or similar measures in many of the areas in which we operate. This has resulted in temporary production impacts at several of our facilities over the past several months, and also curtailed the business and operations of some of our customers and suppliers.</w:t>
      </w:r>
    </w:p>
    <w:p>
      <w:pPr>
        <w:spacing w:after="0" w:line="10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COVID-19 pandemic is adversely affecting, and is expected to continue to adversely affect, our operations, supply chains and businesses, and we have experienced, and expect to continue to experience, unpredictable interruptions at our suppliers and reductions in demand for certain of our products and services as the COVID-19 pandemic has also had an adverse impact on many of the customers we serve. Because the severity, magnitude and duration of the COVID-19 pandemic and its economic consequences are uncertain, rapidly changing and difficult to predict, the pandemic’s impact on our business, operations, financial condition and results, and stock price remains uncertain and difficult to predict, but we expect our results to be adversely impacted beyond the quarter ending March 31, 2020.</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extent to which the COVID-19 pandemic impacts our business, operations, financial condition and results, and stock price will depend on numerous evolving factors that remain uncertain, many of which are not within our control or which we may not effectively respond to, including: the duration and scope of the pandemic; governmental, business and individuals’ mandates, actions and protocols that have been and continue to be taken in response to the pandemic; shortage of labor due to stay at home mandates, quarantines or prolonged illness of our employees or that of our customers or suppliers; the impact of the pandemic on economic activity and actions taken in response; the effect on our customers’ demand for our products and services, including slowed decision-making, delay or cancellation of orders or planned projects, or termination of existing agreements; the ability of our suppliers to supply us with products, parts and raw materials, including the ability of our suppliers to meet logistics or delivery requirements; our ability to sell and provide our products and services, including as a result of travel restrictions and people working from home; the ability of our customers to pay for our products and services; any closures of our and our customers’ facilities or suspension of operations; commodity cost volatilities; and the pace of recovery when the COVID-19 pandemic subsides, as well as response to potential recurrence.</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concerns over the economic impact of COVID-19 have caused extreme volatility in financial and other capital markets which has, and may continue to, adversely impact our stock price. The financial and capital market volatility may also increase our cost of capital or may limit the availability of additional capital or make it more difficult to secure, possibly only on terms less favorable to us. A sustained downturn may impact our liquidity position, including our ability to continue to pay dividends. A sustained downturn in the financial markets and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320"/>
        <w:spacing w:after="0" w:line="256" w:lineRule="auto"/>
        <w:rPr>
          <w:sz w:val="20"/>
          <w:szCs w:val="20"/>
          <w:color w:val="auto"/>
        </w:rPr>
      </w:pPr>
      <w:r>
        <w:rPr>
          <w:rFonts w:ascii="Arial" w:cs="Arial" w:eastAsia="Arial" w:hAnsi="Arial"/>
          <w:sz w:val="18"/>
          <w:szCs w:val="18"/>
          <w:color w:val="auto"/>
        </w:rPr>
        <w:t>values may also result in the carrying value of our goodwill or other intangible assets exceeding their fair value, which may require us to recognize an impairment to those assets. The effects of the COVID-19 pandemic, including remote working arrangements for employees, may also impact our financial reporting systems and internal control over financial reporting.</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Further, the COVID-19 pandemic, and the volatile regional and global economic conditions stemming from the pandemic, could also precipitate or aggravate the other risk factors that we identify in our 2019 Annual Report on Form 10-K, which could materially adversely affect our business, financial condition, results of operations and/or stock price. Additionally, the COVID-19 pandemic may also affect our operating and financial results in a manner that is not presently known to us or that we currently do not consider to present significant risks to our operations.</w:t>
      </w:r>
    </w:p>
    <w:p>
      <w:pPr>
        <w:spacing w:after="0" w:line="200" w:lineRule="exact"/>
        <w:rPr>
          <w:sz w:val="20"/>
          <w:szCs w:val="20"/>
          <w:color w:val="auto"/>
        </w:rPr>
      </w:pPr>
    </w:p>
    <w:p>
      <w:pPr>
        <w:spacing w:after="0" w:line="22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7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2060" w:type="dxa"/>
            <w:vAlign w:val="bottom"/>
          </w:tcPr>
          <w:p>
            <w:pPr>
              <w:jc w:val="center"/>
              <w:ind w:left="21"/>
              <w:spacing w:after="0"/>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6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1"/>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54"/>
        </w:trPr>
        <w:tc>
          <w:tcPr>
            <w:tcW w:w="2780" w:type="dxa"/>
            <w:vAlign w:val="bottom"/>
            <w:vMerge w:val="continue"/>
          </w:tcPr>
          <w:p>
            <w:pPr>
              <w:spacing w:after="0"/>
              <w:rPr>
                <w:sz w:val="4"/>
                <w:szCs w:val="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206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6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5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1/1/20 - 1/31/20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$338</w:t>
            </w:r>
          </w:p>
        </w:tc>
        <w:tc>
          <w:tcPr>
            <w:tcW w:w="0" w:type="dxa"/>
            <w:vAlign w:val="bottom"/>
          </w:tcPr>
          <w:p>
            <w:pPr>
              <w:spacing w:after="0"/>
              <w:rPr>
                <w:sz w:val="1"/>
                <w:szCs w:val="1"/>
                <w:color w:val="auto"/>
              </w:rPr>
            </w:pPr>
          </w:p>
        </w:tc>
      </w:tr>
      <w:tr>
        <w:trPr>
          <w:trHeight w:val="250"/>
        </w:trPr>
        <w:tc>
          <w:tcPr>
            <w:tcW w:w="2780" w:type="dxa"/>
            <w:vAlign w:val="bottom"/>
          </w:tcPr>
          <w:p>
            <w:pPr>
              <w:ind w:left="20"/>
              <w:spacing w:after="0"/>
              <w:rPr>
                <w:sz w:val="20"/>
                <w:szCs w:val="20"/>
                <w:color w:val="auto"/>
              </w:rPr>
            </w:pPr>
            <w:r>
              <w:rPr>
                <w:rFonts w:ascii="Arial" w:cs="Arial" w:eastAsia="Arial" w:hAnsi="Arial"/>
                <w:sz w:val="18"/>
                <w:szCs w:val="18"/>
                <w:color w:val="auto"/>
              </w:rPr>
              <w:t>2/1/20 - 2/29/20</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21"/>
              <w:spacing w:after="0"/>
              <w:rPr>
                <w:sz w:val="20"/>
                <w:szCs w:val="20"/>
                <w:color w:val="auto"/>
              </w:rPr>
            </w:pPr>
            <w:r>
              <w:rPr>
                <w:rFonts w:ascii="Arial" w:cs="Arial" w:eastAsia="Arial" w:hAnsi="Arial"/>
                <w:sz w:val="18"/>
                <w:szCs w:val="18"/>
                <w:b w:val="1"/>
                <w:bCs w:val="1"/>
                <w:color w:val="auto"/>
                <w:w w:val="99"/>
              </w:rPr>
              <w:t>$338</w:t>
            </w:r>
          </w:p>
        </w:tc>
        <w:tc>
          <w:tcPr>
            <w:tcW w:w="0" w:type="dxa"/>
            <w:vAlign w:val="bottom"/>
          </w:tcPr>
          <w:p>
            <w:pPr>
              <w:spacing w:after="0"/>
              <w:rPr>
                <w:sz w:val="1"/>
                <w:szCs w:val="1"/>
                <w:color w:val="auto"/>
              </w:rPr>
            </w:pPr>
          </w:p>
        </w:tc>
      </w:tr>
      <w:tr>
        <w:trPr>
          <w:trHeight w:val="257"/>
        </w:trPr>
        <w:tc>
          <w:tcPr>
            <w:tcW w:w="2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3/1/20 - 3/31/20</w:t>
            </w:r>
          </w:p>
        </w:tc>
        <w:tc>
          <w:tcPr>
            <w:tcW w:w="2060" w:type="dxa"/>
            <w:vAlign w:val="bottom"/>
            <w:tcBorders>
              <w:bottom w:val="single" w:sz="8" w:color="auto"/>
            </w:tcBorders>
            <w:shd w:val="clear" w:color="auto" w:fill="CCEEFF"/>
          </w:tcPr>
          <w:p>
            <w:pPr>
              <w:jc w:val="center"/>
              <w:ind w:left="17"/>
              <w:spacing w:after="0"/>
              <w:rPr>
                <w:sz w:val="20"/>
                <w:szCs w:val="20"/>
                <w:color w:val="auto"/>
              </w:rPr>
            </w:pPr>
            <w:r>
              <w:rPr>
                <w:rFonts w:ascii="Arial" w:cs="Arial" w:eastAsia="Arial" w:hAnsi="Arial"/>
                <w:sz w:val="18"/>
                <w:szCs w:val="18"/>
                <w:color w:val="auto"/>
                <w:w w:val="95"/>
              </w:rPr>
              <w:t>0.7</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77.06</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206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8"/>
                <w:szCs w:val="18"/>
                <w:b w:val="1"/>
                <w:bCs w:val="1"/>
                <w:color w:val="auto"/>
                <w:w w:val="99"/>
              </w:rPr>
              <w:t>$288</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right="400"/>
        <w:spacing w:after="0" w:line="260"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8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53"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24, 2015, our Board of Directors authorized the repurchase of up to $500 million in shares with no expiration date. The program's objective is to deploy our capital in a manner that benefits our shareholders and maintains our focus on growth. For the three months ended March 31, 2020, we repurchased 0.7 million shares for $50 million. There are up to $288 million in shares that may still be purchased under this plan as of March 31, 2020.</w:t>
      </w:r>
    </w:p>
    <w:p>
      <w:pPr>
        <w:spacing w:after="0" w:line="31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9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50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940" w:type="dxa"/>
            <w:vAlign w:val="bottom"/>
            <w:tcBorders>
              <w:bottom w:val="single" w:sz="8" w:color="auto"/>
            </w:tcBorders>
            <w:vMerge w:val="continue"/>
          </w:tcPr>
          <w:p>
            <w:pPr>
              <w:spacing w:after="0"/>
              <w:rPr>
                <w:sz w:val="15"/>
                <w:szCs w:val="15"/>
                <w:color w:val="auto"/>
              </w:rPr>
            </w:pPr>
          </w:p>
        </w:tc>
        <w:tc>
          <w:tcPr>
            <w:tcW w:w="5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800" w:type="dxa"/>
            <w:vAlign w:val="bottom"/>
          </w:tcPr>
          <w:p>
            <w:pPr>
              <w:jc w:val="center"/>
              <w:spacing w:after="0"/>
              <w:rPr>
                <w:rFonts w:ascii="Arial" w:cs="Arial" w:eastAsia="Arial" w:hAnsi="Arial"/>
                <w:sz w:val="18"/>
                <w:szCs w:val="18"/>
                <w:u w:val="single" w:color="auto"/>
                <w:color w:val="0000FF"/>
                <w:w w:val="95"/>
              </w:rPr>
            </w:pPr>
            <w:hyperlink r:id="rId82">
              <w:r>
                <w:rPr>
                  <w:rFonts w:ascii="Arial" w:cs="Arial" w:eastAsia="Arial" w:hAnsi="Arial"/>
                  <w:sz w:val="18"/>
                  <w:szCs w:val="18"/>
                  <w:u w:val="single" w:color="auto"/>
                  <w:color w:val="0000FF"/>
                  <w:w w:val="95"/>
                </w:rPr>
                <w:t>3.1</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Fourth Amended and Restated Articles of Incorporation of</w:t>
            </w:r>
          </w:p>
        </w:tc>
        <w:tc>
          <w:tcPr>
            <w:tcW w:w="5500" w:type="dxa"/>
            <w:vAlign w:val="bottom"/>
          </w:tcPr>
          <w:p>
            <w:pPr>
              <w:ind w:left="26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Xylem Inc.</w:t>
            </w:r>
          </w:p>
        </w:tc>
        <w:tc>
          <w:tcPr>
            <w:tcW w:w="5500" w:type="dxa"/>
            <w:vAlign w:val="bottom"/>
          </w:tcPr>
          <w:p>
            <w:pPr>
              <w:ind w:left="26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96"/>
        </w:trPr>
        <w:tc>
          <w:tcPr>
            <w:tcW w:w="800" w:type="dxa"/>
            <w:vAlign w:val="bottom"/>
          </w:tcPr>
          <w:p>
            <w:pPr>
              <w:jc w:val="center"/>
              <w:spacing w:after="0"/>
              <w:rPr>
                <w:rFonts w:ascii="Arial" w:cs="Arial" w:eastAsia="Arial" w:hAnsi="Arial"/>
                <w:sz w:val="18"/>
                <w:szCs w:val="18"/>
                <w:u w:val="single" w:color="auto"/>
                <w:color w:val="0000FF"/>
                <w:w w:val="95"/>
              </w:rPr>
            </w:pPr>
            <w:hyperlink r:id="rId83">
              <w:r>
                <w:rPr>
                  <w:rFonts w:ascii="Arial" w:cs="Arial" w:eastAsia="Arial" w:hAnsi="Arial"/>
                  <w:sz w:val="18"/>
                  <w:szCs w:val="18"/>
                  <w:u w:val="single" w:color="auto"/>
                  <w:color w:val="0000FF"/>
                  <w:w w:val="95"/>
                </w:rPr>
                <w:t>3.2</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Fourth Amended and Restated By-laws of Xylem Inc.</w:t>
            </w:r>
          </w:p>
        </w:tc>
        <w:tc>
          <w:tcPr>
            <w:tcW w:w="5500" w:type="dxa"/>
            <w:vAlign w:val="bottom"/>
          </w:tcPr>
          <w:p>
            <w:pPr>
              <w:ind w:left="26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96"/>
        </w:trPr>
        <w:tc>
          <w:tcPr>
            <w:tcW w:w="800" w:type="dxa"/>
            <w:vAlign w:val="bottom"/>
          </w:tcPr>
          <w:p>
            <w:pPr>
              <w:jc w:val="cente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31.1</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Certification pursuant to Rule 13a-14(a)/15d-14(a) of the</w:t>
            </w:r>
          </w:p>
        </w:tc>
        <w:tc>
          <w:tcPr>
            <w:tcW w:w="5500" w:type="dxa"/>
            <w:vAlign w:val="bottom"/>
          </w:tcPr>
          <w:p>
            <w:pPr>
              <w:ind w:left="2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Securities Exchange Act of 1934, as adopted pursuant to</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800" w:type="dxa"/>
            <w:vAlign w:val="bottom"/>
          </w:tcPr>
          <w:p>
            <w:pPr>
              <w:jc w:val="cente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31.2</w:t>
              </w:r>
            </w:hyperlink>
          </w:p>
        </w:tc>
        <w:tc>
          <w:tcPr>
            <w:tcW w:w="4940" w:type="dxa"/>
            <w:vAlign w:val="bottom"/>
          </w:tcPr>
          <w:p>
            <w:pPr>
              <w:ind w:left="100"/>
              <w:spacing w:after="0"/>
              <w:rPr>
                <w:sz w:val="20"/>
                <w:szCs w:val="20"/>
                <w:color w:val="auto"/>
              </w:rPr>
            </w:pPr>
            <w:r>
              <w:rPr>
                <w:rFonts w:ascii="Arial" w:cs="Arial" w:eastAsia="Arial" w:hAnsi="Arial"/>
                <w:sz w:val="18"/>
                <w:szCs w:val="18"/>
                <w:color w:val="auto"/>
              </w:rPr>
              <w:t>Certification pursuant to Rule 13a-14(a)/15d-14(a) of the</w:t>
            </w:r>
          </w:p>
        </w:tc>
        <w:tc>
          <w:tcPr>
            <w:tcW w:w="5500" w:type="dxa"/>
            <w:vAlign w:val="bottom"/>
          </w:tcPr>
          <w:p>
            <w:pPr>
              <w:ind w:left="2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Securities Exchange Act of 1934, as adopted pursuant to</w:t>
            </w: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rPr>
                <w:sz w:val="18"/>
                <w:szCs w:val="18"/>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886" w:right="339" w:bottom="1440" w:gutter="0" w:footer="0" w:header="0"/>
        </w:sectPr>
      </w:pPr>
    </w:p>
    <w:p>
      <w:pPr>
        <w:ind w:left="900" w:hanging="624"/>
        <w:spacing w:after="0" w:line="274" w:lineRule="auto"/>
        <w:tabs>
          <w:tab w:leader="none" w:pos="880" w:val="left"/>
        </w:tabs>
        <w:rPr>
          <w:rFonts w:ascii="Arial" w:cs="Arial" w:eastAsia="Arial" w:hAnsi="Arial"/>
          <w:sz w:val="18"/>
          <w:szCs w:val="18"/>
          <w:color w:val="0000FF"/>
        </w:rPr>
      </w:pPr>
      <w:hyperlink w:anchor="page85">
        <w:r>
          <w:rPr>
            <w:rFonts w:ascii="Arial" w:cs="Arial" w:eastAsia="Arial" w:hAnsi="Arial"/>
            <w:sz w:val="18"/>
            <w:szCs w:val="18"/>
            <w:u w:val="single" w:color="auto"/>
            <w:color w:val="0000FF"/>
          </w:rPr>
          <w:t>32.1</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Arial" w:cs="Arial" w:eastAsia="Arial" w:hAnsi="Arial"/>
          <w:sz w:val="17"/>
          <w:szCs w:val="17"/>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73" w:lineRule="exact"/>
        <w:rPr>
          <w:sz w:val="20"/>
          <w:szCs w:val="20"/>
          <w:color w:val="auto"/>
        </w:rPr>
      </w:pPr>
    </w:p>
    <w:p>
      <w:pPr>
        <w:sectPr>
          <w:pgSz w:w="11900" w:h="16838" w:orient="portrait"/>
          <w:cols w:equalWidth="0" w:num="2">
            <w:col w:w="5740" w:space="260"/>
            <w:col w:w="5240"/>
          </w:cols>
          <w:pgMar w:left="320" w:top="886" w:right="339" w:bottom="1440" w:gutter="0" w:footer="0" w:header="0"/>
          <w:type w:val="continuous"/>
        </w:sectPr>
      </w:pPr>
    </w:p>
    <w:p>
      <w:pPr>
        <w:ind w:left="900" w:hanging="624"/>
        <w:spacing w:after="0" w:line="274" w:lineRule="auto"/>
        <w:tabs>
          <w:tab w:leader="none" w:pos="880" w:val="left"/>
        </w:tabs>
        <w:rPr>
          <w:rFonts w:ascii="Arial" w:cs="Arial" w:eastAsia="Arial" w:hAnsi="Arial"/>
          <w:sz w:val="18"/>
          <w:szCs w:val="18"/>
          <w:color w:val="0000FF"/>
        </w:rPr>
      </w:pPr>
      <w:hyperlink w:anchor="page86">
        <w:r>
          <w:rPr>
            <w:rFonts w:ascii="Arial" w:cs="Arial" w:eastAsia="Arial" w:hAnsi="Arial"/>
            <w:sz w:val="18"/>
            <w:szCs w:val="18"/>
            <w:u w:val="single" w:color="auto"/>
            <w:color w:val="0000FF"/>
          </w:rPr>
          <w:t>32.2</w:t>
        </w:r>
      </w:hyperlink>
      <w:r>
        <w:rPr>
          <w:rFonts w:ascii="Arial" w:cs="Arial" w:eastAsia="Arial" w:hAnsi="Arial"/>
          <w:sz w:val="18"/>
          <w:szCs w:val="18"/>
          <w:color w:val="0000FF"/>
        </w:rPr>
        <w:tab/>
      </w:r>
      <w:r>
        <w:rPr>
          <w:rFonts w:ascii="Arial" w:cs="Arial" w:eastAsia="Arial" w:hAnsi="Arial"/>
          <w:sz w:val="17"/>
          <w:szCs w:val="17"/>
          <w:color w:val="0000FF"/>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Arial" w:cs="Arial" w:eastAsia="Arial" w:hAnsi="Arial"/>
          <w:sz w:val="17"/>
          <w:szCs w:val="17"/>
          <w:color w:val="auto"/>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p>
      <w:pPr>
        <w:spacing w:after="0" w:line="69" w:lineRule="exact"/>
        <w:rPr>
          <w:sz w:val="20"/>
          <w:szCs w:val="20"/>
          <w:color w:val="auto"/>
        </w:rPr>
      </w:pPr>
    </w:p>
    <w:p>
      <w:pPr>
        <w:sectPr>
          <w:pgSz w:w="11900" w:h="16838" w:orient="portrait"/>
          <w:cols w:equalWidth="0" w:num="2">
            <w:col w:w="5740" w:space="260"/>
            <w:col w:w="5240"/>
          </w:cols>
          <w:pgMar w:left="320" w:top="886" w:right="339" w:bottom="1440" w:gutter="0" w:footer="0" w:header="0"/>
          <w:type w:val="continuous"/>
        </w:sectPr>
      </w:pPr>
    </w:p>
    <w:p>
      <w:pPr>
        <w:ind w:left="220"/>
        <w:spacing w:after="0"/>
        <w:tabs>
          <w:tab w:leader="none" w:pos="880" w:val="left"/>
          <w:tab w:leader="none" w:pos="5980" w:val="left"/>
        </w:tabs>
        <w:rPr>
          <w:rFonts w:ascii="Arial" w:cs="Arial" w:eastAsia="Arial" w:hAnsi="Arial"/>
          <w:sz w:val="18"/>
          <w:szCs w:val="18"/>
          <w:color w:val="0000FF"/>
        </w:rPr>
      </w:pPr>
      <w:hyperlink w:anchor="page50">
        <w:r>
          <w:rPr>
            <w:rFonts w:ascii="Arial" w:cs="Arial" w:eastAsia="Arial" w:hAnsi="Arial"/>
            <w:sz w:val="18"/>
            <w:szCs w:val="18"/>
            <w:u w:val="single" w:color="auto"/>
            <w:color w:val="0000FF"/>
          </w:rPr>
          <w:t>10.35</w:t>
        </w:r>
      </w:hyperlink>
      <w:r>
        <w:rPr>
          <w:rFonts w:ascii="Arial" w:cs="Arial" w:eastAsia="Arial" w:hAnsi="Arial"/>
          <w:sz w:val="18"/>
          <w:szCs w:val="18"/>
          <w:color w:val="0000FF"/>
        </w:rPr>
        <w:tab/>
        <w:t>Term Loan Agreement, dated as of April 25, 2020 among</w:t>
        <w:tab/>
      </w:r>
      <w:r>
        <w:rPr>
          <w:rFonts w:ascii="Arial" w:cs="Arial" w:eastAsia="Arial" w:hAnsi="Arial"/>
          <w:sz w:val="17"/>
          <w:szCs w:val="17"/>
          <w:color w:val="0000FF"/>
        </w:rPr>
        <w:t>Filed herewith.</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Xylem Europe GmbH, as borrower, Xylem Inc., as parent</w:t>
      </w:r>
    </w:p>
    <w:p>
      <w:pPr>
        <w:ind w:left="900"/>
        <w:spacing w:after="0" w:line="234" w:lineRule="auto"/>
        <w:rPr>
          <w:sz w:val="20"/>
          <w:szCs w:val="20"/>
          <w:color w:val="auto"/>
        </w:rPr>
      </w:pPr>
      <w:r>
        <w:rPr>
          <w:rFonts w:ascii="Arial" w:cs="Arial" w:eastAsia="Arial" w:hAnsi="Arial"/>
          <w:sz w:val="18"/>
          <w:szCs w:val="18"/>
          <w:color w:val="auto"/>
        </w:rPr>
        <w:t>guarantor and ING Bank, as lender (including Form of Parent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Guarantee)</w:t>
      </w:r>
    </w:p>
    <w:p>
      <w:pPr>
        <w:spacing w:after="0" w:line="90" w:lineRule="exact"/>
        <w:rPr>
          <w:sz w:val="20"/>
          <w:szCs w:val="20"/>
          <w:color w:val="auto"/>
        </w:rPr>
      </w:pPr>
    </w:p>
    <w:p>
      <w:pPr>
        <w:ind w:left="220"/>
        <w:spacing w:after="0"/>
        <w:tabs>
          <w:tab w:leader="none" w:pos="880" w:val="left"/>
        </w:tabs>
        <w:rPr>
          <w:rFonts w:ascii="Arial" w:cs="Arial" w:eastAsia="Arial" w:hAnsi="Arial"/>
          <w:sz w:val="18"/>
          <w:szCs w:val="18"/>
          <w:color w:val="0000FF"/>
        </w:rPr>
      </w:pPr>
      <w:hyperlink w:anchor="page72">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7"/>
          <w:szCs w:val="17"/>
          <w:color w:val="0000FF"/>
        </w:rPr>
        <w:t>Term Loan Agreement, dated April 30, 2020 among Xylem Inc., Filed herewith.</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borrower, and Australia and New Zealand Banking Group</w:t>
      </w:r>
    </w:p>
    <w:p>
      <w:pPr>
        <w:ind w:left="900"/>
        <w:spacing w:after="0"/>
        <w:rPr>
          <w:sz w:val="20"/>
          <w:szCs w:val="20"/>
          <w:color w:val="auto"/>
        </w:rPr>
      </w:pPr>
      <w:r>
        <w:rPr>
          <w:rFonts w:ascii="Arial" w:cs="Arial" w:eastAsia="Arial" w:hAnsi="Arial"/>
          <w:sz w:val="18"/>
          <w:szCs w:val="18"/>
          <w:color w:val="auto"/>
        </w:rPr>
        <w:t>Limited, as lender</w:t>
      </w:r>
    </w:p>
    <w:p>
      <w:pPr>
        <w:sectPr>
          <w:pgSz w:w="11900" w:h="16838" w:orient="portrait"/>
          <w:cols w:equalWidth="0" w:num="1">
            <w:col w:w="11240"/>
          </w:cols>
          <w:pgMar w:left="320" w:top="886" w:right="339" w:bottom="1440" w:gutter="0" w:footer="0" w:header="0"/>
          <w:type w:val="continuous"/>
        </w:sectPr>
      </w:pPr>
    </w:p>
    <w:p>
      <w:pPr>
        <w:spacing w:after="0" w:line="104" w:lineRule="exact"/>
        <w:rPr>
          <w:sz w:val="20"/>
          <w:szCs w:val="20"/>
          <w:color w:val="auto"/>
        </w:rPr>
      </w:pPr>
    </w:p>
    <w:p>
      <w:pPr>
        <w:ind w:left="900" w:hanging="674"/>
        <w:spacing w:after="0" w:line="248" w:lineRule="auto"/>
        <w:tabs>
          <w:tab w:leader="none" w:pos="8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March 31, 2020, formatted in Inline Extensible Business Reporting Language (Inline XBRL): (i) Condensed Consolidated Income Statements,</w:t>
      </w:r>
    </w:p>
    <w:p>
      <w:pPr>
        <w:spacing w:after="0" w:line="2" w:lineRule="exact"/>
        <w:rPr>
          <w:sz w:val="20"/>
          <w:szCs w:val="20"/>
          <w:color w:val="auto"/>
        </w:rPr>
      </w:pPr>
    </w:p>
    <w:p>
      <w:pPr>
        <w:ind w:left="900" w:right="260" w:hanging="10"/>
        <w:spacing w:after="0" w:line="238" w:lineRule="auto"/>
        <w:tabs>
          <w:tab w:leader="none" w:pos="11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(iii) Condensed Consolidated Balance Sheets, (iv) Condensed Consolidated Statements of Cash Flows and (v) Notes to Condensed Consolidated Financial Statements</w:t>
      </w:r>
    </w:p>
    <w:p>
      <w:pPr>
        <w:spacing w:after="0" w:line="43" w:lineRule="exact"/>
        <w:rPr>
          <w:sz w:val="20"/>
          <w:szCs w:val="20"/>
          <w:color w:val="auto"/>
        </w:rPr>
      </w:pPr>
    </w:p>
    <w:p>
      <w:pPr>
        <w:jc w:val="both"/>
        <w:ind w:left="900" w:right="200" w:hanging="674"/>
        <w:spacing w:after="0"/>
        <w:tabs>
          <w:tab w:leader="none" w:pos="880" w:val="left"/>
        </w:tabs>
        <w:rPr>
          <w:sz w:val="20"/>
          <w:szCs w:val="20"/>
          <w:color w:val="auto"/>
        </w:rPr>
      </w:pPr>
      <w:r>
        <w:rPr>
          <w:rFonts w:ascii="Arial" w:cs="Arial" w:eastAsia="Arial" w:hAnsi="Arial"/>
          <w:sz w:val="18"/>
          <w:szCs w:val="18"/>
          <w:color w:val="auto"/>
        </w:rPr>
        <w:t>104.0</w:t>
        <w:tab/>
        <w:t>The cover page from Xylem Inc.'s Quarterly Report on Form 10-Q for the period ended March 31, 2020 formatted in Inline XBRL and contained in Exhibit 101.0.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The instance document does not appear in the interactive data file because its XBRL tags are embedded within the Inline XBRL document.</w:t>
      </w:r>
    </w:p>
    <w:p>
      <w:pPr>
        <w:spacing w:after="0" w:line="1941" w:lineRule="exact"/>
        <w:rPr>
          <w:sz w:val="20"/>
          <w:szCs w:val="20"/>
          <w:color w:val="auto"/>
        </w:rPr>
      </w:pPr>
    </w:p>
    <w:p>
      <w:pPr>
        <w:sectPr>
          <w:pgSz w:w="11900" w:h="16838" w:orient="portrait"/>
          <w:cols w:equalWidth="0" w:num="2">
            <w:col w:w="5940" w:space="60"/>
            <w:col w:w="524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8" w:name="page49"/>
    <w:bookmarkEnd w:id="4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480"/>
        <w:spacing w:after="0"/>
        <w:rPr>
          <w:sz w:val="20"/>
          <w:szCs w:val="20"/>
          <w:color w:val="auto"/>
        </w:rPr>
      </w:pPr>
      <w:r>
        <w:rPr>
          <w:rFonts w:ascii="Arial" w:cs="Arial" w:eastAsia="Arial" w:hAnsi="Arial"/>
          <w:sz w:val="18"/>
          <w:szCs w:val="18"/>
          <w:b w:val="1"/>
          <w:bCs w:val="1"/>
          <w:u w:val="single" w:color="auto"/>
          <w:color w:val="auto"/>
        </w:rPr>
        <w:t>XYLEM INC.</w:t>
      </w:r>
    </w:p>
    <w:p>
      <w:pPr>
        <w:spacing w:after="0" w:line="7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10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7890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Geri McShane</w:t>
      </w:r>
    </w:p>
    <w:p>
      <w:pPr>
        <w:spacing w:after="0" w:line="5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Vice President, Controller and Chief Accounting Officer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May 5, 2020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1089" w:right="459" w:bottom="1440" w:gutter="0" w:footer="0" w:header="0"/>
        </w:sectPr>
      </w:pPr>
    </w:p>
    <w:bookmarkStart w:id="49" w:name="page50"/>
    <w:bookmarkEnd w:id="49"/>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F79646"/>
        </w:rPr>
        <w:t>EUR 100,000,000 TERM LOAN AGREEMENT</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is dated 25 April 2020 and is made between:</w:t>
      </w:r>
    </w:p>
    <w:p>
      <w:pPr>
        <w:spacing w:after="0" w:line="228" w:lineRule="exact"/>
        <w:rPr>
          <w:sz w:val="20"/>
          <w:szCs w:val="20"/>
          <w:color w:val="auto"/>
        </w:rPr>
      </w:pPr>
    </w:p>
    <w:p>
      <w:pPr>
        <w:ind w:left="520" w:right="200" w:hanging="512"/>
        <w:spacing w:after="0" w:line="286" w:lineRule="auto"/>
        <w:tabs>
          <w:tab w:leader="none" w:pos="518"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Xylem Europe GmbH</w:t>
      </w:r>
      <w:r>
        <w:rPr>
          <w:rFonts w:ascii="Arial" w:cs="Arial" w:eastAsia="Arial" w:hAnsi="Arial"/>
          <w:sz w:val="16"/>
          <w:szCs w:val="16"/>
          <w:color w:val="auto"/>
        </w:rPr>
        <w:t>, a company incorporated under the laws of Switzerland, having its registered address at Bleicheplatz 6, 8200 Schaffhausen,</w:t>
      </w:r>
      <w:r>
        <w:rPr>
          <w:rFonts w:ascii="Arial" w:cs="Arial" w:eastAsia="Arial" w:hAnsi="Arial"/>
          <w:sz w:val="16"/>
          <w:szCs w:val="16"/>
          <w:b w:val="1"/>
          <w:bCs w:val="1"/>
          <w:color w:val="auto"/>
        </w:rPr>
        <w:t xml:space="preserve"> </w:t>
      </w:r>
      <w:r>
        <w:rPr>
          <w:rFonts w:ascii="Arial" w:cs="Arial" w:eastAsia="Arial" w:hAnsi="Arial"/>
          <w:sz w:val="16"/>
          <w:szCs w:val="16"/>
          <w:color w:val="auto"/>
        </w:rPr>
        <w:t>Switzerland, registration number CH-287.650.247 (</w:t>
      </w:r>
      <w:r>
        <w:rPr>
          <w:rFonts w:ascii="Arial" w:cs="Arial" w:eastAsia="Arial" w:hAnsi="Arial"/>
          <w:sz w:val="16"/>
          <w:szCs w:val="16"/>
          <w:b w:val="1"/>
          <w:bCs w:val="1"/>
          <w:color w:val="auto"/>
        </w:rPr>
        <w:t>the Borrower</w:t>
      </w: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left="520" w:right="100" w:hanging="512"/>
        <w:spacing w:after="0" w:line="286" w:lineRule="auto"/>
        <w:tabs>
          <w:tab w:leader="none" w:pos="518"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Xylem Inc.</w:t>
      </w:r>
      <w:r>
        <w:rPr>
          <w:rFonts w:ascii="Arial" w:cs="Arial" w:eastAsia="Arial" w:hAnsi="Arial"/>
          <w:sz w:val="16"/>
          <w:szCs w:val="16"/>
          <w:color w:val="auto"/>
        </w:rPr>
        <w:t>, an Indiana company incorporated under the laws of United States of America, having its registered address at 1 International Drive, Rye</w:t>
      </w:r>
      <w:r>
        <w:rPr>
          <w:rFonts w:ascii="Arial" w:cs="Arial" w:eastAsia="Arial" w:hAnsi="Arial"/>
          <w:sz w:val="16"/>
          <w:szCs w:val="16"/>
          <w:b w:val="1"/>
          <w:bCs w:val="1"/>
          <w:color w:val="auto"/>
        </w:rPr>
        <w:t xml:space="preserve"> </w:t>
      </w:r>
      <w:r>
        <w:rPr>
          <w:rFonts w:ascii="Arial" w:cs="Arial" w:eastAsia="Arial" w:hAnsi="Arial"/>
          <w:sz w:val="16"/>
          <w:szCs w:val="16"/>
          <w:color w:val="auto"/>
        </w:rPr>
        <w:t>Brook, NY 10573, United States of America, registration number 201 105 050 0560 (</w:t>
      </w:r>
      <w:r>
        <w:rPr>
          <w:rFonts w:ascii="Arial" w:cs="Arial" w:eastAsia="Arial" w:hAnsi="Arial"/>
          <w:sz w:val="16"/>
          <w:szCs w:val="16"/>
          <w:b w:val="1"/>
          <w:bCs w:val="1"/>
          <w:color w:val="auto"/>
        </w:rPr>
        <w:t>the Parent Guarantor</w:t>
      </w:r>
      <w:r>
        <w:rPr>
          <w:rFonts w:ascii="Arial" w:cs="Arial" w:eastAsia="Arial" w:hAnsi="Arial"/>
          <w:sz w:val="16"/>
          <w:szCs w:val="16"/>
          <w:color w:val="auto"/>
        </w:rPr>
        <w:t>); and</w:t>
      </w:r>
    </w:p>
    <w:p>
      <w:pPr>
        <w:spacing w:after="0" w:line="182" w:lineRule="exact"/>
        <w:rPr>
          <w:rFonts w:ascii="Arial" w:cs="Arial" w:eastAsia="Arial" w:hAnsi="Arial"/>
          <w:sz w:val="16"/>
          <w:szCs w:val="16"/>
          <w:color w:val="auto"/>
        </w:rPr>
      </w:pPr>
    </w:p>
    <w:p>
      <w:pPr>
        <w:ind w:left="520" w:right="400" w:hanging="512"/>
        <w:spacing w:after="0" w:line="286" w:lineRule="auto"/>
        <w:tabs>
          <w:tab w:leader="none" w:pos="518"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ING Bank, a branch of ING-DiBa AG</w:t>
      </w:r>
      <w:r>
        <w:rPr>
          <w:rFonts w:ascii="Arial" w:cs="Arial" w:eastAsia="Arial" w:hAnsi="Arial"/>
          <w:sz w:val="16"/>
          <w:szCs w:val="16"/>
          <w:color w:val="auto"/>
        </w:rPr>
        <w:t>, a company incorporated under the laws of Germany, having its registered address at Hamburger Allee 1,</w:t>
      </w:r>
      <w:r>
        <w:rPr>
          <w:rFonts w:ascii="Arial" w:cs="Arial" w:eastAsia="Arial" w:hAnsi="Arial"/>
          <w:sz w:val="16"/>
          <w:szCs w:val="16"/>
          <w:b w:val="1"/>
          <w:bCs w:val="1"/>
          <w:color w:val="auto"/>
        </w:rPr>
        <w:t xml:space="preserve"> </w:t>
      </w:r>
      <w:r>
        <w:rPr>
          <w:rFonts w:ascii="Arial" w:cs="Arial" w:eastAsia="Arial" w:hAnsi="Arial"/>
          <w:sz w:val="16"/>
          <w:szCs w:val="16"/>
          <w:color w:val="auto"/>
        </w:rPr>
        <w:t>60486 Frankfurt am Main (</w:t>
      </w:r>
      <w:r>
        <w:rPr>
          <w:rFonts w:ascii="Arial" w:cs="Arial" w:eastAsia="Arial" w:hAnsi="Arial"/>
          <w:sz w:val="16"/>
          <w:szCs w:val="16"/>
          <w:b w:val="1"/>
          <w:bCs w:val="1"/>
          <w:color w:val="auto"/>
        </w:rPr>
        <w:t>the Bank</w:t>
      </w:r>
      <w:r>
        <w:rPr>
          <w:rFonts w:ascii="Arial" w:cs="Arial" w:eastAsia="Arial" w:hAnsi="Arial"/>
          <w:sz w:val="16"/>
          <w:szCs w:val="16"/>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IT IS AGREED AS FOLLOWS:</w:t>
      </w:r>
    </w:p>
    <w:p>
      <w:pPr>
        <w:spacing w:after="0" w:line="228"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b w:val="1"/>
          <w:bCs w:val="1"/>
          <w:color w:val="F79646"/>
        </w:rPr>
      </w:pPr>
      <w:r>
        <w:rPr>
          <w:rFonts w:ascii="Arial" w:cs="Arial" w:eastAsia="Arial" w:hAnsi="Arial"/>
          <w:sz w:val="16"/>
          <w:szCs w:val="16"/>
          <w:b w:val="1"/>
          <w:bCs w:val="1"/>
          <w:color w:val="F79646"/>
        </w:rPr>
        <w:t>Definitions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Terms used in this Agreement have the following meaning:</w:t>
      </w:r>
    </w:p>
    <w:p>
      <w:pPr>
        <w:spacing w:after="0" w:line="228"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in relation to any Person, a Subsidiary of that Person, or a Holding Company of that Person or any other Subsidiary of that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agreement (including the attached schedules) as amended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Authorisation </w:t>
      </w:r>
      <w:r>
        <w:rPr>
          <w:rFonts w:ascii="Arial" w:cs="Arial" w:eastAsia="Arial" w:hAnsi="Arial"/>
          <w:sz w:val="16"/>
          <w:szCs w:val="16"/>
          <w:color w:val="auto"/>
        </w:rPr>
        <w:t>means an authorisation, consent, approval, resolution, licence, exemption, filing, notarisation or registration.</w:t>
      </w:r>
    </w:p>
    <w:p>
      <w:pPr>
        <w:spacing w:after="0" w:line="248"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b w:val="1"/>
          <w:bCs w:val="1"/>
          <w:color w:val="auto"/>
        </w:rPr>
        <w:t xml:space="preserve">Availability Period </w:t>
      </w:r>
      <w:r>
        <w:rPr>
          <w:rFonts w:ascii="Arial" w:cs="Arial" w:eastAsia="Arial" w:hAnsi="Arial"/>
          <w:sz w:val="16"/>
          <w:szCs w:val="16"/>
          <w:color w:val="auto"/>
        </w:rPr>
        <w:t>means the period from and including the date of this Agreement to and including the date falling three months after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w:t>
      </w:r>
    </w:p>
    <w:p>
      <w:pPr>
        <w:spacing w:after="0" w:line="18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b w:val="1"/>
          <w:bCs w:val="1"/>
          <w:color w:val="auto"/>
        </w:rPr>
        <w:t xml:space="preserve">Base Rate </w:t>
      </w:r>
      <w:r>
        <w:rPr>
          <w:rFonts w:ascii="Arial" w:cs="Arial" w:eastAsia="Arial" w:hAnsi="Arial"/>
          <w:sz w:val="16"/>
          <w:szCs w:val="16"/>
          <w:color w:val="auto"/>
        </w:rPr>
        <w:t>means for any Loan or Unpaid Sum in EUR the EURIBOR Screen Rate as at 11.00 a.m. (Frankfurt time), on the relevant Rate Fixing Day for</w:t>
      </w:r>
      <w:r>
        <w:rPr>
          <w:rFonts w:ascii="Arial" w:cs="Arial" w:eastAsia="Arial" w:hAnsi="Arial"/>
          <w:sz w:val="16"/>
          <w:szCs w:val="16"/>
          <w:b w:val="1"/>
          <w:bCs w:val="1"/>
          <w:color w:val="auto"/>
        </w:rPr>
        <w:t xml:space="preserve"> </w:t>
      </w:r>
      <w:r>
        <w:rPr>
          <w:rFonts w:ascii="Arial" w:cs="Arial" w:eastAsia="Arial" w:hAnsi="Arial"/>
          <w:sz w:val="16"/>
          <w:szCs w:val="16"/>
          <w:color w:val="auto"/>
        </w:rPr>
        <w:t>such currency for a period equal in length to the Interest Period of that Loan or Unpaid Sum or if a Replacement Base Rate has been agreed in accordance</w:t>
      </w:r>
    </w:p>
    <w:p>
      <w:pPr>
        <w:spacing w:after="0"/>
        <w:rPr>
          <w:sz w:val="20"/>
          <w:szCs w:val="20"/>
          <w:color w:val="auto"/>
        </w:rPr>
      </w:pPr>
      <w:r>
        <w:rPr>
          <w:rFonts w:ascii="Arial" w:cs="Arial" w:eastAsia="Arial" w:hAnsi="Arial"/>
          <w:sz w:val="16"/>
          <w:szCs w:val="16"/>
          <w:color w:val="auto"/>
        </w:rPr>
        <w:t xml:space="preserve">with Clause 5.8 </w:t>
      </w:r>
      <w:r>
        <w:rPr>
          <w:rFonts w:ascii="Arial" w:cs="Arial" w:eastAsia="Arial" w:hAnsi="Arial"/>
          <w:sz w:val="16"/>
          <w:szCs w:val="16"/>
          <w:b w:val="1"/>
          <w:bCs w:val="1"/>
          <w:color w:val="auto"/>
        </w:rPr>
        <w:t>Replacement of Screen Rate</w:t>
      </w:r>
      <w:r>
        <w:rPr>
          <w:rFonts w:ascii="Arial" w:cs="Arial" w:eastAsia="Arial" w:hAnsi="Arial"/>
          <w:sz w:val="16"/>
          <w:szCs w:val="16"/>
          <w:color w:val="auto"/>
        </w:rPr>
        <w:t xml:space="preserve"> such Replacement Base Rate and, if any such rate is below zero, the Base Rate will be deemed to be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-1905</wp:posOffset>
            </wp:positionV>
            <wp:extent cx="349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42"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b w:val="1"/>
          <w:bCs w:val="1"/>
          <w:color w:val="auto"/>
        </w:rPr>
        <w:t xml:space="preserve">Break Funding Costs </w:t>
      </w:r>
      <w:r>
        <w:rPr>
          <w:rFonts w:ascii="Arial" w:cs="Arial" w:eastAsia="Arial" w:hAnsi="Arial"/>
          <w:sz w:val="16"/>
          <w:szCs w:val="16"/>
          <w:color w:val="auto"/>
        </w:rPr>
        <w:t>means the amount reasonably determined by the Bank to be the costs incurred as a result of the Borrower repaying a Loan on</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date than the last day of an Interest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 day (other than a Saturday or a Sunday) on which banks are open for general business in Frankfurt am Main, Germany.</w:t>
      </w:r>
    </w:p>
    <w:p>
      <w:pPr>
        <w:spacing w:after="0" w:line="24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means (i) the current parent or controlling shareholder ceasing to Control the Borrower or (ii) the obtaining of Control over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and/or Parent Guarantor by a Person or a group of Persons who acted jointly on the basis of an arrangement or understanding between themselves or (iii) if any Person or group of Persons shall have acquired beneficial ownership of more than 30% of the outstanding shares of the Parent Guarantor.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Commitment </w:t>
      </w:r>
      <w:r>
        <w:rPr>
          <w:rFonts w:ascii="Arial" w:cs="Arial" w:eastAsia="Arial" w:hAnsi="Arial"/>
          <w:sz w:val="16"/>
          <w:szCs w:val="16"/>
          <w:color w:val="auto"/>
        </w:rPr>
        <w:t>means the amount specified in Clause 2</w:t>
      </w:r>
      <w:r>
        <w:rPr>
          <w:rFonts w:ascii="Arial" w:cs="Arial" w:eastAsia="Arial" w:hAnsi="Arial"/>
          <w:sz w:val="16"/>
          <w:szCs w:val="16"/>
          <w:b w:val="1"/>
          <w:bCs w:val="1"/>
          <w:color w:val="auto"/>
        </w:rPr>
        <w:t xml:space="preserve"> Facility </w:t>
      </w:r>
      <w:r>
        <w:rPr>
          <w:rFonts w:ascii="Arial" w:cs="Arial" w:eastAsia="Arial" w:hAnsi="Arial"/>
          <w:sz w:val="16"/>
          <w:szCs w:val="16"/>
          <w:color w:val="auto"/>
        </w:rPr>
        <w:t>to the extent not cancelled, increased or reduced under this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Compliance Certificate </w:t>
      </w:r>
      <w:r>
        <w:rPr>
          <w:rFonts w:ascii="Arial" w:cs="Arial" w:eastAsia="Arial" w:hAnsi="Arial"/>
          <w:sz w:val="16"/>
          <w:szCs w:val="16"/>
          <w:color w:val="auto"/>
        </w:rPr>
        <w:t>means a Compliance Certificate in accordance with Section 5.03 (c) (ii) of the Revolving Facility.</w:t>
      </w:r>
    </w:p>
    <w:p>
      <w:pPr>
        <w:spacing w:after="0" w:line="24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Control </w:t>
      </w:r>
      <w:r>
        <w:rPr>
          <w:rFonts w:ascii="Arial" w:cs="Arial" w:eastAsia="Arial" w:hAnsi="Arial"/>
          <w:sz w:val="16"/>
          <w:szCs w:val="16"/>
          <w:color w:val="auto"/>
        </w:rPr>
        <w:t>means (i) the direct or indirect ownership of more than 50% of the shares, voting capital or similar rights of ownership of a Person, or (ii) the power</w:t>
      </w:r>
      <w:r>
        <w:rPr>
          <w:rFonts w:ascii="Arial" w:cs="Arial" w:eastAsia="Arial" w:hAnsi="Arial"/>
          <w:sz w:val="16"/>
          <w:szCs w:val="16"/>
          <w:b w:val="1"/>
          <w:bCs w:val="1"/>
          <w:color w:val="auto"/>
        </w:rPr>
        <w:t xml:space="preserve"> </w:t>
      </w:r>
      <w:r>
        <w:rPr>
          <w:rFonts w:ascii="Arial" w:cs="Arial" w:eastAsia="Arial" w:hAnsi="Arial"/>
          <w:sz w:val="16"/>
          <w:szCs w:val="16"/>
          <w:color w:val="auto"/>
        </w:rPr>
        <w:t>to directly or indirectly, on the basis of an agreement, through the exercise of voting rights or otherwise, appoint or dismiss the majority of the members of the board of directors or supervisory board or give instructions regarding the policy of the Person with which such members are obliged to comply.</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Cost of Funds </w:t>
      </w:r>
      <w:r>
        <w:rPr>
          <w:rFonts w:ascii="Arial" w:cs="Arial" w:eastAsia="Arial" w:hAnsi="Arial"/>
          <w:sz w:val="16"/>
          <w:szCs w:val="16"/>
          <w:color w:val="auto"/>
        </w:rPr>
        <w:t>means the interest rate per annum which the Bank determines in its reasonable discretion (</w:t>
      </w:r>
      <w:r>
        <w:rPr>
          <w:rFonts w:ascii="Arial" w:cs="Arial" w:eastAsia="Arial" w:hAnsi="Arial"/>
          <w:sz w:val="16"/>
          <w:szCs w:val="16"/>
          <w:i w:val="1"/>
          <w:iCs w:val="1"/>
          <w:color w:val="auto"/>
        </w:rPr>
        <w:t>nach billigem Ermessen</w:t>
      </w:r>
      <w:r>
        <w:rPr>
          <w:rFonts w:ascii="Arial" w:cs="Arial" w:eastAsia="Arial" w:hAnsi="Arial"/>
          <w:sz w:val="16"/>
          <w:szCs w:val="16"/>
          <w:color w:val="auto"/>
        </w:rPr>
        <w:t>) pursuant to Section 315</w:t>
      </w:r>
      <w:r>
        <w:rPr>
          <w:rFonts w:ascii="Arial" w:cs="Arial" w:eastAsia="Arial" w:hAnsi="Arial"/>
          <w:sz w:val="16"/>
          <w:szCs w:val="16"/>
          <w:b w:val="1"/>
          <w:bCs w:val="1"/>
          <w:color w:val="auto"/>
        </w:rPr>
        <w:t xml:space="preserve"> </w:t>
      </w:r>
      <w:r>
        <w:rPr>
          <w:rFonts w:ascii="Arial" w:cs="Arial" w:eastAsia="Arial" w:hAnsi="Arial"/>
          <w:sz w:val="16"/>
          <w:szCs w:val="16"/>
          <w:color w:val="auto"/>
        </w:rPr>
        <w:t>German Civil Code is the cost it will incur in order to fund a Loan in the public or private markets.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1/20</w:t>
      </w:r>
    </w:p>
    <w:p>
      <w:pPr>
        <w:sectPr>
          <w:pgSz w:w="11900" w:h="16838" w:orient="portrait"/>
          <w:cols w:equalWidth="0" w:num="1">
            <w:col w:w="11240"/>
          </w:cols>
          <w:pgMar w:left="320" w:top="125" w:right="339" w:bottom="1440" w:gutter="0" w:footer="0" w:header="0"/>
          <w:type w:val="continuous"/>
        </w:sectPr>
      </w:pPr>
    </w:p>
    <w:bookmarkStart w:id="50" w:name="page51"/>
    <w:bookmarkEnd w:id="50"/>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Default </w:t>
      </w:r>
      <w:r>
        <w:rPr>
          <w:rFonts w:ascii="Arial" w:cs="Arial" w:eastAsia="Arial" w:hAnsi="Arial"/>
          <w:sz w:val="16"/>
          <w:szCs w:val="16"/>
          <w:color w:val="auto"/>
        </w:rPr>
        <w:t>means an Event of Default or any event or circumstance which would become an Event of Default with the lapse of time, giving of notice, expiry of a</w:t>
      </w:r>
      <w:r>
        <w:rPr>
          <w:rFonts w:ascii="Arial" w:cs="Arial" w:eastAsia="Arial" w:hAnsi="Arial"/>
          <w:sz w:val="16"/>
          <w:szCs w:val="16"/>
          <w:b w:val="1"/>
          <w:bCs w:val="1"/>
          <w:color w:val="auto"/>
        </w:rPr>
        <w:t xml:space="preserve"> </w:t>
      </w:r>
      <w:r>
        <w:rPr>
          <w:rFonts w:ascii="Arial" w:cs="Arial" w:eastAsia="Arial" w:hAnsi="Arial"/>
          <w:sz w:val="16"/>
          <w:szCs w:val="16"/>
          <w:color w:val="auto"/>
        </w:rPr>
        <w:t>grace period or the making of any determination of an Event of Default.</w:t>
      </w:r>
    </w:p>
    <w:p>
      <w:pPr>
        <w:spacing w:after="0" w:line="18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b w:val="1"/>
          <w:bCs w:val="1"/>
          <w:color w:val="auto"/>
        </w:rPr>
        <w:t>Euro</w:t>
      </w:r>
      <w:r>
        <w:rPr>
          <w:rFonts w:ascii="Arial" w:cs="Arial" w:eastAsia="Arial" w:hAnsi="Arial"/>
          <w:sz w:val="16"/>
          <w:szCs w:val="16"/>
          <w:color w:val="auto"/>
        </w:rPr>
        <w:t>,</w:t>
      </w:r>
      <w:r>
        <w:rPr>
          <w:rFonts w:ascii="Arial" w:cs="Arial" w:eastAsia="Arial" w:hAnsi="Arial"/>
          <w:sz w:val="16"/>
          <w:szCs w:val="16"/>
          <w:b w:val="1"/>
          <w:bCs w:val="1"/>
          <w:color w:val="auto"/>
        </w:rPr>
        <w:t xml:space="preserve"> euro, € </w:t>
      </w:r>
      <w:r>
        <w:rPr>
          <w:rFonts w:ascii="Arial" w:cs="Arial" w:eastAsia="Arial" w:hAnsi="Arial"/>
          <w:sz w:val="16"/>
          <w:szCs w:val="16"/>
          <w:color w:val="auto"/>
        </w:rPr>
        <w:t>and</w:t>
      </w:r>
      <w:r>
        <w:rPr>
          <w:rFonts w:ascii="Arial" w:cs="Arial" w:eastAsia="Arial" w:hAnsi="Arial"/>
          <w:sz w:val="16"/>
          <w:szCs w:val="16"/>
          <w:b w:val="1"/>
          <w:bCs w:val="1"/>
          <w:color w:val="auto"/>
        </w:rPr>
        <w:t xml:space="preserve"> EUR </w:t>
      </w:r>
      <w:r>
        <w:rPr>
          <w:rFonts w:ascii="Arial" w:cs="Arial" w:eastAsia="Arial" w:hAnsi="Arial"/>
          <w:sz w:val="16"/>
          <w:szCs w:val="16"/>
          <w:color w:val="auto"/>
        </w:rPr>
        <w:t>means the currency that, at the date of this Agreement, has been adopted by some of the member states of the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 as their lawful currency in accordance with legislation of the European Community relating to Economic and Monetary Union.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Event of Default </w:t>
      </w:r>
      <w:r>
        <w:rPr>
          <w:rFonts w:ascii="Arial" w:cs="Arial" w:eastAsia="Arial" w:hAnsi="Arial"/>
          <w:sz w:val="16"/>
          <w:szCs w:val="16"/>
          <w:color w:val="auto"/>
        </w:rPr>
        <w:t>means an event or circumstance specified as such in Clause 12</w:t>
      </w:r>
      <w:r>
        <w:rPr>
          <w:rFonts w:ascii="Arial" w:cs="Arial" w:eastAsia="Arial" w:hAnsi="Arial"/>
          <w:sz w:val="16"/>
          <w:szCs w:val="16"/>
          <w:b w:val="1"/>
          <w:bCs w:val="1"/>
          <w:color w:val="auto"/>
        </w:rPr>
        <w:t xml:space="preserve"> Events of Default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Facility </w:t>
      </w:r>
      <w:r>
        <w:rPr>
          <w:rFonts w:ascii="Arial" w:cs="Arial" w:eastAsia="Arial" w:hAnsi="Arial"/>
          <w:sz w:val="16"/>
          <w:szCs w:val="16"/>
          <w:color w:val="auto"/>
        </w:rPr>
        <w:t>means the term loan facility made available pursuant to this Agreement.</w:t>
      </w:r>
    </w:p>
    <w:p>
      <w:pPr>
        <w:spacing w:after="0" w:line="2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auto"/>
        </w:rPr>
        <w:t xml:space="preserve">Finance Document </w:t>
      </w:r>
      <w:r>
        <w:rPr>
          <w:rFonts w:ascii="Arial" w:cs="Arial" w:eastAsia="Arial" w:hAnsi="Arial"/>
          <w:sz w:val="16"/>
          <w:szCs w:val="16"/>
          <w:color w:val="auto"/>
        </w:rPr>
        <w:t>means this Agreement, any Compliance Certificate, Parent Guarantee, Utilisation Request, Revolving Facility (only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of the Financial Covenants and Compliance Certificate), and any other document designated as such by the Bank and the Borrower, all as may be amended from time to time.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Covenants </w:t>
      </w:r>
      <w:r>
        <w:rPr>
          <w:rFonts w:ascii="Arial" w:cs="Arial" w:eastAsia="Arial" w:hAnsi="Arial"/>
          <w:sz w:val="16"/>
          <w:szCs w:val="16"/>
          <w:color w:val="auto"/>
        </w:rPr>
        <w:t>means the financial covenants set out in Clause 9</w:t>
      </w:r>
      <w:r>
        <w:rPr>
          <w:rFonts w:ascii="Arial" w:cs="Arial" w:eastAsia="Arial" w:hAnsi="Arial"/>
          <w:sz w:val="16"/>
          <w:szCs w:val="16"/>
          <w:b w:val="1"/>
          <w:bCs w:val="1"/>
          <w:color w:val="auto"/>
        </w:rPr>
        <w:t xml:space="preserve"> Financial Covenants</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Financial Indebtedness </w:t>
      </w:r>
      <w:r>
        <w:rPr>
          <w:rFonts w:ascii="Arial" w:cs="Arial" w:eastAsia="Arial" w:hAnsi="Arial"/>
          <w:sz w:val="16"/>
          <w:szCs w:val="16"/>
          <w:color w:val="auto"/>
        </w:rPr>
        <w:t>means any indebtedness for or in respect of:</w:t>
      </w:r>
    </w:p>
    <w:p>
      <w:pPr>
        <w:spacing w:after="0" w:line="25" w:lineRule="exact"/>
        <w:rPr>
          <w:sz w:val="20"/>
          <w:szCs w:val="20"/>
          <w:color w:val="auto"/>
        </w:rPr>
      </w:pPr>
    </w:p>
    <w:p>
      <w:pPr>
        <w:ind w:left="660" w:hanging="51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moneys borrowed;</w:t>
      </w:r>
    </w:p>
    <w:p>
      <w:pPr>
        <w:spacing w:after="0" w:line="5" w:lineRule="exact"/>
        <w:rPr>
          <w:rFonts w:ascii="Arial" w:cs="Arial" w:eastAsia="Arial" w:hAnsi="Arial"/>
          <w:sz w:val="16"/>
          <w:szCs w:val="16"/>
          <w:color w:val="auto"/>
        </w:rPr>
      </w:pPr>
    </w:p>
    <w:p>
      <w:pPr>
        <w:ind w:left="660" w:hanging="51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acceptance credit;</w:t>
      </w:r>
    </w:p>
    <w:p>
      <w:pPr>
        <w:spacing w:after="0" w:line="5" w:lineRule="exact"/>
        <w:rPr>
          <w:rFonts w:ascii="Arial" w:cs="Arial" w:eastAsia="Arial" w:hAnsi="Arial"/>
          <w:sz w:val="16"/>
          <w:szCs w:val="16"/>
          <w:color w:val="auto"/>
        </w:rPr>
      </w:pPr>
    </w:p>
    <w:p>
      <w:pPr>
        <w:ind w:left="640" w:hanging="494"/>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bond, note, debenture or other similar instrument;</w:t>
      </w:r>
    </w:p>
    <w:p>
      <w:pPr>
        <w:spacing w:after="0" w:line="5" w:lineRule="exact"/>
        <w:rPr>
          <w:rFonts w:ascii="Arial" w:cs="Arial" w:eastAsia="Arial" w:hAnsi="Arial"/>
          <w:sz w:val="16"/>
          <w:szCs w:val="16"/>
          <w:color w:val="auto"/>
        </w:rPr>
      </w:pPr>
    </w:p>
    <w:p>
      <w:pPr>
        <w:ind w:left="660" w:right="200" w:hanging="514"/>
        <w:spacing w:after="0" w:line="246" w:lineRule="auto"/>
        <w:tabs>
          <w:tab w:leader="none" w:pos="6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lease or hire purchase contract or a liability which would in accordance with IFRS, (local) GAAP (General Accepted Accounting Principles) or (other) local accounting standards be treated as a balance sheet liability;</w:t>
      </w:r>
    </w:p>
    <w:p>
      <w:pPr>
        <w:ind w:left="660" w:hanging="51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receivables sold or discounted (otherwise than on a non-recourse basis);</w:t>
      </w:r>
    </w:p>
    <w:p>
      <w:pPr>
        <w:spacing w:after="0" w:line="5" w:lineRule="exact"/>
        <w:rPr>
          <w:rFonts w:ascii="Arial" w:cs="Arial" w:eastAsia="Arial" w:hAnsi="Arial"/>
          <w:sz w:val="16"/>
          <w:szCs w:val="16"/>
          <w:color w:val="auto"/>
        </w:rPr>
      </w:pPr>
    </w:p>
    <w:p>
      <w:pPr>
        <w:ind w:left="660" w:right="280" w:hanging="514"/>
        <w:spacing w:after="0" w:line="246" w:lineRule="auto"/>
        <w:tabs>
          <w:tab w:leader="none" w:pos="65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derivative transaction entered into to protect against or benefit from fluctuations in any interest, rate or price (and the then marked to market value of the derivative transaction will be used to calculate its amount);</w:t>
      </w:r>
    </w:p>
    <w:p>
      <w:pPr>
        <w:ind w:left="660" w:hanging="514"/>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transaction which has the commercial effect of a borrowing;</w:t>
      </w:r>
    </w:p>
    <w:p>
      <w:pPr>
        <w:spacing w:after="0" w:line="5" w:lineRule="exact"/>
        <w:rPr>
          <w:rFonts w:ascii="Arial" w:cs="Arial" w:eastAsia="Arial" w:hAnsi="Arial"/>
          <w:sz w:val="16"/>
          <w:szCs w:val="16"/>
          <w:color w:val="auto"/>
        </w:rPr>
      </w:pPr>
    </w:p>
    <w:p>
      <w:pPr>
        <w:ind w:left="660" w:right="560" w:hanging="514"/>
        <w:spacing w:after="0" w:line="246" w:lineRule="auto"/>
        <w:tabs>
          <w:tab w:leader="none" w:pos="6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counter-indemnity obligation or other recourse commitment in respect of any guarantee, indemnity, bond, letter of credit, or other similar instrument issued by a bank or financial institution; or</w:t>
      </w:r>
    </w:p>
    <w:p>
      <w:pPr>
        <w:ind w:left="660" w:right="20" w:hanging="514"/>
        <w:spacing w:after="0" w:line="260" w:lineRule="auto"/>
        <w:tabs>
          <w:tab w:leader="none" w:pos="65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guarantee, indemnity, surety-ship or similar assurance against financial loss in respect of any liability referred to in the above paragraphs (a) up to and including (h).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Group </w:t>
      </w:r>
      <w:r>
        <w:rPr>
          <w:rFonts w:ascii="Arial" w:cs="Arial" w:eastAsia="Arial" w:hAnsi="Arial"/>
          <w:sz w:val="16"/>
          <w:szCs w:val="16"/>
          <w:color w:val="auto"/>
        </w:rPr>
        <w:t>means the Borrower, the Parent Guarantor and its Subsidiaries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Holding Company </w:t>
      </w:r>
      <w:r>
        <w:rPr>
          <w:rFonts w:ascii="Arial" w:cs="Arial" w:eastAsia="Arial" w:hAnsi="Arial"/>
          <w:sz w:val="16"/>
          <w:szCs w:val="16"/>
          <w:color w:val="auto"/>
        </w:rPr>
        <w:t>means, in relation to a Person, any other Person in respect of which it is a Subsidiary.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Increased Cost </w:t>
      </w:r>
      <w:r>
        <w:rPr>
          <w:rFonts w:ascii="Arial" w:cs="Arial" w:eastAsia="Arial" w:hAnsi="Arial"/>
          <w:sz w:val="16"/>
          <w:szCs w:val="16"/>
          <w:color w:val="auto"/>
        </w:rPr>
        <w:t>means:</w:t>
      </w:r>
    </w:p>
    <w:p>
      <w:pPr>
        <w:spacing w:after="0" w:line="25" w:lineRule="exact"/>
        <w:rPr>
          <w:sz w:val="20"/>
          <w:szCs w:val="20"/>
          <w:color w:val="auto"/>
        </w:rPr>
      </w:pPr>
    </w:p>
    <w:p>
      <w:pPr>
        <w:ind w:left="520" w:right="20" w:hanging="488"/>
        <w:spacing w:after="0" w:line="246" w:lineRule="auto"/>
        <w:tabs>
          <w:tab w:leader="none" w:pos="5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 additional or increased cost (including, but not limited to, any cost incurred by the Bank or any of its Affiliates as a result of the compliance with the minimum reserve requirements or other requirements imposed by any relevant central bank, by law or regulation);</w:t>
      </w:r>
    </w:p>
    <w:p>
      <w:pPr>
        <w:ind w:left="520" w:hanging="488"/>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reduction in the rate of return from the Facility or on the Bank’s or any of its Affiliates invested overall capital; or</w:t>
      </w:r>
    </w:p>
    <w:p>
      <w:pPr>
        <w:spacing w:after="0" w:line="5" w:lineRule="exact"/>
        <w:rPr>
          <w:rFonts w:ascii="Arial" w:cs="Arial" w:eastAsia="Arial" w:hAnsi="Arial"/>
          <w:sz w:val="16"/>
          <w:szCs w:val="16"/>
          <w:color w:val="auto"/>
        </w:rPr>
      </w:pPr>
    </w:p>
    <w:p>
      <w:pPr>
        <w:ind w:left="520" w:hanging="488"/>
        <w:spacing w:after="0" w:line="253"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reduction of an amount due and payable under any Finance Document, which is incurred or suffered by the Bank or any of its Affiliates to the extent attributable (directly or indirectly) to the Bank having entered into any Finance Document or funding or performing its obligations under any Finance Document.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Interest Period </w:t>
      </w:r>
      <w:r>
        <w:rPr>
          <w:rFonts w:ascii="Arial" w:cs="Arial" w:eastAsia="Arial" w:hAnsi="Arial"/>
          <w:sz w:val="16"/>
          <w:szCs w:val="16"/>
          <w:color w:val="auto"/>
        </w:rPr>
        <w:t>means, in relation to a Loan or Unpaid Sum, the period determined in accordance with Clause 5</w:t>
      </w:r>
      <w:r>
        <w:rPr>
          <w:rFonts w:ascii="Arial" w:cs="Arial" w:eastAsia="Arial" w:hAnsi="Arial"/>
          <w:sz w:val="16"/>
          <w:szCs w:val="16"/>
          <w:b w:val="1"/>
          <w:bCs w:val="1"/>
          <w:color w:val="auto"/>
        </w:rPr>
        <w:t xml:space="preserve"> Interest and Fees</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means a loan made or to be made available under the Facility or the principal amount outstanding for the time being of that loan.</w:t>
      </w:r>
    </w:p>
    <w:p>
      <w:pPr>
        <w:spacing w:after="0" w:line="2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b w:val="1"/>
          <w:bCs w:val="1"/>
          <w:color w:val="auto"/>
        </w:rPr>
        <w:t>Long Term Credit Rating</w:t>
      </w:r>
      <w:r>
        <w:rPr>
          <w:rFonts w:ascii="Arial" w:cs="Arial" w:eastAsia="Arial" w:hAnsi="Arial"/>
          <w:sz w:val="16"/>
          <w:szCs w:val="16"/>
          <w:color w:val="auto"/>
        </w:rPr>
        <w:t>" means the credit rating or ratings (as the case may be) from time to time assigned by Moody's and/or Standard &amp; Poor's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long term senior unsecured debt of the Parent Guarantor.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Margin </w:t>
      </w:r>
      <w:r>
        <w:rPr>
          <w:rFonts w:ascii="Arial" w:cs="Arial" w:eastAsia="Arial" w:hAnsi="Arial"/>
          <w:sz w:val="16"/>
          <w:szCs w:val="16"/>
          <w:color w:val="auto"/>
        </w:rPr>
        <w:t>means the rate set out in Clause 5.3</w:t>
      </w:r>
      <w:r>
        <w:rPr>
          <w:rFonts w:ascii="Arial" w:cs="Arial" w:eastAsia="Arial" w:hAnsi="Arial"/>
          <w:sz w:val="16"/>
          <w:szCs w:val="16"/>
          <w:b w:val="1"/>
          <w:bCs w:val="1"/>
          <w:color w:val="auto"/>
        </w:rPr>
        <w:t xml:space="preserve"> Margin</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Market Disruption Event </w:t>
      </w:r>
      <w:r>
        <w:rPr>
          <w:rFonts w:ascii="Arial" w:cs="Arial" w:eastAsia="Arial" w:hAnsi="Arial"/>
          <w:sz w:val="16"/>
          <w:szCs w:val="16"/>
          <w:color w:val="auto"/>
        </w:rPr>
        <w:t>means:</w:t>
      </w:r>
    </w:p>
    <w:p>
      <w:pPr>
        <w:spacing w:after="0" w:line="25" w:lineRule="exact"/>
        <w:rPr>
          <w:sz w:val="20"/>
          <w:szCs w:val="20"/>
          <w:color w:val="auto"/>
        </w:rPr>
      </w:pPr>
    </w:p>
    <w:p>
      <w:pPr>
        <w:ind w:left="520" w:right="360" w:hanging="488"/>
        <w:spacing w:after="0" w:line="246" w:lineRule="auto"/>
        <w:tabs>
          <w:tab w:leader="none" w:pos="5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at or about 11:00 a.m. (Frankfurt time) on a Rate Fixing Day the relevant Screen Rate is not available for the relevant Interest Period or a Screen Rate Replacement Event has occurred and this Agreement has not been amended pursuant to Clause 5.8 </w:t>
      </w:r>
      <w:r>
        <w:rPr>
          <w:rFonts w:ascii="Arial" w:cs="Arial" w:eastAsia="Arial" w:hAnsi="Arial"/>
          <w:sz w:val="16"/>
          <w:szCs w:val="16"/>
          <w:b w:val="1"/>
          <w:bCs w:val="1"/>
          <w:color w:val="auto"/>
        </w:rPr>
        <w:t>Replacement of Screen Rate</w:t>
      </w:r>
      <w:r>
        <w:rPr>
          <w:rFonts w:ascii="Arial" w:cs="Arial" w:eastAsia="Arial" w:hAnsi="Arial"/>
          <w:sz w:val="16"/>
          <w:szCs w:val="16"/>
          <w:color w:val="auto"/>
        </w:rPr>
        <w:t>; or</w:t>
      </w:r>
    </w:p>
    <w:p>
      <w:pPr>
        <w:ind w:left="520" w:right="600" w:hanging="488"/>
        <w:spacing w:after="0" w:line="260" w:lineRule="auto"/>
        <w:tabs>
          <w:tab w:leader="none" w:pos="5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before close of business in Frankfurt a.M. (Germany) on a Rate Fixing Day, the cost to the Bank of funding the relevant Loan in the European interbank market for the relevant Interest Period would be in excess of the Base Rate.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2/20</w:t>
      </w:r>
    </w:p>
    <w:p>
      <w:pPr>
        <w:sectPr>
          <w:pgSz w:w="11900" w:h="16838" w:orient="portrait"/>
          <w:cols w:equalWidth="0" w:num="1">
            <w:col w:w="11220"/>
          </w:cols>
          <w:pgMar w:left="320" w:top="125" w:right="359" w:bottom="1440" w:gutter="0" w:footer="0" w:header="0"/>
          <w:type w:val="continuous"/>
        </w:sectPr>
      </w:pPr>
    </w:p>
    <w:bookmarkStart w:id="51" w:name="page52"/>
    <w:bookmarkEnd w:id="51"/>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any material adverse effect on:</w:t>
      </w:r>
    </w:p>
    <w:p>
      <w:pPr>
        <w:spacing w:after="0" w:line="2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financial condition, business or assets of the Borrower or the Parent Guarantor;</w:t>
      </w:r>
    </w:p>
    <w:p>
      <w:pPr>
        <w:spacing w:after="0" w:line="5" w:lineRule="exact"/>
        <w:rPr>
          <w:rFonts w:ascii="Arial" w:cs="Arial" w:eastAsia="Arial" w:hAnsi="Arial"/>
          <w:sz w:val="16"/>
          <w:szCs w:val="16"/>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the Borrower to perform its obligations under any Finance Document; or</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validity, enforceability, effectiveness or ranking of any Finance Document or of a right of the Bank thereunder.</w:t>
      </w:r>
    </w:p>
    <w:p>
      <w:pPr>
        <w:spacing w:after="0" w:line="228"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b w:val="1"/>
          <w:bCs w:val="1"/>
          <w:color w:val="auto"/>
        </w:rPr>
        <w:t xml:space="preserve">Original Financial Statements </w:t>
      </w:r>
      <w:r>
        <w:rPr>
          <w:rFonts w:ascii="Arial" w:cs="Arial" w:eastAsia="Arial" w:hAnsi="Arial"/>
          <w:sz w:val="16"/>
          <w:szCs w:val="16"/>
          <w:color w:val="auto"/>
        </w:rPr>
        <w:t>means the audited financial statements of the Borrower and the audited consolidated financial statements of the Parent</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for the financial year ended 31st December 2019 (or, if unavailable, for the year ended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December 2018 each).</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Parent Guarantee </w:t>
      </w:r>
      <w:r>
        <w:rPr>
          <w:rFonts w:ascii="Arial" w:cs="Arial" w:eastAsia="Arial" w:hAnsi="Arial"/>
          <w:sz w:val="16"/>
          <w:szCs w:val="16"/>
          <w:color w:val="auto"/>
        </w:rPr>
        <w:t>means the document set out in Schedule</w:t>
      </w:r>
      <w:r>
        <w:rPr>
          <w:rFonts w:ascii="Arial" w:cs="Arial" w:eastAsia="Arial" w:hAnsi="Arial"/>
          <w:sz w:val="16"/>
          <w:szCs w:val="16"/>
          <w:b w:val="1"/>
          <w:bCs w:val="1"/>
          <w:color w:val="auto"/>
        </w:rPr>
        <w:t xml:space="preserve"> Parent Guarantee</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Party </w:t>
      </w:r>
      <w:r>
        <w:rPr>
          <w:rFonts w:ascii="Arial" w:cs="Arial" w:eastAsia="Arial" w:hAnsi="Arial"/>
          <w:sz w:val="16"/>
          <w:szCs w:val="16"/>
          <w:color w:val="auto"/>
        </w:rPr>
        <w:t>means a party to this Agreement.</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any natural person, legal entity, firm, company, corporation, government, state or agency of a state or any association, trust, joint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consortium or partnership (whether or not having separate legal personality).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Rate Fixing Day </w:t>
      </w:r>
      <w:r>
        <w:rPr>
          <w:rFonts w:ascii="Arial" w:cs="Arial" w:eastAsia="Arial" w:hAnsi="Arial"/>
          <w:sz w:val="16"/>
          <w:szCs w:val="16"/>
          <w:color w:val="auto"/>
        </w:rPr>
        <w:t>means, for any period for which an interest rate is to be determined, two Business Days before the first day of that period.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Repayment Instalment </w:t>
      </w:r>
      <w:r>
        <w:rPr>
          <w:rFonts w:ascii="Arial" w:cs="Arial" w:eastAsia="Arial" w:hAnsi="Arial"/>
          <w:sz w:val="16"/>
          <w:szCs w:val="16"/>
          <w:color w:val="auto"/>
        </w:rPr>
        <w:t>means each repayment instalment as specified in Clause 6</w:t>
      </w:r>
      <w:r>
        <w:rPr>
          <w:rFonts w:ascii="Arial" w:cs="Arial" w:eastAsia="Arial" w:hAnsi="Arial"/>
          <w:sz w:val="16"/>
          <w:szCs w:val="16"/>
          <w:b w:val="1"/>
          <w:bCs w:val="1"/>
          <w:color w:val="auto"/>
        </w:rPr>
        <w:t xml:space="preserve"> Repayment</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Replacement Base Rate </w:t>
      </w:r>
      <w:r>
        <w:rPr>
          <w:rFonts w:ascii="Arial" w:cs="Arial" w:eastAsia="Arial" w:hAnsi="Arial"/>
          <w:sz w:val="16"/>
          <w:szCs w:val="16"/>
          <w:color w:val="auto"/>
        </w:rPr>
        <w:t>means a benchmark rate which is:</w:t>
      </w:r>
    </w:p>
    <w:p>
      <w:pPr>
        <w:spacing w:after="0" w:line="25" w:lineRule="exact"/>
        <w:rPr>
          <w:sz w:val="20"/>
          <w:szCs w:val="20"/>
          <w:color w:val="auto"/>
        </w:rPr>
      </w:pPr>
    </w:p>
    <w:p>
      <w:pPr>
        <w:ind w:left="520" w:right="2200" w:hanging="512"/>
        <w:spacing w:after="0" w:line="246" w:lineRule="auto"/>
        <w:tabs>
          <w:tab w:leader="none" w:pos="518"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implemented, designated or recommended as a replacement by the administrator of the Screen Rate or a central bank or any other supervisory or regulatory authority; or</w:t>
      </w:r>
    </w:p>
    <w:p>
      <w:pPr>
        <w:ind w:left="520" w:right="3100" w:hanging="512"/>
        <w:spacing w:after="0" w:line="260" w:lineRule="auto"/>
        <w:tabs>
          <w:tab w:leader="none" w:pos="51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agreed by the Borrower and the Bank as, generally accepted in the international or domestic loan markets as the appropriate successor to a Screen Rate or otherwise an appropriate successor to a Screen Rate.</w:t>
      </w:r>
    </w:p>
    <w:p>
      <w:pPr>
        <w:spacing w:after="0" w:line="2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Revolving Facility </w:t>
      </w:r>
      <w:r>
        <w:rPr>
          <w:rFonts w:ascii="Arial" w:cs="Arial" w:eastAsia="Arial" w:hAnsi="Arial"/>
          <w:sz w:val="16"/>
          <w:szCs w:val="16"/>
          <w:color w:val="auto"/>
        </w:rPr>
        <w:t>means the five-year revolving credit facility agreement dated as of March 5, 2019 with,</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alios</w:t>
      </w:r>
      <w:r>
        <w:rPr>
          <w:rFonts w:ascii="Arial" w:cs="Arial" w:eastAsia="Arial" w:hAnsi="Arial"/>
          <w:sz w:val="16"/>
          <w:szCs w:val="16"/>
          <w:color w:val="auto"/>
        </w:rPr>
        <w:t>, Xylem Inc as borrower, Citibank, N.A.,</w:t>
      </w:r>
      <w:r>
        <w:rPr>
          <w:rFonts w:ascii="Arial" w:cs="Arial" w:eastAsia="Arial" w:hAnsi="Arial"/>
          <w:sz w:val="16"/>
          <w:szCs w:val="16"/>
          <w:b w:val="1"/>
          <w:bCs w:val="1"/>
          <w:color w:val="auto"/>
        </w:rPr>
        <w:t xml:space="preserve"> </w:t>
      </w:r>
      <w:r>
        <w:rPr>
          <w:rFonts w:ascii="Arial" w:cs="Arial" w:eastAsia="Arial" w:hAnsi="Arial"/>
          <w:sz w:val="16"/>
          <w:szCs w:val="16"/>
          <w:color w:val="auto"/>
        </w:rPr>
        <w:t>BNP Paribas Securities Corp., ING Bank N.V., Dublin Branch, JPMorgan Chase Bank, N.A., and Wells Fargo Securities, LLC, as lead arrangers, Citibank, N.A.as administrative agent and the persons set out therein as lenders, as amended from time to time.</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color w:val="auto"/>
        </w:rPr>
        <w:t xml:space="preserve">Screen Rate </w:t>
      </w:r>
      <w:r>
        <w:rPr>
          <w:rFonts w:ascii="Arial" w:cs="Arial" w:eastAsia="Arial" w:hAnsi="Arial"/>
          <w:sz w:val="16"/>
          <w:szCs w:val="16"/>
          <w:color w:val="auto"/>
        </w:rPr>
        <w:t>means the percentage rate per annum administered by the European Money Markets Institute (in respect of EURIBOR), or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takes over the administration of that rate, for the relevant period displayed on the appropriate page of the Reuters screen. If the relevant page is replaced or the service ceases to be available, the Bank (after consultation with the Borrower) may specify another page or service displaying the appropriate rate.</w:t>
      </w:r>
    </w:p>
    <w:p>
      <w:pPr>
        <w:spacing w:after="0" w:line="20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 xml:space="preserve">Screen Rate Replacement Event </w:t>
      </w:r>
      <w:r>
        <w:rPr>
          <w:rFonts w:ascii="Arial" w:cs="Arial" w:eastAsia="Arial" w:hAnsi="Arial"/>
          <w:sz w:val="16"/>
          <w:szCs w:val="16"/>
          <w:color w:val="auto"/>
        </w:rPr>
        <w:t>means (i) in the reasonable opinion of the Bank, the methodology, formula or other means of determining the Screen</w:t>
      </w:r>
      <w:r>
        <w:rPr>
          <w:rFonts w:ascii="Arial" w:cs="Arial" w:eastAsia="Arial" w:hAnsi="Arial"/>
          <w:sz w:val="16"/>
          <w:szCs w:val="16"/>
          <w:b w:val="1"/>
          <w:bCs w:val="1"/>
          <w:color w:val="auto"/>
        </w:rPr>
        <w:t xml:space="preserve"> </w:t>
      </w:r>
      <w:r>
        <w:rPr>
          <w:rFonts w:ascii="Arial" w:cs="Arial" w:eastAsia="Arial" w:hAnsi="Arial"/>
          <w:sz w:val="16"/>
          <w:szCs w:val="16"/>
          <w:color w:val="auto"/>
        </w:rPr>
        <w:t>Rate has materially changed or (ii) the administrator of a Screen Rate announces that (a) it is insolvent or that it shall cease to provide the Screen Rate (and there is no successor administrator) or (b) such Screen Rate may no longer be used or shall be indefinitely or permanently discontinued.</w:t>
      </w:r>
    </w:p>
    <w:p>
      <w:pPr>
        <w:spacing w:after="0" w:line="19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 xml:space="preserve">Security Interest </w:t>
      </w:r>
      <w:r>
        <w:rPr>
          <w:rFonts w:ascii="Arial" w:cs="Arial" w:eastAsia="Arial" w:hAnsi="Arial"/>
          <w:sz w:val="16"/>
          <w:szCs w:val="16"/>
          <w:color w:val="auto"/>
        </w:rPr>
        <w:t>means (the creation of) a pledge, charge, hypothecation, mortgage, lien or any other security interest securing any obligation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any other agreement or arrangement having a similar effect in the relevant jurisdiction.</w:t>
      </w:r>
    </w:p>
    <w:p>
      <w:pPr>
        <w:spacing w:after="0" w:line="183"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b w:val="1"/>
          <w:bCs w:val="1"/>
          <w:color w:val="auto"/>
        </w:rPr>
        <w:t xml:space="preserve">Swiss 10 Non-Bank Rule </w:t>
      </w:r>
      <w:r>
        <w:rPr>
          <w:rFonts w:ascii="Arial" w:cs="Arial" w:eastAsia="Arial" w:hAnsi="Arial"/>
          <w:sz w:val="16"/>
          <w:szCs w:val="16"/>
          <w:color w:val="auto"/>
        </w:rPr>
        <w:t>means the rule that the aggregate number of creditors under this Agreement which are not Swiss Qualifying Banks must not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exceed ten (10), if and as long as a violation of this rule may result in Swiss withholding tax consequences, all in accordance with the applicable legislation, circulars, and guidelines as in force from time to time.</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 xml:space="preserve">Swiss 20 Non-Bank Rule </w:t>
      </w:r>
      <w:r>
        <w:rPr>
          <w:rFonts w:ascii="Arial" w:cs="Arial" w:eastAsia="Arial" w:hAnsi="Arial"/>
          <w:sz w:val="16"/>
          <w:szCs w:val="16"/>
          <w:color w:val="auto"/>
        </w:rPr>
        <w:t>means the rule that the aggregate number of creditors, other than Swiss Qualifying Banks, of the Borrower under all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debts relevant for classification as debenture ( </w:t>
      </w:r>
      <w:r>
        <w:rPr>
          <w:rFonts w:ascii="Arial" w:cs="Arial" w:eastAsia="Arial" w:hAnsi="Arial"/>
          <w:sz w:val="16"/>
          <w:szCs w:val="16"/>
          <w:i w:val="1"/>
          <w:iCs w:val="1"/>
          <w:color w:val="auto"/>
        </w:rPr>
        <w:t>Kassenobligation</w:t>
      </w:r>
      <w:r>
        <w:rPr>
          <w:rFonts w:ascii="Arial" w:cs="Arial" w:eastAsia="Arial" w:hAnsi="Arial"/>
          <w:sz w:val="16"/>
          <w:szCs w:val="16"/>
          <w:color w:val="auto"/>
        </w:rPr>
        <w:t>), facilities, and/or private placements (including under the Finance Documents) must not at any time exceed 20 (twenty), if and as long as a violation of this rule may result in Swiss withholding tax consequences, all in accordance with the applicable legislation, circulars, and guidelines as in force from time to time.</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color w:val="auto"/>
        </w:rPr>
        <w:t xml:space="preserve">Swiss Qualifying Bank </w:t>
      </w:r>
      <w:r>
        <w:rPr>
          <w:rFonts w:ascii="Arial" w:cs="Arial" w:eastAsia="Arial" w:hAnsi="Arial"/>
          <w:sz w:val="16"/>
          <w:szCs w:val="16"/>
          <w:color w:val="auto"/>
        </w:rPr>
        <w:t>means a Person (including any commercial bank or financial institution (irrespective of its jurisdiction of organization))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in accordance with the applicable legislation, circulars, and guidelines as in force from time to time.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3/20</w:t>
      </w:r>
    </w:p>
    <w:p>
      <w:pPr>
        <w:sectPr>
          <w:pgSz w:w="11900" w:h="16838" w:orient="portrait"/>
          <w:cols w:equalWidth="0" w:num="1">
            <w:col w:w="11200"/>
          </w:cols>
          <w:pgMar w:left="320" w:top="125" w:right="379" w:bottom="1440" w:gutter="0" w:footer="0" w:header="0"/>
          <w:type w:val="continuous"/>
        </w:sectPr>
      </w:pPr>
    </w:p>
    <w:bookmarkStart w:id="52" w:name="page53"/>
    <w:bookmarkEnd w:id="52"/>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in relation to a specified Person any Person which is a subsidiary within the meaning of sections 271 paragraph 2, 290 of the German</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Code (</w:t>
      </w:r>
      <w:r>
        <w:rPr>
          <w:rFonts w:ascii="Arial" w:cs="Arial" w:eastAsia="Arial" w:hAnsi="Arial"/>
          <w:sz w:val="16"/>
          <w:szCs w:val="16"/>
          <w:i w:val="1"/>
          <w:iCs w:val="1"/>
          <w:color w:val="auto"/>
        </w:rPr>
        <w:t>Handelsgesetzbuch</w:t>
      </w:r>
      <w:r>
        <w:rPr>
          <w:rFonts w:ascii="Arial" w:cs="Arial" w:eastAsia="Arial" w:hAnsi="Arial"/>
          <w:sz w:val="16"/>
          <w:szCs w:val="16"/>
          <w:color w:val="auto"/>
        </w:rPr>
        <w:t>) of the first Person.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Unpaid Sum </w:t>
      </w:r>
      <w:r>
        <w:rPr>
          <w:rFonts w:ascii="Arial" w:cs="Arial" w:eastAsia="Arial" w:hAnsi="Arial"/>
          <w:sz w:val="16"/>
          <w:szCs w:val="16"/>
          <w:color w:val="auto"/>
        </w:rPr>
        <w:t>means any sum due and payable but unpaid by the Borrower under the Finance Documents.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Utilisation Date </w:t>
      </w:r>
      <w:r>
        <w:rPr>
          <w:rFonts w:ascii="Arial" w:cs="Arial" w:eastAsia="Arial" w:hAnsi="Arial"/>
          <w:sz w:val="16"/>
          <w:szCs w:val="16"/>
          <w:color w:val="auto"/>
        </w:rPr>
        <w:t>means the date on which a Loan is made or to be made.</w:t>
      </w:r>
    </w:p>
    <w:p>
      <w:pPr>
        <w:spacing w:after="0" w:line="24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b w:val="1"/>
          <w:bCs w:val="1"/>
          <w:color w:val="auto"/>
        </w:rPr>
        <w:t xml:space="preserve">Utilisation Request </w:t>
      </w:r>
      <w:r>
        <w:rPr>
          <w:rFonts w:ascii="Arial" w:cs="Arial" w:eastAsia="Arial" w:hAnsi="Arial"/>
          <w:sz w:val="16"/>
          <w:szCs w:val="16"/>
          <w:color w:val="auto"/>
        </w:rPr>
        <w:t>means a request for a Loan in writing substantially in the form of Schedule</w:t>
      </w:r>
      <w:r>
        <w:rPr>
          <w:rFonts w:ascii="Arial" w:cs="Arial" w:eastAsia="Arial" w:hAnsi="Arial"/>
          <w:sz w:val="16"/>
          <w:szCs w:val="16"/>
          <w:b w:val="1"/>
          <w:bCs w:val="1"/>
          <w:color w:val="auto"/>
        </w:rPr>
        <w:t xml:space="preserve"> Utilisation Request </w:t>
      </w:r>
      <w:r>
        <w:rPr>
          <w:rFonts w:ascii="Arial" w:cs="Arial" w:eastAsia="Arial" w:hAnsi="Arial"/>
          <w:sz w:val="16"/>
          <w:szCs w:val="16"/>
          <w:color w:val="auto"/>
        </w:rPr>
        <w:t>or in any other manner or form as</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by the Bank.</w:t>
      </w:r>
    </w:p>
    <w:p>
      <w:pPr>
        <w:spacing w:after="0" w:line="183"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6"/>
          <w:szCs w:val="16"/>
          <w:b w:val="1"/>
          <w:bCs w:val="1"/>
          <w:color w:val="F79646"/>
        </w:rPr>
      </w:pPr>
      <w:r>
        <w:rPr>
          <w:rFonts w:ascii="Arial" w:cs="Arial" w:eastAsia="Arial" w:hAnsi="Arial"/>
          <w:sz w:val="16"/>
          <w:szCs w:val="16"/>
          <w:b w:val="1"/>
          <w:bCs w:val="1"/>
          <w:color w:val="F79646"/>
        </w:rPr>
        <w:t>Facility</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 Availability</w:t>
      </w:r>
    </w:p>
    <w:p>
      <w:pPr>
        <w:spacing w:after="0" w:line="25"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Subject to the terms of this Agreement, the Bank makes available to the Borrower a committed term loan facility in an aggregate amount of EUR 100,000,000.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the outstanding Loans may not exceed the Commitment at any moment in time.</w:t>
      </w:r>
    </w:p>
    <w:p>
      <w:pPr>
        <w:spacing w:after="0" w:line="228"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b w:val="1"/>
          <w:bCs w:val="1"/>
          <w:color w:val="F79646"/>
        </w:rPr>
      </w:pPr>
      <w:r>
        <w:rPr>
          <w:rFonts w:ascii="Arial" w:cs="Arial" w:eastAsia="Arial" w:hAnsi="Arial"/>
          <w:sz w:val="16"/>
          <w:szCs w:val="16"/>
          <w:b w:val="1"/>
          <w:bCs w:val="1"/>
          <w:color w:val="F79646"/>
        </w:rPr>
        <w:t>Purpose</w:t>
      </w:r>
    </w:p>
    <w:p>
      <w:pPr>
        <w:spacing w:after="0" w:line="5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Borrower shall apply all amounts borrowed by it under the Facility towards general corporate purposes. The Bank is not bound to monitor or verify the application of any amount borrowed pursuant to this Agreement.</w:t>
      </w:r>
    </w:p>
    <w:p>
      <w:pPr>
        <w:spacing w:after="0" w:line="188"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b w:val="1"/>
          <w:bCs w:val="1"/>
          <w:color w:val="F79646"/>
        </w:rPr>
      </w:pPr>
      <w:r>
        <w:rPr>
          <w:rFonts w:ascii="Arial" w:cs="Arial" w:eastAsia="Arial" w:hAnsi="Arial"/>
          <w:sz w:val="16"/>
          <w:szCs w:val="16"/>
          <w:b w:val="1"/>
          <w:bCs w:val="1"/>
          <w:color w:val="F79646"/>
        </w:rPr>
        <w:t>Conditions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4.1 Conditions precedent</w:t>
      </w:r>
    </w:p>
    <w:p>
      <w:pPr>
        <w:spacing w:after="0" w:line="5"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 xml:space="preserve">The first Loan may be requested by the Borrower only after the Bank has received all of the documents and evidence set out in Schedule </w:t>
      </w:r>
      <w:r>
        <w:rPr>
          <w:rFonts w:ascii="Arial" w:cs="Arial" w:eastAsia="Arial" w:hAnsi="Arial"/>
          <w:sz w:val="16"/>
          <w:szCs w:val="16"/>
          <w:b w:val="1"/>
          <w:bCs w:val="1"/>
          <w:color w:val="auto"/>
        </w:rPr>
        <w:t>Conditions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Precedent </w:t>
      </w:r>
      <w:r>
        <w:rPr>
          <w:rFonts w:ascii="Arial" w:cs="Arial" w:eastAsia="Arial" w:hAnsi="Arial"/>
          <w:sz w:val="16"/>
          <w:szCs w:val="16"/>
          <w:color w:val="auto"/>
        </w:rPr>
        <w:t>in form and substance satisfactory to the Bank.</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4.3 Utilisation Request</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Borrower may request a Loan by giving the Bank, via a method as approved by the Bank, a duly completed and duly executed Utilisation Request substantially in the form of Schedule </w:t>
      </w:r>
      <w:r>
        <w:rPr>
          <w:rFonts w:ascii="Arial" w:cs="Arial" w:eastAsia="Arial" w:hAnsi="Arial"/>
          <w:sz w:val="16"/>
          <w:szCs w:val="16"/>
          <w:b w:val="1"/>
          <w:bCs w:val="1"/>
          <w:color w:val="auto"/>
        </w:rPr>
        <w:t>Utilisation Request</w:t>
      </w:r>
      <w:r>
        <w:rPr>
          <w:rFonts w:ascii="Arial" w:cs="Arial" w:eastAsia="Arial" w:hAnsi="Arial"/>
          <w:sz w:val="16"/>
          <w:szCs w:val="16"/>
          <w:color w:val="auto"/>
        </w:rPr>
        <w:t>. A Utilisation Request must be given to the Bank no later than 15:30 Central European Time on the first Business Day after the Rate Fixing Day of the relevant Loan. A Utilisation Request is irrevocable.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4.3 Utilisation</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Bank is not obliged to make a Loan available if:</w:t>
      </w:r>
    </w:p>
    <w:p>
      <w:pPr>
        <w:spacing w:after="0" w:line="5"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on the date of the Utilisation Request or on the Utilisation Date an Event of Default or Default is continuing or would result from that Loan;</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 xml:space="preserve">the Borrower has issued a notice pursuant to Clause 8.5 </w:t>
      </w:r>
      <w:r>
        <w:rPr>
          <w:rFonts w:ascii="Arial" w:cs="Arial" w:eastAsia="Arial" w:hAnsi="Arial"/>
          <w:sz w:val="16"/>
          <w:szCs w:val="16"/>
          <w:b w:val="1"/>
          <w:bCs w:val="1"/>
          <w:color w:val="auto"/>
        </w:rPr>
        <w:t>Notification of Default</w:t>
      </w:r>
      <w:r>
        <w:rPr>
          <w:rFonts w:ascii="Arial" w:cs="Arial" w:eastAsia="Arial" w:hAnsi="Arial"/>
          <w:sz w:val="16"/>
          <w:szCs w:val="16"/>
          <w:color w:val="auto"/>
        </w:rPr>
        <w:t>;</w:t>
      </w:r>
    </w:p>
    <w:p>
      <w:pPr>
        <w:spacing w:after="0" w:line="5" w:lineRule="exact"/>
        <w:rPr>
          <w:rFonts w:ascii="Arial" w:cs="Arial" w:eastAsia="Arial" w:hAnsi="Arial"/>
          <w:sz w:val="14"/>
          <w:szCs w:val="14"/>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6"/>
          <w:szCs w:val="16"/>
          <w:color w:val="auto"/>
        </w:rPr>
        <w:t>the Utilisation Date is not a Business Day within the Availability Period;</w:t>
      </w:r>
    </w:p>
    <w:p>
      <w:pPr>
        <w:spacing w:after="0" w:line="5" w:lineRule="exact"/>
        <w:rPr>
          <w:rFonts w:ascii="Arial" w:cs="Arial" w:eastAsia="Arial" w:hAnsi="Arial"/>
          <w:sz w:val="14"/>
          <w:szCs w:val="14"/>
          <w:color w:val="auto"/>
        </w:rPr>
      </w:pPr>
    </w:p>
    <w:p>
      <w:pPr>
        <w:ind w:left="520" w:right="400" w:hanging="512"/>
        <w:spacing w:after="0" w:line="246" w:lineRule="auto"/>
        <w:tabs>
          <w:tab w:leader="none" w:pos="510" w:val="left"/>
        </w:tabs>
        <w:numPr>
          <w:ilvl w:val="0"/>
          <w:numId w:val="30"/>
        </w:numPr>
        <w:rPr>
          <w:rFonts w:ascii="Arial" w:cs="Arial" w:eastAsia="Arial" w:hAnsi="Arial"/>
          <w:sz w:val="14"/>
          <w:szCs w:val="14"/>
          <w:color w:val="auto"/>
        </w:rPr>
      </w:pPr>
      <w:r>
        <w:rPr>
          <w:rFonts w:ascii="Arial" w:cs="Arial" w:eastAsia="Arial" w:hAnsi="Arial"/>
          <w:sz w:val="16"/>
          <w:szCs w:val="16"/>
          <w:color w:val="auto"/>
        </w:rPr>
        <w:t xml:space="preserve">the amount of the Loan is not at least EUR 25,000,000 or a higher multiple of EUR 1,000,000 and the currency of the Loan does not comply with Clause 2 </w:t>
      </w:r>
      <w:r>
        <w:rPr>
          <w:rFonts w:ascii="Arial" w:cs="Arial" w:eastAsia="Arial" w:hAnsi="Arial"/>
          <w:sz w:val="16"/>
          <w:szCs w:val="16"/>
          <w:b w:val="1"/>
          <w:bCs w:val="1"/>
          <w:color w:val="auto"/>
        </w:rPr>
        <w:t>Facility</w:t>
      </w:r>
      <w:r>
        <w:rPr>
          <w:rFonts w:ascii="Arial" w:cs="Arial" w:eastAsia="Arial" w:hAnsi="Arial"/>
          <w:sz w:val="16"/>
          <w:szCs w:val="16"/>
          <w:color w:val="auto"/>
        </w:rPr>
        <w:t>;</w:t>
      </w: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 xml:space="preserve">the Interest Period does not comply with Clause 5.1 </w:t>
      </w:r>
      <w:r>
        <w:rPr>
          <w:rFonts w:ascii="Arial" w:cs="Arial" w:eastAsia="Arial" w:hAnsi="Arial"/>
          <w:sz w:val="16"/>
          <w:szCs w:val="16"/>
          <w:b w:val="1"/>
          <w:bCs w:val="1"/>
          <w:color w:val="auto"/>
        </w:rPr>
        <w:t>Interest Periods</w:t>
      </w:r>
      <w:r>
        <w:rPr>
          <w:rFonts w:ascii="Arial" w:cs="Arial" w:eastAsia="Arial" w:hAnsi="Arial"/>
          <w:sz w:val="16"/>
          <w:szCs w:val="16"/>
          <w:color w:val="auto"/>
        </w:rPr>
        <w:t>;</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as a result of the proposed utilisation more than four (4) Loans would be outstanding; and</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6"/>
          <w:szCs w:val="16"/>
          <w:color w:val="auto"/>
        </w:rPr>
        <w:t>as a result of the proposed utilisation the aggregate amount of the outstanding Loans would exceed the Commitment.</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4.4 Security</w:t>
      </w:r>
    </w:p>
    <w:p>
      <w:pPr>
        <w:spacing w:after="0" w:line="2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For the purpose of securing all present and future obligations at any time due, owing or incurred by the Borrower to the Bank under the Finance Documents, the Parent Guarantor shall create in favour of the Bank a Parent Guarantee. For the avoidance of doubt, this shall not prejudice the right of the Bank to proceed in accordance with Clause 13 </w:t>
      </w:r>
      <w:r>
        <w:rPr>
          <w:rFonts w:ascii="Arial" w:cs="Arial" w:eastAsia="Arial" w:hAnsi="Arial"/>
          <w:sz w:val="16"/>
          <w:szCs w:val="16"/>
          <w:b w:val="1"/>
          <w:bCs w:val="1"/>
          <w:color w:val="auto"/>
        </w:rPr>
        <w:t>Acceleration.</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4.5 Cancellation of Commitment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Commitment which, at that time, is unutilised shall be cancelled immediately at the end of the Availability Period.</w:t>
      </w:r>
    </w:p>
    <w:p>
      <w:pPr>
        <w:spacing w:after="0" w:line="5" w:lineRule="exact"/>
        <w:rPr>
          <w:sz w:val="20"/>
          <w:szCs w:val="20"/>
          <w:color w:val="auto"/>
        </w:rPr>
      </w:pPr>
    </w:p>
    <w:p>
      <w:pPr>
        <w:ind w:left="40" w:right="9400" w:hanging="32"/>
        <w:spacing w:after="0" w:line="246" w:lineRule="auto"/>
        <w:tabs>
          <w:tab w:leader="none" w:pos="515" w:val="left"/>
        </w:tabs>
        <w:numPr>
          <w:ilvl w:val="0"/>
          <w:numId w:val="31"/>
        </w:numPr>
        <w:rPr>
          <w:rFonts w:ascii="Arial" w:cs="Arial" w:eastAsia="Arial" w:hAnsi="Arial"/>
          <w:sz w:val="16"/>
          <w:szCs w:val="16"/>
          <w:b w:val="1"/>
          <w:bCs w:val="1"/>
          <w:color w:val="F79646"/>
        </w:rPr>
      </w:pPr>
      <w:r>
        <w:rPr>
          <w:rFonts w:ascii="Arial" w:cs="Arial" w:eastAsia="Arial" w:hAnsi="Arial"/>
          <w:sz w:val="16"/>
          <w:szCs w:val="16"/>
          <w:b w:val="1"/>
          <w:bCs w:val="1"/>
          <w:color w:val="F79646"/>
        </w:rPr>
        <w:t xml:space="preserve">Interest and Fees </w:t>
      </w:r>
      <w:r>
        <w:rPr>
          <w:rFonts w:ascii="Arial" w:cs="Arial" w:eastAsia="Arial" w:hAnsi="Arial"/>
          <w:sz w:val="16"/>
          <w:szCs w:val="16"/>
          <w:b w:val="1"/>
          <w:bCs w:val="1"/>
          <w:color w:val="000000"/>
        </w:rPr>
        <w:t>5.1 Interest Periods</w:t>
      </w:r>
    </w:p>
    <w:p>
      <w:pPr>
        <w:spacing w:after="0" w:line="1" w:lineRule="exact"/>
        <w:rPr>
          <w:sz w:val="20"/>
          <w:szCs w:val="20"/>
          <w:color w:val="auto"/>
        </w:rPr>
      </w:pPr>
    </w:p>
    <w:p>
      <w:pPr>
        <w:jc w:val="both"/>
        <w:ind w:left="520" w:right="80" w:hanging="512"/>
        <w:spacing w:after="0" w:line="251" w:lineRule="auto"/>
        <w:tabs>
          <w:tab w:leader="none" w:pos="510" w:val="left"/>
        </w:tabs>
        <w:numPr>
          <w:ilvl w:val="0"/>
          <w:numId w:val="32"/>
        </w:numPr>
        <w:rPr>
          <w:rFonts w:ascii="Arial" w:cs="Arial" w:eastAsia="Arial" w:hAnsi="Arial"/>
          <w:sz w:val="14"/>
          <w:szCs w:val="14"/>
          <w:color w:val="auto"/>
        </w:rPr>
      </w:pPr>
      <w:r>
        <w:rPr>
          <w:rFonts w:ascii="Arial" w:cs="Arial" w:eastAsia="Arial" w:hAnsi="Arial"/>
          <w:sz w:val="16"/>
          <w:szCs w:val="16"/>
          <w:color w:val="auto"/>
        </w:rPr>
        <w:t>Each Loan has successive Interest Periods. The Borrower selects an Interest Period of six (6) months in the Utilisation Request for that Loan and for each subsequent Interest Period in an irrevocable notice received by the Bank not later than 15:30 Central European Time on the last Business Day before the start of that Interest Period. Each Interest Period for a Loan will start on its Utilisation Date or (if applicable) on the first day after the expiry of its preceding Interest Period. The Bank will determine the appropriate Interest Period for any Unpaid Sum.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4/20</w:t>
      </w:r>
    </w:p>
    <w:p>
      <w:pPr>
        <w:sectPr>
          <w:pgSz w:w="11900" w:h="16838" w:orient="portrait"/>
          <w:cols w:equalWidth="0" w:num="1">
            <w:col w:w="11240"/>
          </w:cols>
          <w:pgMar w:left="320" w:top="125" w:right="339" w:bottom="1440" w:gutter="0" w:footer="0" w:header="0"/>
          <w:type w:val="continuous"/>
        </w:sectPr>
      </w:pPr>
    </w:p>
    <w:bookmarkStart w:id="53" w:name="page54"/>
    <w:bookmarkEnd w:id="53"/>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left="520" w:right="300" w:hanging="512"/>
        <w:spacing w:after="0" w:line="260" w:lineRule="auto"/>
        <w:tabs>
          <w:tab w:leader="none" w:pos="510" w:val="left"/>
        </w:tabs>
        <w:numPr>
          <w:ilvl w:val="0"/>
          <w:numId w:val="33"/>
        </w:numPr>
        <w:rPr>
          <w:rFonts w:ascii="Arial" w:cs="Arial" w:eastAsia="Arial" w:hAnsi="Arial"/>
          <w:sz w:val="14"/>
          <w:szCs w:val="14"/>
          <w:color w:val="auto"/>
        </w:rPr>
      </w:pPr>
      <w:r>
        <w:rPr>
          <w:rFonts w:ascii="Arial" w:cs="Arial" w:eastAsia="Arial" w:hAnsi="Arial"/>
          <w:sz w:val="16"/>
          <w:szCs w:val="16"/>
          <w:color w:val="auto"/>
        </w:rPr>
        <w:t>No Loans may be outstanding after the date on which the final Repayment Instalment must be repaid. If an Interest Period for a Loan exceeds the date on which the last Repayment Instalment must be repaid it will be shortened in order for the Interest Period to expire on that date.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5.2 Obligation to pay interest</w:t>
      </w:r>
    </w:p>
    <w:p>
      <w:pPr>
        <w:spacing w:after="0" w:line="25"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6"/>
          <w:szCs w:val="16"/>
          <w:color w:val="auto"/>
        </w:rPr>
        <w:t>The Borrower must pay interest on each Loan made available to it and on any Unpaid Sum on the last day of each Interest Period.</w:t>
      </w:r>
    </w:p>
    <w:p>
      <w:pPr>
        <w:spacing w:after="0" w:line="5" w:lineRule="exact"/>
        <w:rPr>
          <w:rFonts w:ascii="Arial" w:cs="Arial" w:eastAsia="Arial" w:hAnsi="Arial"/>
          <w:sz w:val="14"/>
          <w:szCs w:val="14"/>
          <w:color w:val="auto"/>
        </w:rPr>
      </w:pPr>
    </w:p>
    <w:p>
      <w:pPr>
        <w:ind w:left="520" w:right="660" w:hanging="512"/>
        <w:spacing w:after="0" w:line="260" w:lineRule="auto"/>
        <w:tabs>
          <w:tab w:leader="none" w:pos="510" w:val="left"/>
        </w:tabs>
        <w:numPr>
          <w:ilvl w:val="0"/>
          <w:numId w:val="34"/>
        </w:numPr>
        <w:rPr>
          <w:rFonts w:ascii="Arial" w:cs="Arial" w:eastAsia="Arial" w:hAnsi="Arial"/>
          <w:sz w:val="14"/>
          <w:szCs w:val="14"/>
          <w:color w:val="auto"/>
        </w:rPr>
      </w:pPr>
      <w:r>
        <w:rPr>
          <w:rFonts w:ascii="Arial" w:cs="Arial" w:eastAsia="Arial" w:hAnsi="Arial"/>
          <w:sz w:val="16"/>
          <w:szCs w:val="16"/>
          <w:color w:val="auto"/>
        </w:rPr>
        <w:t>Except where it is provided to the contrary in this Agreement, the rate of interest for each Loan is the percentage rate per annum equal to the aggregate of the applicable Base Rate and Margin.</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5.3 Margin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Margin shall be the percentage rate per annum adjusted from time to time in accordance with the Long Term Credit Rating as set out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2991485" cy="548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9914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provided that:</w:t>
      </w:r>
    </w:p>
    <w:p>
      <w:pPr>
        <w:spacing w:after="0" w:line="5"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initial Margin as at the date of this Agreement is 1.40 per cent. per annum;</w:t>
      </w:r>
    </w:p>
    <w:p>
      <w:pPr>
        <w:spacing w:after="0" w:line="5" w:lineRule="exact"/>
        <w:rPr>
          <w:rFonts w:ascii="Arial" w:cs="Arial" w:eastAsia="Arial" w:hAnsi="Arial"/>
          <w:sz w:val="16"/>
          <w:szCs w:val="16"/>
          <w:color w:val="auto"/>
        </w:rPr>
      </w:pPr>
    </w:p>
    <w:p>
      <w:pPr>
        <w:ind w:right="20" w:firstLine="8"/>
        <w:spacing w:after="0" w:line="246" w:lineRule="auto"/>
        <w:tabs>
          <w:tab w:leader="none" w:pos="22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that the Long Term Credit Ratings of Moody's and Standard &amp; Poor's differ by one notch the margin will be the one associated with the higher rating. In the event that the Long Term Credit Ratings of Moody’s and Standard &amp; Poor’s will differ by more than one notch the margin will be the one associated with the lower rating;</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that only one of the two above Long Term Credit Ratings is available the remaining one shall determine the Margin;</w:t>
      </w:r>
    </w:p>
    <w:p>
      <w:pPr>
        <w:spacing w:after="0" w:line="5" w:lineRule="exact"/>
        <w:rPr>
          <w:rFonts w:ascii="Arial" w:cs="Arial" w:eastAsia="Arial" w:hAnsi="Arial"/>
          <w:sz w:val="16"/>
          <w:szCs w:val="16"/>
          <w:color w:val="auto"/>
        </w:rPr>
      </w:pPr>
    </w:p>
    <w:p>
      <w:pPr>
        <w:ind w:right="220" w:firstLine="8"/>
        <w:spacing w:after="0" w:line="246" w:lineRule="auto"/>
        <w:tabs>
          <w:tab w:leader="none" w:pos="2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both Long Term Credit Ratings are withdrawn or no Long Term Credit Rating is assigned, the Margin shall be the highest percentage rate per annum set out above; and</w:t>
      </w:r>
    </w:p>
    <w:p>
      <w:pPr>
        <w:ind w:right="220" w:firstLine="8"/>
        <w:spacing w:after="0" w:line="260" w:lineRule="auto"/>
        <w:tabs>
          <w:tab w:leader="none" w:pos="2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change in the Margin will take effect from and including the fifth Business Day following the publication of the relevant assignment of or change in the Long Term Credit Rating or other event set out in sub-paragraph (iv) above with respect to all Advances then outstanding or made after that date.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5.4 Default interest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Upon the occurrence of an Event of Default, the rate of interest referred to in Clause 5.2 </w:t>
      </w:r>
      <w:r>
        <w:rPr>
          <w:rFonts w:ascii="Arial" w:cs="Arial" w:eastAsia="Arial" w:hAnsi="Arial"/>
          <w:sz w:val="16"/>
          <w:szCs w:val="16"/>
          <w:b w:val="1"/>
          <w:bCs w:val="1"/>
          <w:color w:val="auto"/>
        </w:rPr>
        <w:t>Obligation to pay interest</w:t>
      </w:r>
      <w:r>
        <w:rPr>
          <w:rFonts w:ascii="Arial" w:cs="Arial" w:eastAsia="Arial" w:hAnsi="Arial"/>
          <w:sz w:val="16"/>
          <w:szCs w:val="16"/>
          <w:color w:val="auto"/>
        </w:rPr>
        <w:t xml:space="preserve"> will be equal to the aggregate of:</w:t>
      </w:r>
    </w:p>
    <w:p>
      <w:pPr>
        <w:spacing w:after="0" w:line="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the Base Rate for whatever Interest Period the Bank may deem appropriate;</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the Margin; and</w:t>
      </w:r>
    </w:p>
    <w:p>
      <w:pPr>
        <w:spacing w:after="0" w:line="5" w:lineRule="exact"/>
        <w:rPr>
          <w:rFonts w:ascii="Arial" w:cs="Arial" w:eastAsia="Arial" w:hAnsi="Arial"/>
          <w:sz w:val="14"/>
          <w:szCs w:val="14"/>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6"/>
          <w:szCs w:val="16"/>
          <w:color w:val="auto"/>
        </w:rPr>
        <w:t>2.00% per annum.</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5.5 Market disruption</w:t>
      </w:r>
    </w:p>
    <w:p>
      <w:pPr>
        <w:spacing w:after="0" w:line="25"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If a Market Disruption Event occurs in relation to a Loan for any Interest Period, then the rate of interest for the Interest Period shall be the percentage rate per annum which is the sum of the Margin and the Cost of Funds.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5.6 Commitment Fee</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Borrower must pay to the Bank a commitment fee computed at a daily basis at the rate of 0.175% per annum on the undrawn and uncancelled portion of the Commitment during the Availability Period. Accrued commitment fees are payable in arrears on the last day of each calendar quarter and, if the whole Commitment is cancelled, on the date that the cancellation is effective.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5.7 Debiting of interest, costs and fees</w:t>
      </w:r>
    </w:p>
    <w:p>
      <w:pPr>
        <w:spacing w:after="0" w:line="2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Unless otherwise agreed in this Agreement, principal, interest, costs and fees payable by the Borrower may and will be debited by the Bank from any account of the Borrower with the Bank. In case an account will be designated by the Borrower in this respect, the Bank will debit the designated account if possible.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5.8 Replacement of Screen Rate</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a Screen Rate Replacement Event occurs the Bank and the Borrower may agree such amendments to the Finance Documents as may be required to (i) provide for and align the Finance Documents to the use of a Replacement Base Rate for the calculation of interest under this Agreement, (ii) provide for appropriate fall-back provisions for the Replacement Base Rate and (iii) adjust the pricing to reduce or mitigate the transfer of economic value from one party to another as a result of the application of the Replacement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5/20</w:t>
      </w:r>
    </w:p>
    <w:p>
      <w:pPr>
        <w:sectPr>
          <w:pgSz w:w="11900" w:h="16838" w:orient="portrait"/>
          <w:cols w:equalWidth="0" w:num="1">
            <w:col w:w="11240"/>
          </w:cols>
          <w:pgMar w:left="320" w:top="125" w:right="339" w:bottom="1440" w:gutter="0" w:footer="0" w:header="0"/>
        </w:sectPr>
      </w:pPr>
    </w:p>
    <w:bookmarkStart w:id="54" w:name="page55"/>
    <w:bookmarkEnd w:id="54"/>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b w:val="1"/>
          <w:bCs w:val="1"/>
          <w:color w:val="F79646"/>
        </w:rPr>
      </w:pPr>
      <w:r>
        <w:rPr>
          <w:rFonts w:ascii="Arial" w:cs="Arial" w:eastAsia="Arial" w:hAnsi="Arial"/>
          <w:sz w:val="16"/>
          <w:szCs w:val="16"/>
          <w:b w:val="1"/>
          <w:bCs w:val="1"/>
          <w:color w:val="F79646"/>
        </w:rPr>
        <w:t>Repayment</w:t>
      </w:r>
    </w:p>
    <w:p>
      <w:pPr>
        <w:spacing w:after="0" w:line="25"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The Borrower must repay each Loan made to it in one amount 12 (twelve) months after the first Utilisation Date.</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6"/>
          <w:szCs w:val="16"/>
          <w:color w:val="auto"/>
        </w:rPr>
        <w:t>No amount of a Loan repaid may subsequently be re-borrowed.</w:t>
      </w:r>
    </w:p>
    <w:p>
      <w:pPr>
        <w:spacing w:after="0" w:line="228"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6"/>
          <w:szCs w:val="16"/>
          <w:b w:val="1"/>
          <w:bCs w:val="1"/>
          <w:color w:val="F79646"/>
        </w:rPr>
      </w:pPr>
      <w:r>
        <w:rPr>
          <w:rFonts w:ascii="Arial" w:cs="Arial" w:eastAsia="Arial" w:hAnsi="Arial"/>
          <w:sz w:val="16"/>
          <w:szCs w:val="16"/>
          <w:b w:val="1"/>
          <w:bCs w:val="1"/>
          <w:color w:val="F79646"/>
        </w:rPr>
        <w:t>Prepayment and cancellation</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7.1 Mandatory prepayment – Illegality, Change of Control</w:t>
      </w:r>
    </w:p>
    <w:p>
      <w:pPr>
        <w:spacing w:after="0" w:line="25" w:lineRule="exact"/>
        <w:rPr>
          <w:sz w:val="20"/>
          <w:szCs w:val="20"/>
          <w:color w:val="auto"/>
        </w:rPr>
      </w:pPr>
    </w:p>
    <w:p>
      <w:pPr>
        <w:ind w:left="520" w:right="280" w:hanging="512"/>
        <w:spacing w:after="0" w:line="246" w:lineRule="auto"/>
        <w:tabs>
          <w:tab w:leader="none" w:pos="510" w:val="left"/>
        </w:tabs>
        <w:numPr>
          <w:ilvl w:val="0"/>
          <w:numId w:val="40"/>
        </w:numPr>
        <w:rPr>
          <w:rFonts w:ascii="Arial" w:cs="Arial" w:eastAsia="Arial" w:hAnsi="Arial"/>
          <w:sz w:val="14"/>
          <w:szCs w:val="14"/>
          <w:color w:val="auto"/>
        </w:rPr>
      </w:pPr>
      <w:r>
        <w:rPr>
          <w:rFonts w:ascii="Arial" w:cs="Arial" w:eastAsia="Arial" w:hAnsi="Arial"/>
          <w:sz w:val="16"/>
          <w:szCs w:val="16"/>
          <w:color w:val="auto"/>
        </w:rPr>
        <w:t>If it becomes unlawful for the Bank or any of its Affiliates to perform any of its obligations, to fund, issue or maintain any Loan or to receive interest under any Finance Document, the Bank may immediately cancel the Commitment and/or declare all outstanding Loans, together with accrued interest and all other amounts accrued under the Finance Documents, to be immediately due and payable.</w:t>
      </w:r>
    </w:p>
    <w:p>
      <w:pPr>
        <w:spacing w:after="0" w:line="1" w:lineRule="exact"/>
        <w:rPr>
          <w:rFonts w:ascii="Arial" w:cs="Arial" w:eastAsia="Arial" w:hAnsi="Arial"/>
          <w:sz w:val="14"/>
          <w:szCs w:val="14"/>
          <w:color w:val="auto"/>
        </w:rPr>
      </w:pPr>
    </w:p>
    <w:p>
      <w:pPr>
        <w:ind w:left="520" w:right="80" w:hanging="512"/>
        <w:spacing w:after="0" w:line="253" w:lineRule="auto"/>
        <w:tabs>
          <w:tab w:leader="none" w:pos="510" w:val="left"/>
        </w:tabs>
        <w:numPr>
          <w:ilvl w:val="0"/>
          <w:numId w:val="40"/>
        </w:numPr>
        <w:rPr>
          <w:rFonts w:ascii="Arial" w:cs="Arial" w:eastAsia="Arial" w:hAnsi="Arial"/>
          <w:sz w:val="14"/>
          <w:szCs w:val="14"/>
          <w:color w:val="auto"/>
        </w:rPr>
      </w:pPr>
      <w:r>
        <w:rPr>
          <w:rFonts w:ascii="Arial" w:cs="Arial" w:eastAsia="Arial" w:hAnsi="Arial"/>
          <w:sz w:val="16"/>
          <w:szCs w:val="16"/>
          <w:color w:val="auto"/>
        </w:rPr>
        <w:t>The Borrower must promptly notify the Bank if it becomes aware of any Change of Control or intended Change of Control. After a Change of Control, the Bank may by not less than 5 days’ notice to the Borrower cancel the Commitment and/or declare all outstanding Loans, together with accrued interest and all other amounts accrued under the Finance Documents, to be immediately due and payable.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7.2 Voluntary prepayment</w:t>
      </w:r>
    </w:p>
    <w:p>
      <w:pPr>
        <w:spacing w:after="0" w:line="25" w:lineRule="exact"/>
        <w:rPr>
          <w:sz w:val="20"/>
          <w:szCs w:val="20"/>
          <w:color w:val="auto"/>
        </w:rPr>
      </w:pPr>
    </w:p>
    <w:p>
      <w:pPr>
        <w:ind w:left="520" w:hanging="512"/>
        <w:spacing w:after="0" w:line="246" w:lineRule="auto"/>
        <w:tabs>
          <w:tab w:leader="none" w:pos="510" w:val="left"/>
        </w:tabs>
        <w:numPr>
          <w:ilvl w:val="0"/>
          <w:numId w:val="41"/>
        </w:numPr>
        <w:rPr>
          <w:rFonts w:ascii="Arial" w:cs="Arial" w:eastAsia="Arial" w:hAnsi="Arial"/>
          <w:sz w:val="14"/>
          <w:szCs w:val="14"/>
          <w:color w:val="auto"/>
        </w:rPr>
      </w:pPr>
      <w:r>
        <w:rPr>
          <w:rFonts w:ascii="Arial" w:cs="Arial" w:eastAsia="Arial" w:hAnsi="Arial"/>
          <w:sz w:val="16"/>
          <w:szCs w:val="16"/>
          <w:color w:val="auto"/>
        </w:rPr>
        <w:t xml:space="preserve">Without prejudice to Clause 17.6 </w:t>
      </w:r>
      <w:r>
        <w:rPr>
          <w:rFonts w:ascii="Arial" w:cs="Arial" w:eastAsia="Arial" w:hAnsi="Arial"/>
          <w:sz w:val="16"/>
          <w:szCs w:val="16"/>
          <w:b w:val="1"/>
          <w:bCs w:val="1"/>
          <w:color w:val="auto"/>
        </w:rPr>
        <w:t>Break Funding Costs</w:t>
      </w:r>
      <w:r>
        <w:rPr>
          <w:rFonts w:ascii="Arial" w:cs="Arial" w:eastAsia="Arial" w:hAnsi="Arial"/>
          <w:sz w:val="16"/>
          <w:szCs w:val="16"/>
          <w:color w:val="auto"/>
        </w:rPr>
        <w:t>, the Borrower may, by giving not less than 10 Business Days prior notice to the Bank, prepay any Loan in whole or in part. Each prepayment notice is irrevocable and must specify the relevant date(s) and the amount of the relevant Loan to be prepaid.</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6"/>
          <w:szCs w:val="16"/>
          <w:color w:val="auto"/>
        </w:rPr>
        <w:t>No amount of a Loan prepaid under this Agreement may subsequently be re-borrowed.</w:t>
      </w:r>
    </w:p>
    <w:p>
      <w:pPr>
        <w:spacing w:after="0" w:line="200" w:lineRule="exact"/>
        <w:rPr>
          <w:sz w:val="20"/>
          <w:szCs w:val="20"/>
          <w:color w:val="auto"/>
        </w:rPr>
      </w:pPr>
    </w:p>
    <w:p>
      <w:pPr>
        <w:spacing w:after="0" w:line="271"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6"/>
          <w:szCs w:val="16"/>
          <w:b w:val="1"/>
          <w:bCs w:val="1"/>
          <w:color w:val="F79646"/>
        </w:rPr>
      </w:pPr>
      <w:r>
        <w:rPr>
          <w:rFonts w:ascii="Arial" w:cs="Arial" w:eastAsia="Arial" w:hAnsi="Arial"/>
          <w:sz w:val="16"/>
          <w:szCs w:val="16"/>
          <w:b w:val="1"/>
          <w:bCs w:val="1"/>
          <w:color w:val="F79646"/>
        </w:rPr>
        <w:t>Information covenants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8.1 Financial statements</w:t>
      </w:r>
    </w:p>
    <w:p>
      <w:pPr>
        <w:spacing w:after="0" w:line="25"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The Borrower must supply to the Bank:</w:t>
      </w:r>
    </w:p>
    <w:p>
      <w:pPr>
        <w:spacing w:after="0" w:line="5" w:lineRule="exact"/>
        <w:rPr>
          <w:rFonts w:ascii="Arial" w:cs="Arial" w:eastAsia="Arial" w:hAnsi="Arial"/>
          <w:sz w:val="14"/>
          <w:szCs w:val="14"/>
          <w:color w:val="auto"/>
        </w:rPr>
      </w:pPr>
    </w:p>
    <w:p>
      <w:pPr>
        <w:ind w:left="900" w:hanging="487"/>
        <w:spacing w:after="0"/>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its audited financial statements prepared in accordance with IFRS and/or local GAAP for each financial year;</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6"/>
          <w:szCs w:val="16"/>
          <w:color w:val="auto"/>
        </w:rPr>
        <w:t>The Borrower shall supply the financial statements specified above as soon as the same become available but in any event:</w:t>
      </w:r>
    </w:p>
    <w:p>
      <w:pPr>
        <w:spacing w:after="0" w:line="5" w:lineRule="exact"/>
        <w:rPr>
          <w:sz w:val="20"/>
          <w:szCs w:val="20"/>
          <w:color w:val="auto"/>
        </w:rPr>
      </w:pPr>
    </w:p>
    <w:p>
      <w:pPr>
        <w:ind w:left="1020" w:hanging="618"/>
        <w:spacing w:after="0"/>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case of the annual audited financial statements of the Borrower, within 180 days after the end of each relevant financial period;</w:t>
      </w:r>
    </w:p>
    <w:p>
      <w:pPr>
        <w:spacing w:after="0" w:line="5" w:lineRule="exact"/>
        <w:rPr>
          <w:rFonts w:ascii="Arial" w:cs="Arial" w:eastAsia="Arial" w:hAnsi="Arial"/>
          <w:sz w:val="16"/>
          <w:szCs w:val="16"/>
          <w:color w:val="auto"/>
        </w:rPr>
      </w:pPr>
    </w:p>
    <w:p>
      <w:pPr>
        <w:ind w:left="520" w:hanging="512"/>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6"/>
          <w:szCs w:val="16"/>
          <w:color w:val="auto"/>
        </w:rPr>
        <w:t>The Parent Guarantor must supply to the Bank:</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its audited consolidated financial statements prepared in accordance with local GAAP for each financial year; and</w:t>
      </w:r>
    </w:p>
    <w:p>
      <w:pPr>
        <w:spacing w:after="0" w:line="5" w:lineRule="exact"/>
        <w:rPr>
          <w:rFonts w:ascii="Arial" w:cs="Arial" w:eastAsia="Arial" w:hAnsi="Arial"/>
          <w:sz w:val="16"/>
          <w:szCs w:val="16"/>
          <w:color w:val="auto"/>
        </w:rPr>
      </w:pPr>
    </w:p>
    <w:p>
      <w:pPr>
        <w:ind w:left="1020" w:hanging="618"/>
        <w:spacing w:after="0"/>
        <w:tabs>
          <w:tab w:leader="none" w:pos="10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its interim consolidated financial statements for each quarter of each financial year.</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6"/>
          <w:szCs w:val="16"/>
          <w:color w:val="auto"/>
        </w:rPr>
        <w:t>The Parent Guarantor shall supply the financial statements specified above as soon as the same become available but in any event:</w:t>
      </w:r>
    </w:p>
    <w:p>
      <w:pPr>
        <w:spacing w:after="0" w:line="5" w:lineRule="exact"/>
        <w:rPr>
          <w:rFonts w:ascii="Arial" w:cs="Arial" w:eastAsia="Arial" w:hAnsi="Arial"/>
          <w:sz w:val="14"/>
          <w:szCs w:val="14"/>
          <w:color w:val="auto"/>
        </w:rPr>
      </w:pPr>
    </w:p>
    <w:p>
      <w:pPr>
        <w:ind w:left="1020" w:right="600" w:hanging="583"/>
        <w:spacing w:after="0" w:line="246" w:lineRule="auto"/>
        <w:tabs>
          <w:tab w:leader="none" w:pos="1009"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case of the annual audited consolidated financial statements of the Parent Guarantor, within 180 days after the end of each relevant financial period; and</w:t>
      </w:r>
    </w:p>
    <w:p>
      <w:pPr>
        <w:ind w:left="1020" w:right="600" w:hanging="618"/>
        <w:spacing w:after="0" w:line="246" w:lineRule="auto"/>
        <w:tabs>
          <w:tab w:leader="none" w:pos="1009"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case of the quarterly interim consolidated financial statements of the Parent Guarantor, within 45 days after the end of each relevant financial period.</w:t>
      </w:r>
    </w:p>
    <w:p>
      <w:pPr>
        <w:ind w:left="520" w:right="240" w:hanging="512"/>
        <w:spacing w:after="0" w:line="246" w:lineRule="auto"/>
        <w:tabs>
          <w:tab w:leader="none" w:pos="510" w:val="left"/>
        </w:tabs>
        <w:numPr>
          <w:ilvl w:val="0"/>
          <w:numId w:val="45"/>
        </w:numPr>
        <w:rPr>
          <w:rFonts w:ascii="Arial" w:cs="Arial" w:eastAsia="Arial" w:hAnsi="Arial"/>
          <w:sz w:val="14"/>
          <w:szCs w:val="14"/>
          <w:color w:val="auto"/>
        </w:rPr>
      </w:pPr>
      <w:r>
        <w:rPr>
          <w:rFonts w:ascii="Arial" w:cs="Arial" w:eastAsia="Arial" w:hAnsi="Arial"/>
          <w:sz w:val="16"/>
          <w:szCs w:val="16"/>
          <w:color w:val="auto"/>
        </w:rPr>
        <w:t>The Borrower and the Parent Guarantor must inform the Bank as soon as reasonably possible in case its auditor does not issue an audit report for the Borrower in respect of the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8.2 Changes of financial year or in the method of financial reporting</w:t>
      </w:r>
    </w:p>
    <w:p>
      <w:pPr>
        <w:spacing w:after="0" w:line="5" w:lineRule="exact"/>
        <w:rPr>
          <w:sz w:val="20"/>
          <w:szCs w:val="20"/>
          <w:color w:val="auto"/>
        </w:rPr>
      </w:pPr>
    </w:p>
    <w:p>
      <w:pPr>
        <w:ind w:left="520" w:right="460" w:hanging="512"/>
        <w:spacing w:after="0" w:line="246" w:lineRule="auto"/>
        <w:tabs>
          <w:tab w:leader="none" w:pos="510" w:val="left"/>
        </w:tabs>
        <w:numPr>
          <w:ilvl w:val="0"/>
          <w:numId w:val="46"/>
        </w:numPr>
        <w:rPr>
          <w:rFonts w:ascii="Arial" w:cs="Arial" w:eastAsia="Arial" w:hAnsi="Arial"/>
          <w:sz w:val="14"/>
          <w:szCs w:val="14"/>
          <w:color w:val="auto"/>
        </w:rPr>
      </w:pPr>
      <w:r>
        <w:rPr>
          <w:rFonts w:ascii="Arial" w:cs="Arial" w:eastAsia="Arial" w:hAnsi="Arial"/>
          <w:sz w:val="16"/>
          <w:szCs w:val="16"/>
          <w:color w:val="auto"/>
        </w:rPr>
        <w:t>The Borrower and the Parent Guarantor must notify the Bank of any proposed change of its financial year or to the manner in which its financial statements are prepared.</w:t>
      </w:r>
    </w:p>
    <w:p>
      <w:pPr>
        <w:ind w:left="500" w:hanging="492"/>
        <w:spacing w:after="0"/>
        <w:tabs>
          <w:tab w:leader="none" w:pos="500" w:val="left"/>
        </w:tabs>
        <w:numPr>
          <w:ilvl w:val="0"/>
          <w:numId w:val="46"/>
        </w:numPr>
        <w:rPr>
          <w:rFonts w:ascii="Arial" w:cs="Arial" w:eastAsia="Arial" w:hAnsi="Arial"/>
          <w:sz w:val="14"/>
          <w:szCs w:val="14"/>
          <w:color w:val="auto"/>
        </w:rPr>
      </w:pPr>
      <w:r>
        <w:rPr>
          <w:rFonts w:ascii="Arial" w:cs="Arial" w:eastAsia="Arial" w:hAnsi="Arial"/>
          <w:sz w:val="16"/>
          <w:szCs w:val="16"/>
          <w:color w:val="auto"/>
        </w:rPr>
        <w:t>If requested by the Bank, the Borrower and the Parent Guarantor must supply to the Bank:</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full description of any change notified under paragraph (a) above;</w:t>
      </w:r>
    </w:p>
    <w:p>
      <w:pPr>
        <w:spacing w:after="0" w:line="5" w:lineRule="exact"/>
        <w:rPr>
          <w:rFonts w:ascii="Arial" w:cs="Arial" w:eastAsia="Arial" w:hAnsi="Arial"/>
          <w:sz w:val="16"/>
          <w:szCs w:val="16"/>
          <w:color w:val="auto"/>
        </w:rPr>
      </w:pPr>
    </w:p>
    <w:p>
      <w:pPr>
        <w:ind w:left="1020" w:hanging="618"/>
        <w:spacing w:after="0" w:line="246" w:lineRule="auto"/>
        <w:tabs>
          <w:tab w:leader="none" w:pos="1009"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sufficient information to enable the Bank to make a proper comparison between the financial position shown by the set of financial statements prepared on the changed basis and its most recent audited consolidated financial statements delivered to the Bank under this Agreement prior to the implementation of the change; and</w:t>
      </w:r>
    </w:p>
    <w:p>
      <w:pPr>
        <w:spacing w:after="0" w:line="1" w:lineRule="exact"/>
        <w:rPr>
          <w:rFonts w:ascii="Arial" w:cs="Arial" w:eastAsia="Arial" w:hAnsi="Arial"/>
          <w:sz w:val="16"/>
          <w:szCs w:val="16"/>
          <w:color w:val="auto"/>
        </w:rPr>
      </w:pPr>
    </w:p>
    <w:p>
      <w:pPr>
        <w:ind w:left="1020" w:hanging="654"/>
        <w:spacing w:after="0"/>
        <w:tabs>
          <w:tab w:leader="none" w:pos="10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positive sign -off by the Borrower’s auditor regarding the change.</w:t>
      </w:r>
    </w:p>
    <w:p>
      <w:pPr>
        <w:spacing w:after="0" w:line="5" w:lineRule="exact"/>
        <w:rPr>
          <w:sz w:val="20"/>
          <w:szCs w:val="20"/>
          <w:color w:val="auto"/>
        </w:rPr>
      </w:pPr>
    </w:p>
    <w:p>
      <w:pPr>
        <w:ind w:left="520" w:right="100" w:hanging="158"/>
        <w:spacing w:after="0" w:line="260" w:lineRule="auto"/>
        <w:rPr>
          <w:sz w:val="20"/>
          <w:szCs w:val="20"/>
          <w:color w:val="auto"/>
        </w:rPr>
      </w:pPr>
      <w:r>
        <w:rPr>
          <w:rFonts w:ascii="Arial" w:cs="Arial" w:eastAsia="Arial" w:hAnsi="Arial"/>
          <w:sz w:val="16"/>
          <w:szCs w:val="16"/>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8.3 Compliance Certificate</w:t>
      </w:r>
    </w:p>
    <w:p>
      <w:pPr>
        <w:spacing w:after="0" w:line="25" w:lineRule="exact"/>
        <w:rPr>
          <w:sz w:val="20"/>
          <w:szCs w:val="20"/>
          <w:color w:val="auto"/>
        </w:rPr>
      </w:pPr>
    </w:p>
    <w:p>
      <w:pPr>
        <w:ind w:left="520" w:right="20"/>
        <w:spacing w:after="0" w:line="246" w:lineRule="auto"/>
        <w:rPr>
          <w:sz w:val="20"/>
          <w:szCs w:val="20"/>
          <w:color w:val="auto"/>
        </w:rPr>
      </w:pPr>
      <w:r>
        <w:rPr>
          <w:rFonts w:ascii="Arial" w:cs="Arial" w:eastAsia="Arial" w:hAnsi="Arial"/>
          <w:sz w:val="16"/>
          <w:szCs w:val="16"/>
          <w:color w:val="auto"/>
        </w:rPr>
        <w:t>Together with each set of its financial statements the Parent Guarantor must supply to the Bank a Compliance Certificate in accordance with Section 5.03 (c) (ii) of the Revolving Facility and a specification of the financial covenants' calculation. The Compliance Certificate must be duly signed by two authorised signatories, of whom one must be the Parent Guarantor’s chief financial officer. A Compliance Certificate supplied with the Parent Guarantor’s audited financial statements, must also be signed by its auditor.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8.4 Information - miscellaneous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Borrower must supply to the Bank:</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6/20</w:t>
      </w:r>
    </w:p>
    <w:p>
      <w:pPr>
        <w:sectPr>
          <w:pgSz w:w="11900" w:h="16838" w:orient="portrait"/>
          <w:cols w:equalWidth="0" w:num="1">
            <w:col w:w="11220"/>
          </w:cols>
          <w:pgMar w:left="320" w:top="125" w:right="359" w:bottom="1440" w:gutter="0" w:footer="0" w:header="0"/>
          <w:type w:val="continuous"/>
        </w:sectPr>
      </w:pPr>
    </w:p>
    <w:bookmarkStart w:id="55" w:name="page56"/>
    <w:bookmarkEnd w:id="55"/>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left="520" w:right="220" w:hanging="512"/>
        <w:spacing w:after="0" w:line="246" w:lineRule="auto"/>
        <w:tabs>
          <w:tab w:leader="none" w:pos="510" w:val="left"/>
        </w:tabs>
        <w:numPr>
          <w:ilvl w:val="0"/>
          <w:numId w:val="47"/>
        </w:numPr>
        <w:rPr>
          <w:rFonts w:ascii="Arial" w:cs="Arial" w:eastAsia="Arial" w:hAnsi="Arial"/>
          <w:sz w:val="14"/>
          <w:szCs w:val="14"/>
          <w:color w:val="auto"/>
        </w:rPr>
      </w:pPr>
      <w:r>
        <w:rPr>
          <w:rFonts w:ascii="Arial" w:cs="Arial" w:eastAsia="Arial" w:hAnsi="Arial"/>
          <w:sz w:val="16"/>
          <w:szCs w:val="16"/>
          <w:color w:val="auto"/>
        </w:rPr>
        <w:t>copies of all material documents dispatched by the Borrower to its shareholders (or any class of them) and/or its creditors generally or any class of them, at the same time as they are dispatched to such shareholders and/or creditors by the Borrower;</w:t>
      </w:r>
    </w:p>
    <w:p>
      <w:pPr>
        <w:ind w:left="520" w:right="20" w:hanging="512"/>
        <w:spacing w:after="0" w:line="246" w:lineRule="auto"/>
        <w:tabs>
          <w:tab w:leader="none" w:pos="510" w:val="left"/>
        </w:tabs>
        <w:numPr>
          <w:ilvl w:val="0"/>
          <w:numId w:val="47"/>
        </w:numPr>
        <w:rPr>
          <w:rFonts w:ascii="Arial" w:cs="Arial" w:eastAsia="Arial" w:hAnsi="Arial"/>
          <w:sz w:val="14"/>
          <w:szCs w:val="14"/>
          <w:color w:val="auto"/>
        </w:rPr>
      </w:pPr>
      <w:r>
        <w:rPr>
          <w:rFonts w:ascii="Arial" w:cs="Arial" w:eastAsia="Arial" w:hAnsi="Arial"/>
          <w:sz w:val="16"/>
          <w:szCs w:val="16"/>
          <w:color w:val="auto"/>
        </w:rPr>
        <w:t>all information on changes in the legal or organisational structure of the Borrower, its constitutional documents, the Persons that are authorised to sign on behalf of the Borrowers documents and notices in connection with this Agreement and/or Persons that are authorised to sign payment orders on behalf of the Borrowers, promptly following the relevant change;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6"/>
          <w:szCs w:val="16"/>
          <w:color w:val="auto"/>
        </w:rPr>
        <w:t>promptly on request of the Bank, such information as the Bank requires to fulfil its know your customer requirements; and</w:t>
      </w:r>
    </w:p>
    <w:p>
      <w:pPr>
        <w:spacing w:after="0" w:line="5" w:lineRule="exact"/>
        <w:rPr>
          <w:rFonts w:ascii="Arial" w:cs="Arial" w:eastAsia="Arial" w:hAnsi="Arial"/>
          <w:sz w:val="14"/>
          <w:szCs w:val="14"/>
          <w:color w:val="auto"/>
        </w:rPr>
      </w:pPr>
    </w:p>
    <w:p>
      <w:pPr>
        <w:ind w:left="520" w:hanging="512"/>
        <w:spacing w:after="0" w:line="260" w:lineRule="auto"/>
        <w:tabs>
          <w:tab w:leader="none" w:pos="510" w:val="left"/>
        </w:tabs>
        <w:numPr>
          <w:ilvl w:val="0"/>
          <w:numId w:val="47"/>
        </w:numPr>
        <w:rPr>
          <w:rFonts w:ascii="Arial" w:cs="Arial" w:eastAsia="Arial" w:hAnsi="Arial"/>
          <w:sz w:val="14"/>
          <w:szCs w:val="14"/>
          <w:color w:val="auto"/>
        </w:rPr>
      </w:pPr>
      <w:r>
        <w:rPr>
          <w:rFonts w:ascii="Arial" w:cs="Arial" w:eastAsia="Arial" w:hAnsi="Arial"/>
          <w:sz w:val="16"/>
          <w:szCs w:val="16"/>
          <w:color w:val="auto"/>
        </w:rPr>
        <w:t>promptly on request of the Bank, any further information regarding the financial condition and operations of the Borrower as the Bank may reasonably request.</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8.5 Notification of Default</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The Borrower must notify the Bank of the occurrence of any Default (and the steps being taken to remedy it) promptly upon becoming aware of its occurrence. The Parent Guarantor must promptly upon becoming aware thereof, notify the Bank of the expectation that the Parent Guarantor will not be able to comply with its obligations under Clause 9 </w:t>
      </w: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208"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6"/>
          <w:szCs w:val="16"/>
          <w:b w:val="1"/>
          <w:bCs w:val="1"/>
          <w:color w:val="F79646"/>
        </w:rPr>
      </w:pPr>
      <w:r>
        <w:rPr>
          <w:rFonts w:ascii="Arial" w:cs="Arial" w:eastAsia="Arial" w:hAnsi="Arial"/>
          <w:sz w:val="16"/>
          <w:szCs w:val="16"/>
          <w:b w:val="1"/>
          <w:bCs w:val="1"/>
          <w:color w:val="F79646"/>
        </w:rPr>
        <w:t>Financial covenants</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Parent Guarantor agrees to be bound by and that it shall comply with the Leverage Ratio 3.5x as stipulated and defined in Section 6.05 of the Revolving Facility and a specification of the financial covenants' calculation. The Parent Guarantor shall comply with the above mentioned Leverage Ratio 3.5x also in case the Revolving Facility is cancelled or otherwise ceases to be valid. The Compliance Certificate must be duly signed by two authorised signatories, of whom one must be the Parent Guarantor’s chief financial officer. A Compliance Certificate supplied with the Parent Guarantor’s audited financial statements, must also be signed by its auditor.</w:t>
      </w:r>
    </w:p>
    <w:p>
      <w:pPr>
        <w:spacing w:after="0" w:line="210"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6"/>
          <w:szCs w:val="16"/>
          <w:b w:val="1"/>
          <w:bCs w:val="1"/>
          <w:color w:val="F79646"/>
        </w:rPr>
      </w:pPr>
      <w:r>
        <w:rPr>
          <w:rFonts w:ascii="Arial" w:cs="Arial" w:eastAsia="Arial" w:hAnsi="Arial"/>
          <w:sz w:val="16"/>
          <w:szCs w:val="16"/>
          <w:b w:val="1"/>
          <w:bCs w:val="1"/>
          <w:color w:val="F79646"/>
        </w:rPr>
        <w:t>General covenants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10.1 General</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 xml:space="preserve">The Borrower agrees to be bound by the covenants set out in this Clause 10 </w:t>
      </w:r>
      <w:r>
        <w:rPr>
          <w:rFonts w:ascii="Arial" w:cs="Arial" w:eastAsia="Arial" w:hAnsi="Arial"/>
          <w:sz w:val="16"/>
          <w:szCs w:val="16"/>
          <w:b w:val="1"/>
          <w:bCs w:val="1"/>
          <w:color w:val="auto"/>
        </w:rPr>
        <w:t>General Covenants</w:t>
      </w:r>
      <w:r>
        <w:rPr>
          <w:rFonts w:ascii="Arial" w:cs="Arial" w:eastAsia="Arial" w:hAnsi="Arial"/>
          <w:sz w:val="16"/>
          <w:szCs w:val="16"/>
          <w:color w:val="auto"/>
        </w:rPr>
        <w:t xml:space="preserve"> relating to it.</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10.2 Borrowing for own account/no trustee</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Borrower declares that all Loans will be drawn by the Borrower for its own account.</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10.3 Compliance with laws, constitutional documents and agreements</w:t>
      </w:r>
    </w:p>
    <w:p>
      <w:pPr>
        <w:spacing w:after="0" w:line="25" w:lineRule="exact"/>
        <w:rPr>
          <w:sz w:val="20"/>
          <w:szCs w:val="20"/>
          <w:color w:val="auto"/>
        </w:rPr>
      </w:pPr>
    </w:p>
    <w:p>
      <w:pPr>
        <w:ind w:right="740" w:firstLine="81"/>
        <w:spacing w:after="0" w:line="260" w:lineRule="auto"/>
        <w:rPr>
          <w:sz w:val="20"/>
          <w:szCs w:val="20"/>
          <w:color w:val="auto"/>
        </w:rPr>
      </w:pPr>
      <w:r>
        <w:rPr>
          <w:rFonts w:ascii="Arial" w:cs="Arial" w:eastAsia="Arial" w:hAnsi="Arial"/>
          <w:sz w:val="16"/>
          <w:szCs w:val="16"/>
          <w:color w:val="auto"/>
        </w:rPr>
        <w:t>The Borrower must comply in all material respects with all relevant provisions of all laws and regulations, any court or administrative order and its constitutional documents.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10.4 Negative pledge</w:t>
      </w:r>
    </w:p>
    <w:p>
      <w:pPr>
        <w:spacing w:after="0" w:line="25"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create or allow to exist any Security Interest on any of its present or future assets.</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50"/>
        </w:numPr>
        <w:rPr>
          <w:rFonts w:ascii="Arial" w:cs="Arial" w:eastAsia="Arial" w:hAnsi="Arial"/>
          <w:sz w:val="14"/>
          <w:szCs w:val="14"/>
          <w:color w:val="auto"/>
        </w:rPr>
      </w:pPr>
      <w:r>
        <w:rPr>
          <w:rFonts w:ascii="Arial" w:cs="Arial" w:eastAsia="Arial" w:hAnsi="Arial"/>
          <w:sz w:val="16"/>
          <w:szCs w:val="16"/>
          <w:color w:val="auto"/>
        </w:rPr>
        <w:t>Paragraph (a) does not apply to:</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any Security Interest constituted by or entered into pursuant to a Finance Document;</w:t>
      </w:r>
    </w:p>
    <w:p>
      <w:pPr>
        <w:spacing w:after="0" w:line="5" w:lineRule="exact"/>
        <w:rPr>
          <w:rFonts w:ascii="Arial" w:cs="Arial" w:eastAsia="Arial" w:hAnsi="Arial"/>
          <w:sz w:val="16"/>
          <w:szCs w:val="16"/>
          <w:color w:val="auto"/>
        </w:rPr>
      </w:pPr>
    </w:p>
    <w:p>
      <w:pPr>
        <w:ind w:left="1020" w:right="120" w:hanging="618"/>
        <w:spacing w:after="0" w:line="246" w:lineRule="auto"/>
        <w:tabs>
          <w:tab w:leader="none" w:pos="1009" w:val="left"/>
        </w:tabs>
        <w:numPr>
          <w:ilvl w:val="2"/>
          <w:numId w:val="50"/>
        </w:numPr>
        <w:rPr>
          <w:rFonts w:ascii="Arial" w:cs="Arial" w:eastAsia="Arial" w:hAnsi="Arial"/>
          <w:sz w:val="16"/>
          <w:szCs w:val="16"/>
          <w:color w:val="auto"/>
        </w:rPr>
      </w:pPr>
      <w:r>
        <w:rPr>
          <w:rFonts w:ascii="Arial" w:cs="Arial" w:eastAsia="Arial" w:hAnsi="Arial"/>
          <w:sz w:val="16"/>
          <w:szCs w:val="16"/>
          <w:color w:val="auto"/>
        </w:rPr>
        <w:t>any Security Interest comprising a netting or set-off arrangement (including cash pooling) entered into by the Borrower in the ordinary course of its banking arrangements;</w:t>
      </w:r>
    </w:p>
    <w:p>
      <w:pPr>
        <w:ind w:left="1020" w:hanging="654"/>
        <w:spacing w:after="0"/>
        <w:tabs>
          <w:tab w:leader="none" w:pos="10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any Security Interest or other lien arising by operation of law and in the ordinary course of trading of the Borrower; or</w:t>
      </w:r>
    </w:p>
    <w:p>
      <w:pPr>
        <w:spacing w:after="0" w:line="5" w:lineRule="exact"/>
        <w:rPr>
          <w:rFonts w:ascii="Arial" w:cs="Arial" w:eastAsia="Arial" w:hAnsi="Arial"/>
          <w:sz w:val="16"/>
          <w:szCs w:val="16"/>
          <w:color w:val="auto"/>
        </w:rPr>
      </w:pPr>
    </w:p>
    <w:p>
      <w:pPr>
        <w:ind w:left="1020" w:hanging="664"/>
        <w:spacing w:after="0" w:line="253" w:lineRule="auto"/>
        <w:tabs>
          <w:tab w:leader="none" w:pos="9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Security Interest securing indebtedness the amount of which (when aggregated with the amounts of any other indebtedness which has the benefit of a Security Interest given by the Borrower, other than any permitted security under (i), (ii) or (iii), does not exceed 10% of the total assets (or its equivalent in any other currency) of the Borrower at any time.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10.5 Disposals</w:t>
      </w:r>
    </w:p>
    <w:p>
      <w:pPr>
        <w:spacing w:after="0" w:line="25" w:lineRule="exact"/>
        <w:rPr>
          <w:sz w:val="20"/>
          <w:szCs w:val="20"/>
          <w:color w:val="auto"/>
        </w:rPr>
      </w:pPr>
    </w:p>
    <w:p>
      <w:pPr>
        <w:ind w:left="520" w:right="160" w:hanging="512"/>
        <w:spacing w:after="0" w:line="246" w:lineRule="auto"/>
        <w:tabs>
          <w:tab w:leader="none" w:pos="510" w:val="left"/>
        </w:tabs>
        <w:numPr>
          <w:ilvl w:val="0"/>
          <w:numId w:val="51"/>
        </w:numPr>
        <w:rPr>
          <w:rFonts w:ascii="Arial" w:cs="Arial" w:eastAsia="Arial" w:hAnsi="Arial"/>
          <w:sz w:val="14"/>
          <w:szCs w:val="14"/>
          <w:color w:val="auto"/>
        </w:rPr>
      </w:pPr>
      <w:r>
        <w:rPr>
          <w:rFonts w:ascii="Arial" w:cs="Arial" w:eastAsia="Arial" w:hAnsi="Arial"/>
          <w:sz w:val="16"/>
          <w:szCs w:val="16"/>
          <w:color w:val="auto"/>
        </w:rPr>
        <w:t>Except as provided below in paragraph (b), the Borrower may not, either in a single transaction or in a series of transactions whether related or not, dispose of all or any material part of its assets.</w:t>
      </w:r>
    </w:p>
    <w:p>
      <w:pPr>
        <w:ind w:left="500" w:hanging="492"/>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6"/>
          <w:szCs w:val="16"/>
          <w:color w:val="auto"/>
        </w:rPr>
        <w:t>Paragraph (a) does not apply to any disposal:</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from a member of the Group (including the Borrower) to another member of the Group (other than the Borrower);</w:t>
      </w:r>
    </w:p>
    <w:p>
      <w:pPr>
        <w:spacing w:after="0" w:line="5" w:lineRule="exact"/>
        <w:rPr>
          <w:rFonts w:ascii="Arial" w:cs="Arial" w:eastAsia="Arial" w:hAnsi="Arial"/>
          <w:sz w:val="16"/>
          <w:szCs w:val="16"/>
          <w:color w:val="auto"/>
        </w:rPr>
      </w:pPr>
    </w:p>
    <w:p>
      <w:pPr>
        <w:ind w:left="1020" w:hanging="618"/>
        <w:spacing w:after="0"/>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made in the ordinary course of business of the disposing entity; or</w:t>
      </w:r>
    </w:p>
    <w:p>
      <w:pPr>
        <w:spacing w:after="0" w:line="5" w:lineRule="exact"/>
        <w:rPr>
          <w:rFonts w:ascii="Arial" w:cs="Arial" w:eastAsia="Arial" w:hAnsi="Arial"/>
          <w:sz w:val="16"/>
          <w:szCs w:val="16"/>
          <w:color w:val="auto"/>
        </w:rPr>
      </w:pPr>
    </w:p>
    <w:p>
      <w:pPr>
        <w:ind w:left="1020" w:right="620" w:hanging="654"/>
        <w:spacing w:after="0" w:line="260" w:lineRule="auto"/>
        <w:tabs>
          <w:tab w:leader="none" w:pos="1010" w:val="left"/>
        </w:tabs>
        <w:numPr>
          <w:ilvl w:val="1"/>
          <w:numId w:val="51"/>
        </w:numPr>
        <w:rPr>
          <w:rFonts w:ascii="Arial" w:cs="Arial" w:eastAsia="Arial" w:hAnsi="Arial"/>
          <w:sz w:val="16"/>
          <w:szCs w:val="16"/>
          <w:color w:val="auto"/>
        </w:rPr>
      </w:pPr>
      <w:r>
        <w:rPr>
          <w:rFonts w:ascii="Arial" w:cs="Arial" w:eastAsia="Arial" w:hAnsi="Arial"/>
          <w:sz w:val="16"/>
          <w:szCs w:val="16"/>
          <w:color w:val="auto"/>
        </w:rPr>
        <w:t>other than under (i) or (ii) where the aggregate amount of those disposals does not exceed €50,000,000 (or its equivalent in any other currency) at any time in any financial year of the Borrower.</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10.6 Financial Indebtedness</w:t>
      </w:r>
    </w:p>
    <w:p>
      <w:pPr>
        <w:spacing w:after="0" w:line="2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Except as provided below in paragraph (b), the Borrower may not incur any Financial Indebtedness.</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6"/>
          <w:szCs w:val="16"/>
          <w:color w:val="auto"/>
        </w:rPr>
        <w:t>Paragraph (a) does not apply to any Financial Indebtedness:</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incurred by the Borrower from another member of the Group;</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7/20</w:t>
      </w:r>
    </w:p>
    <w:p>
      <w:pPr>
        <w:sectPr>
          <w:pgSz w:w="11900" w:h="16838" w:orient="portrait"/>
          <w:cols w:equalWidth="0" w:num="1">
            <w:col w:w="11200"/>
          </w:cols>
          <w:pgMar w:left="320" w:top="125" w:right="379" w:bottom="1440" w:gutter="0" w:footer="0" w:header="0"/>
          <w:type w:val="continuous"/>
        </w:sectPr>
      </w:pPr>
    </w:p>
    <w:bookmarkStart w:id="56" w:name="page57"/>
    <w:bookmarkEnd w:id="56"/>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left="1020" w:hanging="618"/>
        <w:spacing w:after="0" w:line="246" w:lineRule="auto"/>
        <w:tabs>
          <w:tab w:leader="none" w:pos="1009" w:val="left"/>
        </w:tabs>
        <w:numPr>
          <w:ilvl w:val="1"/>
          <w:numId w:val="53"/>
        </w:numPr>
        <w:rPr>
          <w:rFonts w:ascii="Arial" w:cs="Arial" w:eastAsia="Arial" w:hAnsi="Arial"/>
          <w:sz w:val="16"/>
          <w:szCs w:val="16"/>
          <w:color w:val="auto"/>
        </w:rPr>
      </w:pPr>
      <w:r>
        <w:rPr>
          <w:rFonts w:ascii="Arial" w:cs="Arial" w:eastAsia="Arial" w:hAnsi="Arial"/>
          <w:sz w:val="16"/>
          <w:szCs w:val="16"/>
          <w:color w:val="auto"/>
        </w:rPr>
        <w:t>incurred under or in relation to the Finance Documents and/or incurred under any other finance document as agreed between a member of the Group and (an Affiliate of) the Bank;</w:t>
      </w:r>
    </w:p>
    <w:p>
      <w:pPr>
        <w:ind w:left="1020" w:hanging="654"/>
        <w:spacing w:after="0"/>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subordinated to the satisfaction of the Bank; or</w:t>
      </w:r>
    </w:p>
    <w:p>
      <w:pPr>
        <w:spacing w:after="0" w:line="5" w:lineRule="exact"/>
        <w:rPr>
          <w:rFonts w:ascii="Arial" w:cs="Arial" w:eastAsia="Arial" w:hAnsi="Arial"/>
          <w:sz w:val="16"/>
          <w:szCs w:val="16"/>
          <w:color w:val="auto"/>
        </w:rPr>
      </w:pPr>
    </w:p>
    <w:p>
      <w:pPr>
        <w:ind w:left="1000" w:hanging="644"/>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other than under (i), (ii) or (iii) which in aggregate does not exceed €300,000,000 (or its equivalent in any other currency) at any time.</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10.7 Loans out</w:t>
      </w:r>
    </w:p>
    <w:p>
      <w:pPr>
        <w:spacing w:after="0" w:line="2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extend loans or be a creditor in respect of any Financial Indebtedness.</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6"/>
          <w:szCs w:val="16"/>
          <w:color w:val="auto"/>
        </w:rPr>
        <w:t>Paragraph (a) does not apply to any loan or trade credit:</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from a member of the Group (including the Borrower) to another member of the Group (other than the Borrower);</w:t>
      </w:r>
    </w:p>
    <w:p>
      <w:pPr>
        <w:spacing w:after="0" w:line="5" w:lineRule="exact"/>
        <w:rPr>
          <w:rFonts w:ascii="Arial" w:cs="Arial" w:eastAsia="Arial" w:hAnsi="Arial"/>
          <w:sz w:val="16"/>
          <w:szCs w:val="16"/>
          <w:color w:val="auto"/>
        </w:rPr>
      </w:pPr>
    </w:p>
    <w:p>
      <w:pPr>
        <w:ind w:left="1020" w:hanging="618"/>
        <w:spacing w:after="0"/>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extended on arm’s length terms and in the ordinary course of business of the relevant member of the Group; or</w:t>
      </w:r>
    </w:p>
    <w:p>
      <w:pPr>
        <w:spacing w:after="0" w:line="5" w:lineRule="exact"/>
        <w:rPr>
          <w:rFonts w:ascii="Arial" w:cs="Arial" w:eastAsia="Arial" w:hAnsi="Arial"/>
          <w:sz w:val="16"/>
          <w:szCs w:val="16"/>
          <w:color w:val="auto"/>
        </w:rPr>
      </w:pPr>
    </w:p>
    <w:p>
      <w:pPr>
        <w:ind w:left="1020" w:hanging="654"/>
        <w:spacing w:after="0" w:line="260" w:lineRule="auto"/>
        <w:tabs>
          <w:tab w:leader="none" w:pos="1010" w:val="left"/>
        </w:tabs>
        <w:numPr>
          <w:ilvl w:val="1"/>
          <w:numId w:val="55"/>
        </w:numPr>
        <w:rPr>
          <w:rFonts w:ascii="Arial" w:cs="Arial" w:eastAsia="Arial" w:hAnsi="Arial"/>
          <w:sz w:val="16"/>
          <w:szCs w:val="16"/>
          <w:color w:val="auto"/>
        </w:rPr>
      </w:pPr>
      <w:r>
        <w:rPr>
          <w:rFonts w:ascii="Arial" w:cs="Arial" w:eastAsia="Arial" w:hAnsi="Arial"/>
          <w:sz w:val="16"/>
          <w:szCs w:val="16"/>
          <w:color w:val="auto"/>
        </w:rPr>
        <w:t>other than under (i) or (ii), provided that the aggregate amount thereof does not exceed €75,000,000 (or its equivalent in any other currency) at any time.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10.8 No Guarantees or indemnities</w:t>
      </w:r>
    </w:p>
    <w:p>
      <w:pPr>
        <w:spacing w:after="0" w:line="25" w:lineRule="exact"/>
        <w:rPr>
          <w:sz w:val="20"/>
          <w:szCs w:val="20"/>
          <w:color w:val="auto"/>
        </w:rPr>
      </w:pPr>
    </w:p>
    <w:p>
      <w:pPr>
        <w:ind w:left="520" w:right="160" w:hanging="512"/>
        <w:spacing w:after="0" w:line="246" w:lineRule="auto"/>
        <w:tabs>
          <w:tab w:leader="none" w:pos="510" w:val="left"/>
        </w:tabs>
        <w:numPr>
          <w:ilvl w:val="0"/>
          <w:numId w:val="56"/>
        </w:numPr>
        <w:rPr>
          <w:rFonts w:ascii="Arial" w:cs="Arial" w:eastAsia="Arial" w:hAnsi="Arial"/>
          <w:sz w:val="14"/>
          <w:szCs w:val="14"/>
          <w:color w:val="auto"/>
        </w:rPr>
      </w:pPr>
      <w:r>
        <w:rPr>
          <w:rFonts w:ascii="Arial" w:cs="Arial" w:eastAsia="Arial" w:hAnsi="Arial"/>
          <w:sz w:val="16"/>
          <w:szCs w:val="16"/>
          <w:color w:val="auto"/>
        </w:rPr>
        <w:t>Except as provided in paragraph (b) below, the Borrower may not guarantee the obligations of any other Person or assume joint and several liability for or commit itself as surety for those obligations.</w:t>
      </w:r>
    </w:p>
    <w:p>
      <w:pPr>
        <w:ind w:left="500" w:hanging="492"/>
        <w:spacing w:after="0"/>
        <w:tabs>
          <w:tab w:leader="none" w:pos="500" w:val="left"/>
        </w:tabs>
        <w:numPr>
          <w:ilvl w:val="0"/>
          <w:numId w:val="56"/>
        </w:numPr>
        <w:rPr>
          <w:rFonts w:ascii="Arial" w:cs="Arial" w:eastAsia="Arial" w:hAnsi="Arial"/>
          <w:sz w:val="14"/>
          <w:szCs w:val="14"/>
          <w:color w:val="auto"/>
        </w:rPr>
      </w:pPr>
      <w:r>
        <w:rPr>
          <w:rFonts w:ascii="Arial" w:cs="Arial" w:eastAsia="Arial" w:hAnsi="Arial"/>
          <w:sz w:val="16"/>
          <w:szCs w:val="16"/>
          <w:color w:val="auto"/>
        </w:rPr>
        <w:t>Paragraph (a) does not apply to:</w:t>
      </w:r>
    </w:p>
    <w:p>
      <w:pPr>
        <w:spacing w:after="0" w:line="5" w:lineRule="exact"/>
        <w:rPr>
          <w:rFonts w:ascii="Arial" w:cs="Arial" w:eastAsia="Arial" w:hAnsi="Arial"/>
          <w:sz w:val="14"/>
          <w:szCs w:val="14"/>
          <w:color w:val="auto"/>
        </w:rPr>
      </w:pPr>
    </w:p>
    <w:p>
      <w:pPr>
        <w:ind w:left="1020" w:hanging="583"/>
        <w:spacing w:after="0"/>
        <w:tabs>
          <w:tab w:leader="none" w:pos="10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guarantees on arm’s length terms and given in the ordinary course of business of the relevant member of the Group;</w:t>
      </w:r>
    </w:p>
    <w:p>
      <w:pPr>
        <w:spacing w:after="0" w:line="5" w:lineRule="exact"/>
        <w:rPr>
          <w:rFonts w:ascii="Arial" w:cs="Arial" w:eastAsia="Arial" w:hAnsi="Arial"/>
          <w:sz w:val="16"/>
          <w:szCs w:val="16"/>
          <w:color w:val="auto"/>
        </w:rPr>
      </w:pPr>
    </w:p>
    <w:p>
      <w:pPr>
        <w:ind w:left="1020" w:right="560" w:hanging="618"/>
        <w:spacing w:after="0" w:line="246" w:lineRule="auto"/>
        <w:tabs>
          <w:tab w:leader="none" w:pos="100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any obligation under the Finance Documents or under any other finance document as agreed between a member of the Group and (an Affiliate of) the Bank; or</w:t>
      </w:r>
    </w:p>
    <w:p>
      <w:pPr>
        <w:ind w:left="1020" w:right="40" w:hanging="654"/>
        <w:spacing w:after="0" w:line="260" w:lineRule="auto"/>
        <w:tabs>
          <w:tab w:leader="none" w:pos="1010" w:val="left"/>
        </w:tabs>
        <w:numPr>
          <w:ilvl w:val="1"/>
          <w:numId w:val="56"/>
        </w:numPr>
        <w:rPr>
          <w:rFonts w:ascii="Arial" w:cs="Arial" w:eastAsia="Arial" w:hAnsi="Arial"/>
          <w:sz w:val="16"/>
          <w:szCs w:val="16"/>
          <w:color w:val="auto"/>
        </w:rPr>
      </w:pPr>
      <w:r>
        <w:rPr>
          <w:rFonts w:ascii="Arial" w:cs="Arial" w:eastAsia="Arial" w:hAnsi="Arial"/>
          <w:sz w:val="16"/>
          <w:szCs w:val="16"/>
          <w:color w:val="auto"/>
        </w:rPr>
        <w:t>other guarantees than under (i) or (ii), provided that the aggregate amount thereof does not exceed €50,000,000 (or its equivalent in any other currency) at any time.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10.9 Acquisitions</w:t>
      </w:r>
    </w:p>
    <w:p>
      <w:pPr>
        <w:spacing w:after="0" w:line="25"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The Borrower may not make any acquisition to the extent that the consideration (when aggregated with the consideration of all other acquisitions by members of the Group in any financial year of the Borrower) exceeds €200,000,000 (or its equivalent in any other currency) at any time.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10.10 Pari Passu</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Borrower shall ensure that at all times any unsecured and unsubordinated claims of the Bank against it under the Finance Documents rank at least pari passu with the claims of all its other unsecured and unsubordinated creditors except those creditors whose claims are mandatorily preferred by laws of general application to companies.</w:t>
      </w:r>
    </w:p>
    <w:p>
      <w:pPr>
        <w:spacing w:after="0" w:line="208"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6"/>
          <w:szCs w:val="16"/>
          <w:b w:val="1"/>
          <w:bCs w:val="1"/>
          <w:color w:val="F79646"/>
        </w:rPr>
      </w:pPr>
      <w:r>
        <w:rPr>
          <w:rFonts w:ascii="Arial" w:cs="Arial" w:eastAsia="Arial" w:hAnsi="Arial"/>
          <w:sz w:val="16"/>
          <w:szCs w:val="16"/>
          <w:b w:val="1"/>
          <w:bCs w:val="1"/>
          <w:color w:val="F79646"/>
        </w:rPr>
        <w:t>Representations</w:t>
      </w:r>
    </w:p>
    <w:p>
      <w:pPr>
        <w:spacing w:after="0" w:line="2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 xml:space="preserve">The Borrower makes the representations and warranties set out in this Clause 11 </w:t>
      </w:r>
      <w:r>
        <w:rPr>
          <w:rFonts w:ascii="Arial" w:cs="Arial" w:eastAsia="Arial" w:hAnsi="Arial"/>
          <w:sz w:val="16"/>
          <w:szCs w:val="16"/>
          <w:b w:val="1"/>
          <w:bCs w:val="1"/>
          <w:color w:val="auto"/>
        </w:rPr>
        <w:t>Representations</w:t>
      </w:r>
      <w:r>
        <w:rPr>
          <w:rFonts w:ascii="Arial" w:cs="Arial" w:eastAsia="Arial" w:hAnsi="Arial"/>
          <w:sz w:val="16"/>
          <w:szCs w:val="16"/>
          <w:color w:val="auto"/>
        </w:rPr>
        <w:t xml:space="preserve"> to the Bank on the date of this Agreement. The representations are deemed to be made by the Borrower by reference to the facts and circumstances then existing on the date of each Utilisation Request and the first day of each Interest Period.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11.1 Status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It is a limited liability company, duly incorporated and validly existing under the law of its jurisdiction of incorporation. It has the power to own its assets and carry on its business as it is being conducted.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11.2 Binding obligations</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Subject to applicable insolvency and other laws generally affecting the rights or remedies of creditors the obligations expressed to be assumed by it in each Finance Document are legal, valid, binding and enforceable obligations.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11.3 Non-conflict with other obligations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entry into and performance by it of, and the transaction contemplated by, the Finance Documents do not and will not conflict in any material respect with</w:t>
      </w:r>
    </w:p>
    <w:p>
      <w:pPr>
        <w:spacing w:after="0" w:line="5" w:lineRule="exact"/>
        <w:rPr>
          <w:sz w:val="20"/>
          <w:szCs w:val="20"/>
          <w:color w:val="auto"/>
        </w:rPr>
      </w:pPr>
    </w:p>
    <w:p>
      <w:pPr>
        <w:ind w:right="100" w:firstLine="8"/>
        <w:spacing w:after="0" w:line="260" w:lineRule="auto"/>
        <w:tabs>
          <w:tab w:leader="none" w:pos="189"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law or regulation applicable to it, (ii) any constitutional documents of the Borrower or (iii) any agreement or instrument binding upon it or any member of the Group or any of its or any member of the Group assets.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11.4 Power and authority</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It has the power to enter into, perform and deliver, and has taken all necessary action to authorise its entry into, performance and delivery of, the Finance Documents and the transactions contemplated by those Finance Documents.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11.5 Validity and admissibility in evidence</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All Authorisations required (i) to enable it lawfully to enter into, exercise its rights and comply with its obligations in the Finance Documents, and (ii) to make the Finance Documents admissible in evidence in its jurisdiction of incorporation, have been obtained or effected and are in full force and effect.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8/20</w:t>
      </w:r>
    </w:p>
    <w:p>
      <w:pPr>
        <w:sectPr>
          <w:pgSz w:w="11900" w:h="16838" w:orient="portrait"/>
          <w:cols w:equalWidth="0" w:num="1">
            <w:col w:w="11220"/>
          </w:cols>
          <w:pgMar w:left="320" w:top="125" w:right="359" w:bottom="1440" w:gutter="0" w:footer="0" w:header="0"/>
          <w:type w:val="continuous"/>
        </w:sectPr>
      </w:pPr>
    </w:p>
    <w:bookmarkStart w:id="57" w:name="page58"/>
    <w:bookmarkEnd w:id="57"/>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11.6 Governing law and enforcement</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choice of governing law of the Finance Documents will be recognised and enforced in its jurisdiction of incorporation. Any judgment obtained in relation to a Finance Document in the jurisdiction of the governing law of that Finance Document will be recognised and enforced in its jurisdiction of incorporation.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11.7 No Default</w:t>
      </w:r>
    </w:p>
    <w:p>
      <w:pPr>
        <w:spacing w:after="0" w:line="2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No Event of Default is continuing or is reasonably likely to result from the utilisation of the Facility or the entry into, the performance of, or any transaction contemplated by, any Finance Document.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11.8 No Misleading Information</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All the information supplied to the Bank were and continue to be true and accurate in any material respect; in particular, the financial statements furnished to the Bank fairly and completely reflect the financial status of the Borrower as on the date of and for the period to which they refer and are not affected by any material change since the date these accounts were drawn up.</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11.9 No Litigation</w:t>
      </w:r>
    </w:p>
    <w:p>
      <w:pPr>
        <w:spacing w:after="0" w:line="2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 litigation, attachment, arbitration, administrative procedure, which has or might have an adverse effect on the financial condition of the Borrower or on the ability of the Borrower to perform its obligations under the Finance Documents, or a reorganization or bankruptcy procedure, is pending or resolved save for those disclosed upon the signing of this Agreement.</w:t>
      </w:r>
    </w:p>
    <w:p>
      <w:pPr>
        <w:spacing w:after="0" w:line="208" w:lineRule="exact"/>
        <w:rPr>
          <w:sz w:val="20"/>
          <w:szCs w:val="20"/>
          <w:color w:val="auto"/>
        </w:rPr>
      </w:pPr>
    </w:p>
    <w:p>
      <w:pPr>
        <w:ind w:left="520" w:hanging="512"/>
        <w:spacing w:after="0"/>
        <w:tabs>
          <w:tab w:leader="none" w:pos="520" w:val="left"/>
        </w:tabs>
        <w:numPr>
          <w:ilvl w:val="0"/>
          <w:numId w:val="59"/>
        </w:numPr>
        <w:rPr>
          <w:rFonts w:ascii="Arial" w:cs="Arial" w:eastAsia="Arial" w:hAnsi="Arial"/>
          <w:sz w:val="16"/>
          <w:szCs w:val="16"/>
          <w:b w:val="1"/>
          <w:bCs w:val="1"/>
          <w:color w:val="F79646"/>
        </w:rPr>
      </w:pPr>
      <w:r>
        <w:rPr>
          <w:rFonts w:ascii="Arial" w:cs="Arial" w:eastAsia="Arial" w:hAnsi="Arial"/>
          <w:sz w:val="16"/>
          <w:szCs w:val="16"/>
          <w:b w:val="1"/>
          <w:bCs w:val="1"/>
          <w:color w:val="F79646"/>
        </w:rPr>
        <w:t>Events of default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of the events set out in this Clause 12 </w:t>
      </w:r>
      <w:r>
        <w:rPr>
          <w:rFonts w:ascii="Arial" w:cs="Arial" w:eastAsia="Arial" w:hAnsi="Arial"/>
          <w:sz w:val="16"/>
          <w:szCs w:val="16"/>
          <w:b w:val="1"/>
          <w:bCs w:val="1"/>
          <w:color w:val="auto"/>
        </w:rPr>
        <w:t>Events of Default</w:t>
      </w:r>
      <w:r>
        <w:rPr>
          <w:rFonts w:ascii="Arial" w:cs="Arial" w:eastAsia="Arial" w:hAnsi="Arial"/>
          <w:sz w:val="16"/>
          <w:szCs w:val="16"/>
          <w:color w:val="auto"/>
        </w:rPr>
        <w:t xml:space="preserve"> is an Event of Default.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 Non-payment</w:t>
      </w:r>
    </w:p>
    <w:p>
      <w:pPr>
        <w:spacing w:after="0" w:line="2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Borrower does not pay on the due date any amount payable by it under the Finance Documents in the manner required under the Finance Documents, unless the non-payment is caused by a technical or administrative error and is remedied within three (3) Business Days of the due 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12.2 Breach of other obligations</w:t>
      </w:r>
    </w:p>
    <w:p>
      <w:pPr>
        <w:spacing w:after="0" w:line="25"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4"/>
          <w:szCs w:val="14"/>
          <w:color w:val="auto"/>
        </w:rPr>
      </w:pPr>
      <w:r>
        <w:rPr>
          <w:rFonts w:ascii="Arial" w:cs="Arial" w:eastAsia="Arial" w:hAnsi="Arial"/>
          <w:sz w:val="16"/>
          <w:szCs w:val="16"/>
          <w:color w:val="auto"/>
        </w:rPr>
        <w:t xml:space="preserve">The Parent Guarantor does not comply with any term of Clause 9 </w:t>
      </w:r>
      <w:r>
        <w:rPr>
          <w:rFonts w:ascii="Arial" w:cs="Arial" w:eastAsia="Arial" w:hAnsi="Arial"/>
          <w:sz w:val="16"/>
          <w:szCs w:val="16"/>
          <w:b w:val="1"/>
          <w:bCs w:val="1"/>
          <w:color w:val="auto"/>
        </w:rPr>
        <w:t>Financial Covenants</w:t>
      </w:r>
      <w:r>
        <w:rPr>
          <w:rFonts w:ascii="Arial" w:cs="Arial" w:eastAsia="Arial" w:hAnsi="Arial"/>
          <w:sz w:val="16"/>
          <w:szCs w:val="16"/>
          <w:color w:val="auto"/>
        </w:rPr>
        <w:t>; or</w:t>
      </w:r>
    </w:p>
    <w:p>
      <w:pPr>
        <w:spacing w:after="0" w:line="5" w:lineRule="exact"/>
        <w:rPr>
          <w:rFonts w:ascii="Arial" w:cs="Arial" w:eastAsia="Arial" w:hAnsi="Arial"/>
          <w:sz w:val="14"/>
          <w:szCs w:val="14"/>
          <w:color w:val="auto"/>
        </w:rPr>
      </w:pPr>
    </w:p>
    <w:p>
      <w:pPr>
        <w:jc w:val="both"/>
        <w:ind w:left="520" w:right="660" w:hanging="512"/>
        <w:spacing w:after="0" w:line="253" w:lineRule="auto"/>
        <w:tabs>
          <w:tab w:leader="none" w:pos="510" w:val="left"/>
        </w:tabs>
        <w:numPr>
          <w:ilvl w:val="0"/>
          <w:numId w:val="60"/>
        </w:numPr>
        <w:rPr>
          <w:rFonts w:ascii="Arial" w:cs="Arial" w:eastAsia="Arial" w:hAnsi="Arial"/>
          <w:sz w:val="14"/>
          <w:szCs w:val="14"/>
          <w:color w:val="auto"/>
        </w:rPr>
      </w:pPr>
      <w:r>
        <w:rPr>
          <w:rFonts w:ascii="Arial" w:cs="Arial" w:eastAsia="Arial" w:hAnsi="Arial"/>
          <w:sz w:val="16"/>
          <w:szCs w:val="16"/>
          <w:color w:val="auto"/>
        </w:rPr>
        <w:t xml:space="preserve">The Borrower does not comply with any term of the Finance Documents (other than those referred to in Clause 12.1 </w:t>
      </w:r>
      <w:r>
        <w:rPr>
          <w:rFonts w:ascii="Arial" w:cs="Arial" w:eastAsia="Arial" w:hAnsi="Arial"/>
          <w:sz w:val="16"/>
          <w:szCs w:val="16"/>
          <w:b w:val="1"/>
          <w:bCs w:val="1"/>
          <w:color w:val="auto"/>
        </w:rPr>
        <w:t>Non–payment</w:t>
      </w:r>
      <w:r>
        <w:rPr>
          <w:rFonts w:ascii="Arial" w:cs="Arial" w:eastAsia="Arial" w:hAnsi="Arial"/>
          <w:sz w:val="16"/>
          <w:szCs w:val="16"/>
          <w:color w:val="auto"/>
        </w:rPr>
        <w:t xml:space="preserve"> or under paragraph (b) above) provided that no Event of Default under this paragraph (b) will occur if the non-compliance is capable of remedy and is remedied within 14 days of the earlier of (i) the Bank giving notice or (ii) the Borrower becoming aware of the non-compliance.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12.3 Misrepresentation</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when made or deemed to be made provided that no Event of Default under this Clause 12.3 will occur if the circumstances giving rise to the misrepresentation are capable of remedy and are remedied within 14 days of the earlier of (i) the Bank giving notice or (ii) the Borrower becoming aware of the misrepresentation.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12.4 Cross-default</w:t>
      </w:r>
    </w:p>
    <w:p>
      <w:pPr>
        <w:spacing w:after="0" w:line="25"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6"/>
          <w:szCs w:val="16"/>
          <w:color w:val="auto"/>
        </w:rPr>
        <w:t>Any Financial Indebtedness of the Parent Guarantor or the Borrower is not paid when due (after the expiry of any originally applicable grace period);</w:t>
      </w:r>
    </w:p>
    <w:p>
      <w:pPr>
        <w:spacing w:after="0" w:line="5" w:lineRule="exact"/>
        <w:rPr>
          <w:rFonts w:ascii="Arial" w:cs="Arial" w:eastAsia="Arial" w:hAnsi="Arial"/>
          <w:sz w:val="14"/>
          <w:szCs w:val="14"/>
          <w:color w:val="auto"/>
        </w:rPr>
      </w:pPr>
    </w:p>
    <w:p>
      <w:pPr>
        <w:ind w:left="520" w:right="260" w:hanging="512"/>
        <w:spacing w:after="0" w:line="246" w:lineRule="auto"/>
        <w:tabs>
          <w:tab w:leader="none" w:pos="510" w:val="left"/>
        </w:tabs>
        <w:numPr>
          <w:ilvl w:val="0"/>
          <w:numId w:val="61"/>
        </w:numPr>
        <w:rPr>
          <w:rFonts w:ascii="Arial" w:cs="Arial" w:eastAsia="Arial" w:hAnsi="Arial"/>
          <w:sz w:val="14"/>
          <w:szCs w:val="14"/>
          <w:color w:val="auto"/>
        </w:rPr>
      </w:pPr>
      <w:r>
        <w:rPr>
          <w:rFonts w:ascii="Arial" w:cs="Arial" w:eastAsia="Arial" w:hAnsi="Arial"/>
          <w:sz w:val="16"/>
          <w:szCs w:val="16"/>
          <w:color w:val="auto"/>
        </w:rPr>
        <w:t>Any Financial Indebtedness of the Parent Guarantor or the Borrower is declared to be or otherwise becomes due and payable prior to its specified maturity as a result of an event of default (however described);</w:t>
      </w:r>
    </w:p>
    <w:p>
      <w:pPr>
        <w:ind w:left="520" w:right="500" w:hanging="512"/>
        <w:spacing w:after="0" w:line="246" w:lineRule="auto"/>
        <w:tabs>
          <w:tab w:leader="none" w:pos="515" w:val="left"/>
        </w:tabs>
        <w:numPr>
          <w:ilvl w:val="0"/>
          <w:numId w:val="61"/>
        </w:numPr>
        <w:rPr>
          <w:rFonts w:ascii="Arial" w:cs="Arial" w:eastAsia="Arial" w:hAnsi="Arial"/>
          <w:sz w:val="14"/>
          <w:szCs w:val="14"/>
          <w:color w:val="auto"/>
        </w:rPr>
      </w:pPr>
      <w:r>
        <w:rPr>
          <w:rFonts w:ascii="Arial" w:cs="Arial" w:eastAsia="Arial" w:hAnsi="Arial"/>
          <w:sz w:val="16"/>
          <w:szCs w:val="16"/>
          <w:color w:val="auto"/>
        </w:rPr>
        <w:t>Any commitment for any Financial Indebtedness to the Parent Guarantor or the Borrower is reduced, cancelled or suspended as a result of the occurrence of an event of default (however described), or</w:t>
      </w:r>
    </w:p>
    <w:p>
      <w:pPr>
        <w:ind w:left="520" w:right="700" w:hanging="512"/>
        <w:spacing w:after="0" w:line="246" w:lineRule="auto"/>
        <w:tabs>
          <w:tab w:leader="none" w:pos="510" w:val="left"/>
        </w:tabs>
        <w:numPr>
          <w:ilvl w:val="0"/>
          <w:numId w:val="61"/>
        </w:numPr>
        <w:rPr>
          <w:rFonts w:ascii="Arial" w:cs="Arial" w:eastAsia="Arial" w:hAnsi="Arial"/>
          <w:sz w:val="14"/>
          <w:szCs w:val="14"/>
          <w:color w:val="auto"/>
        </w:rPr>
      </w:pPr>
      <w:r>
        <w:rPr>
          <w:rFonts w:ascii="Arial" w:cs="Arial" w:eastAsia="Arial" w:hAnsi="Arial"/>
          <w:sz w:val="16"/>
          <w:szCs w:val="16"/>
          <w:color w:val="auto"/>
        </w:rPr>
        <w:t>Any creditor of the Parent Guarantor or the Borrower becomes entitled to declare any Financial Indebtedness of the Parent Guarantor or the Borrower, respectively, due and payable prior to its specified maturity as a result of an event of default (however described);</w:t>
      </w:r>
    </w:p>
    <w:p>
      <w:pPr>
        <w:ind w:left="520" w:right="580"/>
        <w:spacing w:after="0" w:line="246" w:lineRule="auto"/>
        <w:rPr>
          <w:rFonts w:ascii="Arial" w:cs="Arial" w:eastAsia="Arial" w:hAnsi="Arial"/>
          <w:sz w:val="14"/>
          <w:szCs w:val="14"/>
          <w:color w:val="auto"/>
        </w:rPr>
      </w:pPr>
      <w:r>
        <w:rPr>
          <w:rFonts w:ascii="Arial" w:cs="Arial" w:eastAsia="Arial" w:hAnsi="Arial"/>
          <w:sz w:val="16"/>
          <w:szCs w:val="16"/>
          <w:color w:val="auto"/>
        </w:rPr>
        <w:t>unless the aggregate amount of Financial Indebtedness indicated in paragraphs (a), (b), (c) and (d) above is less than EUR 50,000,000 (or its equivalent in any other currency)</w:t>
      </w:r>
    </w:p>
    <w:p>
      <w:pPr>
        <w:ind w:left="520" w:right="480" w:hanging="512"/>
        <w:spacing w:after="0" w:line="260" w:lineRule="auto"/>
        <w:tabs>
          <w:tab w:leader="none" w:pos="510" w:val="left"/>
        </w:tabs>
        <w:numPr>
          <w:ilvl w:val="0"/>
          <w:numId w:val="61"/>
        </w:numPr>
        <w:rPr>
          <w:rFonts w:ascii="Arial" w:cs="Arial" w:eastAsia="Arial" w:hAnsi="Arial"/>
          <w:sz w:val="14"/>
          <w:szCs w:val="14"/>
          <w:color w:val="auto"/>
        </w:rPr>
      </w:pPr>
      <w:r>
        <w:rPr>
          <w:rFonts w:ascii="Arial" w:cs="Arial" w:eastAsia="Arial" w:hAnsi="Arial"/>
          <w:sz w:val="16"/>
          <w:szCs w:val="16"/>
          <w:color w:val="auto"/>
        </w:rPr>
        <w:t>Any event of default (however described) under any agreement or document entered into or issued by a Person to secure the obligations of the Borrower under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12.5 Insolvency, dissolution or attachment</w:t>
      </w:r>
    </w:p>
    <w:p>
      <w:pPr>
        <w:spacing w:after="0" w:line="25" w:lineRule="exact"/>
        <w:rPr>
          <w:sz w:val="20"/>
          <w:szCs w:val="20"/>
          <w:color w:val="auto"/>
        </w:rPr>
      </w:pPr>
    </w:p>
    <w:p>
      <w:pPr>
        <w:ind w:left="520" w:right="60" w:hanging="512"/>
        <w:spacing w:after="0" w:line="250" w:lineRule="auto"/>
        <w:tabs>
          <w:tab w:leader="none" w:pos="510" w:val="left"/>
        </w:tabs>
        <w:numPr>
          <w:ilvl w:val="0"/>
          <w:numId w:val="62"/>
        </w:numPr>
        <w:rPr>
          <w:rFonts w:ascii="Arial" w:cs="Arial" w:eastAsia="Arial" w:hAnsi="Arial"/>
          <w:sz w:val="14"/>
          <w:szCs w:val="14"/>
          <w:color w:val="auto"/>
        </w:rPr>
      </w:pPr>
      <w:r>
        <w:rPr>
          <w:rFonts w:ascii="Arial" w:cs="Arial" w:eastAsia="Arial" w:hAnsi="Arial"/>
          <w:sz w:val="16"/>
          <w:szCs w:val="16"/>
          <w:color w:val="auto"/>
        </w:rPr>
        <w:t>The Parent Guarantor or the Borrower or any of their creditors applies for moratorium or files for bankruptcy or any other equivalent that materially qualifies as insolvency of the Parent Guarantor or the Borrower, or the Parent Guarantor or the Borrower is declared bankrupt or insolvent by a competent authority, a petition is presented for its winding-up or liquidation, is subject to a moratorium or any other equivalent that materially qualifies as insolvency, is unable or admits its inability to pay its debts as they fall due, suspends making payments on any of its debts (or announces an intention to do so), begins negotiations with its creditors for the rescheduling of any of its indebtedness, offers a composition,</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9/20</w:t>
      </w:r>
    </w:p>
    <w:p>
      <w:pPr>
        <w:sectPr>
          <w:pgSz w:w="11900" w:h="16838" w:orient="portrait"/>
          <w:cols w:equalWidth="0" w:num="1">
            <w:col w:w="11220"/>
          </w:cols>
          <w:pgMar w:left="320" w:top="125" w:right="359" w:bottom="1440" w:gutter="0" w:footer="0" w:header="0"/>
          <w:type w:val="continuous"/>
        </w:sectPr>
      </w:pPr>
    </w:p>
    <w:bookmarkStart w:id="58" w:name="page59"/>
    <w:bookmarkEnd w:id="58"/>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jc w:val="both"/>
        <w:ind w:left="520"/>
        <w:spacing w:after="0" w:line="246" w:lineRule="auto"/>
        <w:rPr>
          <w:sz w:val="20"/>
          <w:szCs w:val="20"/>
          <w:color w:val="auto"/>
        </w:rPr>
      </w:pPr>
      <w:r>
        <w:rPr>
          <w:rFonts w:ascii="Arial" w:cs="Arial" w:eastAsia="Arial" w:hAnsi="Arial"/>
          <w:sz w:val="16"/>
          <w:szCs w:val="16"/>
          <w:color w:val="auto"/>
        </w:rPr>
        <w:t>compromise, concordat, assignment or arrangement to its creditors, is being dissolved or decides (or another corporate body of such Person decides or consents to such a decision) to carry out any of the above mentioned actions. If a moratorium occurs, the ending of the moratorium will not remedy any Event of Default caused by that moratorium.</w:t>
      </w:r>
    </w:p>
    <w:p>
      <w:pPr>
        <w:spacing w:after="0" w:line="1"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4"/>
          <w:szCs w:val="14"/>
          <w:color w:val="auto"/>
        </w:rPr>
      </w:pPr>
      <w:r>
        <w:rPr>
          <w:rFonts w:ascii="Arial" w:cs="Arial" w:eastAsia="Arial" w:hAnsi="Arial"/>
          <w:sz w:val="16"/>
          <w:szCs w:val="16"/>
          <w:color w:val="auto"/>
        </w:rPr>
        <w:t>The appointment of a liquidator, receiver, administrator or other similar officer in respect of the Parent Guarantor or the Borrower or any of its assets.</w:t>
      </w:r>
    </w:p>
    <w:p>
      <w:pPr>
        <w:spacing w:after="0" w:line="5" w:lineRule="exact"/>
        <w:rPr>
          <w:rFonts w:ascii="Arial" w:cs="Arial" w:eastAsia="Arial" w:hAnsi="Arial"/>
          <w:sz w:val="14"/>
          <w:szCs w:val="14"/>
          <w:color w:val="auto"/>
        </w:rPr>
      </w:pPr>
    </w:p>
    <w:p>
      <w:pPr>
        <w:ind w:left="520" w:hanging="512"/>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6"/>
          <w:szCs w:val="16"/>
          <w:color w:val="auto"/>
        </w:rPr>
        <w:t>The enforcement of any Security Interest over any assets of the Parent Guarantor or the Borrower .</w:t>
      </w:r>
    </w:p>
    <w:p>
      <w:pPr>
        <w:spacing w:after="0" w:line="5" w:lineRule="exact"/>
        <w:rPr>
          <w:rFonts w:ascii="Arial" w:cs="Arial" w:eastAsia="Arial" w:hAnsi="Arial"/>
          <w:sz w:val="14"/>
          <w:szCs w:val="14"/>
          <w:color w:val="auto"/>
        </w:rPr>
      </w:pPr>
    </w:p>
    <w:p>
      <w:pPr>
        <w:ind w:left="520" w:hanging="512"/>
        <w:spacing w:after="0" w:line="246" w:lineRule="auto"/>
        <w:tabs>
          <w:tab w:leader="none" w:pos="510" w:val="left"/>
        </w:tabs>
        <w:numPr>
          <w:ilvl w:val="0"/>
          <w:numId w:val="63"/>
        </w:numPr>
        <w:rPr>
          <w:rFonts w:ascii="Arial" w:cs="Arial" w:eastAsia="Arial" w:hAnsi="Arial"/>
          <w:sz w:val="14"/>
          <w:szCs w:val="14"/>
          <w:color w:val="auto"/>
        </w:rPr>
      </w:pPr>
      <w:r>
        <w:rPr>
          <w:rFonts w:ascii="Arial" w:cs="Arial" w:eastAsia="Arial" w:hAnsi="Arial"/>
          <w:sz w:val="16"/>
          <w:szCs w:val="16"/>
          <w:color w:val="auto"/>
        </w:rPr>
        <w:t>Any asset(s) of the Parent Guarantor or the Borrower is affected by an expropriation, executorial attachment, sequestration, distress or execution or a provisional attachment which is not discharged or set aside within 30 days.</w:t>
      </w:r>
    </w:p>
    <w:p>
      <w:pPr>
        <w:ind w:left="520" w:right="60" w:hanging="512"/>
        <w:spacing w:after="0" w:line="260" w:lineRule="auto"/>
        <w:tabs>
          <w:tab w:leader="none" w:pos="510" w:val="left"/>
        </w:tabs>
        <w:numPr>
          <w:ilvl w:val="0"/>
          <w:numId w:val="63"/>
        </w:numPr>
        <w:rPr>
          <w:rFonts w:ascii="Arial" w:cs="Arial" w:eastAsia="Arial" w:hAnsi="Arial"/>
          <w:sz w:val="14"/>
          <w:szCs w:val="14"/>
          <w:color w:val="auto"/>
        </w:rPr>
      </w:pPr>
      <w:r>
        <w:rPr>
          <w:rFonts w:ascii="Arial" w:cs="Arial" w:eastAsia="Arial" w:hAnsi="Arial"/>
          <w:sz w:val="16"/>
          <w:szCs w:val="16"/>
          <w:color w:val="auto"/>
        </w:rPr>
        <w:t>The Parent Guarantor or the Borrower acts or decides, or is the subject of an act or decision, in a foreign jurisdiction which is comparable with an act or decision described in the paragraphs (a), (b), (c) or (d) above.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 Changes within the Borrower</w:t>
      </w:r>
    </w:p>
    <w:p>
      <w:pPr>
        <w:spacing w:after="0" w:line="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The Borrower’s articles of association or internal rules or regulations are, in the opinion of the Bank, materially amended or the corporate structure of the Group is, in the opinion of the Bank, changed significantly, by a merger, demerger, winding up, conversion, takeover or otherwise,other than with the prior written consent of the Bank.</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12.7 Cessation of business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Borrower ceases, or threatens to cease, to carry on all, or a material part of its business.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12.8 Qualified audit report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Borrower’s auditor issues a qualified audit report in respect of the audited financial statements which the Bank considers material (acting reasonably).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12.9 Material adverse change</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Any (series of) event(s) (which specifically includes a change in law or regulation) which have or, in the opinion of the Bank, are reasonably likely to have a Material Adverse Effect.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12.10 Invalidity and unenforceability of the Finance Documents</w:t>
      </w:r>
    </w:p>
    <w:p>
      <w:pPr>
        <w:spacing w:after="0" w:line="25"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4"/>
          <w:szCs w:val="14"/>
          <w:color w:val="auto"/>
        </w:rPr>
      </w:pPr>
      <w:r>
        <w:rPr>
          <w:rFonts w:ascii="Arial" w:cs="Arial" w:eastAsia="Arial" w:hAnsi="Arial"/>
          <w:sz w:val="16"/>
          <w:szCs w:val="16"/>
          <w:color w:val="auto"/>
        </w:rPr>
        <w:t>It is or becomes unlawful for the Borrower to perform any of its obligations under the Finance Documents.</w:t>
      </w:r>
    </w:p>
    <w:p>
      <w:pPr>
        <w:spacing w:after="0" w:line="5" w:lineRule="exact"/>
        <w:rPr>
          <w:rFonts w:ascii="Arial" w:cs="Arial" w:eastAsia="Arial" w:hAnsi="Arial"/>
          <w:sz w:val="14"/>
          <w:szCs w:val="14"/>
          <w:color w:val="auto"/>
        </w:rPr>
      </w:pPr>
    </w:p>
    <w:p>
      <w:pPr>
        <w:ind w:left="520" w:right="1020" w:hanging="512"/>
        <w:spacing w:after="0" w:line="246" w:lineRule="auto"/>
        <w:tabs>
          <w:tab w:leader="none" w:pos="510" w:val="left"/>
        </w:tabs>
        <w:numPr>
          <w:ilvl w:val="0"/>
          <w:numId w:val="64"/>
        </w:numPr>
        <w:rPr>
          <w:rFonts w:ascii="Arial" w:cs="Arial" w:eastAsia="Arial" w:hAnsi="Arial"/>
          <w:sz w:val="14"/>
          <w:szCs w:val="14"/>
          <w:color w:val="auto"/>
        </w:rPr>
      </w:pPr>
      <w:r>
        <w:rPr>
          <w:rFonts w:ascii="Arial" w:cs="Arial" w:eastAsia="Arial" w:hAnsi="Arial"/>
          <w:sz w:val="16"/>
          <w:szCs w:val="16"/>
          <w:color w:val="auto"/>
        </w:rPr>
        <w:t>Any Finance Document is not effective or enforceable in accordance with its terms or is alleged by the Borrower to be ineffective and/or unenforceable in accordance with its terms for any reason.</w:t>
      </w: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6"/>
          <w:szCs w:val="16"/>
          <w:color w:val="auto"/>
        </w:rPr>
        <w:t>The Borrower repudiates or rescinds a Finance Document or evidences an intention to repudiate or rescind a Finance Document.</w:t>
      </w:r>
    </w:p>
    <w:p>
      <w:pPr>
        <w:spacing w:after="0" w:line="5" w:lineRule="exact"/>
        <w:rPr>
          <w:rFonts w:ascii="Arial" w:cs="Arial" w:eastAsia="Arial" w:hAnsi="Arial"/>
          <w:sz w:val="14"/>
          <w:szCs w:val="14"/>
          <w:color w:val="auto"/>
        </w:rPr>
      </w:pPr>
    </w:p>
    <w:p>
      <w:pPr>
        <w:ind w:left="520" w:right="160" w:hanging="512"/>
        <w:spacing w:after="0" w:line="260" w:lineRule="auto"/>
        <w:tabs>
          <w:tab w:leader="none" w:pos="515" w:val="left"/>
        </w:tabs>
        <w:numPr>
          <w:ilvl w:val="0"/>
          <w:numId w:val="64"/>
        </w:numPr>
        <w:rPr>
          <w:rFonts w:ascii="Arial" w:cs="Arial" w:eastAsia="Arial" w:hAnsi="Arial"/>
          <w:sz w:val="14"/>
          <w:szCs w:val="14"/>
          <w:color w:val="auto"/>
        </w:rPr>
      </w:pPr>
      <w:r>
        <w:rPr>
          <w:rFonts w:ascii="Arial" w:cs="Arial" w:eastAsia="Arial" w:hAnsi="Arial"/>
          <w:sz w:val="16"/>
          <w:szCs w:val="16"/>
          <w:color w:val="auto"/>
        </w:rPr>
        <w:t>No Event of Default under paragraphs (a) or (b) will occur if the unlawfulness or (alleged or actual) ineffectiveness or unenforceability individually or cumulatively is remedied within 14 days of the earlier of (i) the Bank giving notice or (ii) the Borrower becoming aware of the non-compliance.</w:t>
      </w:r>
    </w:p>
    <w:p>
      <w:pPr>
        <w:spacing w:after="0" w:line="202"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6"/>
          <w:szCs w:val="16"/>
          <w:b w:val="1"/>
          <w:bCs w:val="1"/>
          <w:color w:val="F79646"/>
        </w:rPr>
      </w:pPr>
      <w:r>
        <w:rPr>
          <w:rFonts w:ascii="Arial" w:cs="Arial" w:eastAsia="Arial" w:hAnsi="Arial"/>
          <w:sz w:val="16"/>
          <w:szCs w:val="16"/>
          <w:b w:val="1"/>
          <w:bCs w:val="1"/>
          <w:color w:val="F79646"/>
        </w:rPr>
        <w:t>Acceleration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Without prejudice to any other rights it may have under this Agreement, if an Event of Default occurs or is continuing, the Bank may, by notice to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Borrower:</w:t>
      </w:r>
    </w:p>
    <w:p>
      <w:pPr>
        <w:spacing w:after="0" w:line="5"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6"/>
          <w:szCs w:val="16"/>
          <w:color w:val="auto"/>
        </w:rPr>
        <w:t>cancel the Commitment in whole or in part;</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66"/>
        </w:numPr>
        <w:rPr>
          <w:rFonts w:ascii="Arial" w:cs="Arial" w:eastAsia="Arial" w:hAnsi="Arial"/>
          <w:sz w:val="14"/>
          <w:szCs w:val="14"/>
          <w:color w:val="auto"/>
        </w:rPr>
      </w:pPr>
      <w:r>
        <w:rPr>
          <w:rFonts w:ascii="Arial" w:cs="Arial" w:eastAsia="Arial" w:hAnsi="Arial"/>
          <w:sz w:val="16"/>
          <w:szCs w:val="16"/>
          <w:color w:val="auto"/>
        </w:rPr>
        <w:t>declare that any and all amounts outstanding under the Finance Documents are:</w:t>
      </w:r>
    </w:p>
    <w:p>
      <w:pPr>
        <w:spacing w:after="0" w:line="5" w:lineRule="exact"/>
        <w:rPr>
          <w:rFonts w:ascii="Arial" w:cs="Arial" w:eastAsia="Arial" w:hAnsi="Arial"/>
          <w:sz w:val="14"/>
          <w:szCs w:val="14"/>
          <w:color w:val="auto"/>
        </w:rPr>
      </w:pPr>
    </w:p>
    <w:p>
      <w:pPr>
        <w:ind w:left="1020" w:right="240" w:hanging="591"/>
        <w:spacing w:after="0" w:line="246" w:lineRule="auto"/>
        <w:tabs>
          <w:tab w:leader="none" w:pos="1009" w:val="left"/>
        </w:tabs>
        <w:numPr>
          <w:ilvl w:val="1"/>
          <w:numId w:val="66"/>
        </w:numPr>
        <w:rPr>
          <w:rFonts w:ascii="Arial" w:cs="Arial" w:eastAsia="Arial" w:hAnsi="Arial"/>
          <w:sz w:val="16"/>
          <w:szCs w:val="16"/>
          <w:color w:val="auto"/>
        </w:rPr>
      </w:pPr>
      <w:r>
        <w:rPr>
          <w:rFonts w:ascii="Arial" w:cs="Arial" w:eastAsia="Arial" w:hAnsi="Arial"/>
          <w:sz w:val="16"/>
          <w:szCs w:val="16"/>
          <w:color w:val="auto"/>
        </w:rPr>
        <w:t>immediately (without a default notice being required) due and payable (as a result of which all outstanding Loans including accrued interest and any other amounts due by the Borrowers under the Finance Documents (including Break Funding Costs) are immediately due and payable), or</w:t>
      </w:r>
    </w:p>
    <w:p>
      <w:pPr>
        <w:spacing w:after="0" w:line="1" w:lineRule="exact"/>
        <w:rPr>
          <w:rFonts w:ascii="Arial" w:cs="Arial" w:eastAsia="Arial" w:hAnsi="Arial"/>
          <w:sz w:val="16"/>
          <w:szCs w:val="16"/>
          <w:color w:val="auto"/>
        </w:rPr>
      </w:pPr>
    </w:p>
    <w:p>
      <w:pPr>
        <w:ind w:left="1020" w:right="100" w:hanging="627"/>
        <w:spacing w:after="0" w:line="260" w:lineRule="auto"/>
        <w:tabs>
          <w:tab w:leader="none" w:pos="101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payable on first demand by the Bank (as a result of which all outstanding Loans including accrued interest and any other amounts due by the Borrowers under the Finance Documents (including Break Funding Costs) will become payable on first demand by the Bank;</w:t>
      </w:r>
    </w:p>
    <w:p>
      <w:pPr>
        <w:spacing w:after="0" w:line="202"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6"/>
          <w:szCs w:val="16"/>
          <w:b w:val="1"/>
          <w:bCs w:val="1"/>
          <w:color w:val="F79646"/>
        </w:rPr>
      </w:pPr>
      <w:r>
        <w:rPr>
          <w:rFonts w:ascii="Arial" w:cs="Arial" w:eastAsia="Arial" w:hAnsi="Arial"/>
          <w:sz w:val="16"/>
          <w:szCs w:val="16"/>
          <w:b w:val="1"/>
          <w:bCs w:val="1"/>
          <w:color w:val="F79646"/>
        </w:rPr>
        <w:t>Payments and set-off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14.1 Currency of account</w:t>
      </w:r>
    </w:p>
    <w:p>
      <w:pPr>
        <w:spacing w:after="0" w:line="25" w:lineRule="exact"/>
        <w:rPr>
          <w:sz w:val="20"/>
          <w:szCs w:val="20"/>
          <w:color w:val="auto"/>
        </w:rPr>
      </w:pPr>
    </w:p>
    <w:p>
      <w:pPr>
        <w:ind w:left="520" w:right="320" w:hanging="512"/>
        <w:spacing w:after="0" w:line="246" w:lineRule="auto"/>
        <w:tabs>
          <w:tab w:leader="none" w:pos="510" w:val="left"/>
        </w:tabs>
        <w:numPr>
          <w:ilvl w:val="0"/>
          <w:numId w:val="68"/>
        </w:numPr>
        <w:rPr>
          <w:rFonts w:ascii="Arial" w:cs="Arial" w:eastAsia="Arial" w:hAnsi="Arial"/>
          <w:sz w:val="14"/>
          <w:szCs w:val="14"/>
          <w:color w:val="auto"/>
        </w:rPr>
      </w:pPr>
      <w:r>
        <w:rPr>
          <w:rFonts w:ascii="Arial" w:cs="Arial" w:eastAsia="Arial" w:hAnsi="Arial"/>
          <w:sz w:val="16"/>
          <w:szCs w:val="16"/>
          <w:color w:val="auto"/>
        </w:rPr>
        <w:t>Each (re)payment in respect of Loans, Unpaid Sums, interest, costs, expenses or taxes shall be made in the currency in which such amounts are denominated or, if applicable, incurred.</w:t>
      </w:r>
    </w:p>
    <w:p>
      <w:pPr>
        <w:ind w:left="500" w:hanging="492"/>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6"/>
          <w:szCs w:val="16"/>
          <w:color w:val="auto"/>
        </w:rPr>
        <w:t>Any amount expressed to be payable in a specific currency shall be paid in that currency.</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14.2 Place of payment</w:t>
      </w:r>
    </w:p>
    <w:p>
      <w:pPr>
        <w:spacing w:after="0" w:line="25"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 xml:space="preserve">Without prejudice to Clause 5.7 </w:t>
      </w:r>
      <w:r>
        <w:rPr>
          <w:rFonts w:ascii="Arial" w:cs="Arial" w:eastAsia="Arial" w:hAnsi="Arial"/>
          <w:sz w:val="16"/>
          <w:szCs w:val="16"/>
          <w:b w:val="1"/>
          <w:bCs w:val="1"/>
          <w:color w:val="auto"/>
        </w:rPr>
        <w:t>Debiting of Interest, Cost and Fees</w:t>
      </w:r>
      <w:r>
        <w:rPr>
          <w:rFonts w:ascii="Arial" w:cs="Arial" w:eastAsia="Arial" w:hAnsi="Arial"/>
          <w:sz w:val="16"/>
          <w:szCs w:val="16"/>
          <w:color w:val="auto"/>
        </w:rPr>
        <w:t>, all payments to the Bank under the Finance Documents shall be made into the account specified by the Bank.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14.3 No set-off</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All payments made by the Borrower under the Finance Documents must be made without set-off or counterclaim with the exception of counterclaims which are not in dispute between the Borrower and the Bank or have been legally established.</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2"/>
          <w:szCs w:val="12"/>
          <w:i w:val="1"/>
          <w:iCs w:val="1"/>
          <w:color w:val="auto"/>
        </w:rPr>
        <w:t>10/20</w:t>
      </w:r>
    </w:p>
    <w:p>
      <w:pPr>
        <w:sectPr>
          <w:pgSz w:w="11900" w:h="16838" w:orient="portrait"/>
          <w:cols w:equalWidth="0" w:num="1">
            <w:col w:w="11200"/>
          </w:cols>
          <w:pgMar w:left="320" w:top="125" w:right="379" w:bottom="1440" w:gutter="0" w:footer="0" w:header="0"/>
          <w:type w:val="continuous"/>
        </w:sectPr>
      </w:pPr>
    </w:p>
    <w:bookmarkStart w:id="59" w:name="page60"/>
    <w:bookmarkEnd w:id="59"/>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14.4 Set-off by the Bank</w:t>
      </w:r>
    </w:p>
    <w:p>
      <w:pPr>
        <w:spacing w:after="0" w:line="25"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 xml:space="preserve">The Bank is at all times entitled to set off any debt receivable by it from the Borrower under or in connection with the Finance Documents (each a </w:t>
      </w:r>
      <w:r>
        <w:rPr>
          <w:rFonts w:ascii="Arial" w:cs="Arial" w:eastAsia="Arial" w:hAnsi="Arial"/>
          <w:sz w:val="16"/>
          <w:szCs w:val="16"/>
          <w:b w:val="1"/>
          <w:bCs w:val="1"/>
          <w:color w:val="auto"/>
        </w:rPr>
        <w:t>claim</w:t>
      </w:r>
      <w:r>
        <w:rPr>
          <w:rFonts w:ascii="Arial" w:cs="Arial" w:eastAsia="Arial" w:hAnsi="Arial"/>
          <w:sz w:val="16"/>
          <w:szCs w:val="16"/>
          <w:color w:val="auto"/>
        </w:rPr>
        <w:t xml:space="preserve">) against any debt owed by the Bank to the Borrower (each a </w:t>
      </w:r>
      <w:r>
        <w:rPr>
          <w:rFonts w:ascii="Arial" w:cs="Arial" w:eastAsia="Arial" w:hAnsi="Arial"/>
          <w:sz w:val="16"/>
          <w:szCs w:val="16"/>
          <w:b w:val="1"/>
          <w:bCs w:val="1"/>
          <w:color w:val="auto"/>
        </w:rPr>
        <w:t>debt</w:t>
      </w:r>
      <w:r>
        <w:rPr>
          <w:rFonts w:ascii="Arial" w:cs="Arial" w:eastAsia="Arial" w:hAnsi="Arial"/>
          <w:sz w:val="16"/>
          <w:szCs w:val="16"/>
          <w:color w:val="auto"/>
        </w:rPr>
        <w:t>) regardless of the currency in which the relevant claim and the relevant debt are denominated.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14.5 Business Days</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If a payment under a Finance Document is due on a day which is not a Business Day, the due date for that payment will instead be the next Business Day in the same calendar month or if there is no such day in that calendar month the preceding Business Day.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14.6 Priority of payments</w:t>
      </w:r>
    </w:p>
    <w:p>
      <w:pPr>
        <w:spacing w:after="0" w:line="25"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If the funds provided by the Borrower for the payment of amounts due under the Finance Documents are insufficient, the priority of payments shall be determined by the Bank irrespective of the due date of the particular amounts or any instruction of the Borrower.</w:t>
      </w:r>
    </w:p>
    <w:p>
      <w:pPr>
        <w:spacing w:after="0" w:line="202"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6"/>
          <w:szCs w:val="16"/>
          <w:b w:val="1"/>
          <w:bCs w:val="1"/>
          <w:color w:val="F79646"/>
        </w:rPr>
      </w:pPr>
      <w:r>
        <w:rPr>
          <w:rFonts w:ascii="Arial" w:cs="Arial" w:eastAsia="Arial" w:hAnsi="Arial"/>
          <w:sz w:val="16"/>
          <w:szCs w:val="16"/>
          <w:b w:val="1"/>
          <w:bCs w:val="1"/>
          <w:color w:val="F79646"/>
        </w:rPr>
        <w:t>INCREASED COST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Borrower shall, within three Business Days of a written demand from the Bank, pay to the Bank the amount equal to any Increased Cost incurred by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Bank or any of its Affiliates as a result of:</w:t>
      </w:r>
    </w:p>
    <w:p>
      <w:pPr>
        <w:spacing w:after="0" w:line="5" w:lineRule="exact"/>
        <w:rPr>
          <w:sz w:val="20"/>
          <w:szCs w:val="20"/>
          <w:color w:val="auto"/>
        </w:rPr>
      </w:pPr>
    </w:p>
    <w:p>
      <w:pPr>
        <w:ind w:left="520" w:right="120" w:hanging="512"/>
        <w:spacing w:after="0" w:line="246" w:lineRule="auto"/>
        <w:tabs>
          <w:tab w:leader="none" w:pos="510" w:val="left"/>
        </w:tabs>
        <w:numPr>
          <w:ilvl w:val="0"/>
          <w:numId w:val="70"/>
        </w:numPr>
        <w:rPr>
          <w:rFonts w:ascii="Arial" w:cs="Arial" w:eastAsia="Arial" w:hAnsi="Arial"/>
          <w:sz w:val="14"/>
          <w:szCs w:val="14"/>
          <w:color w:val="auto"/>
        </w:rPr>
      </w:pPr>
      <w:r>
        <w:rPr>
          <w:rFonts w:ascii="Arial" w:cs="Arial" w:eastAsia="Arial" w:hAnsi="Arial"/>
          <w:sz w:val="16"/>
          <w:szCs w:val="16"/>
          <w:color w:val="auto"/>
        </w:rPr>
        <w:t>the introduction of or any change in (or in the interpretation, administration or application of) any law or regulation (with or without having the force of law) made after the date of this Agreement;</w:t>
      </w:r>
    </w:p>
    <w:p>
      <w:pPr>
        <w:ind w:left="500" w:hanging="492"/>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6"/>
          <w:szCs w:val="16"/>
          <w:color w:val="auto"/>
        </w:rPr>
        <w:t>compliance with any law or regulation (with or without having the force of law) made after the date of this Agreement; or</w:t>
      </w:r>
    </w:p>
    <w:p>
      <w:pPr>
        <w:spacing w:after="0" w:line="5" w:lineRule="exact"/>
        <w:rPr>
          <w:rFonts w:ascii="Arial" w:cs="Arial" w:eastAsia="Arial" w:hAnsi="Arial"/>
          <w:sz w:val="14"/>
          <w:szCs w:val="14"/>
          <w:color w:val="auto"/>
        </w:rPr>
      </w:pPr>
    </w:p>
    <w:p>
      <w:pPr>
        <w:ind w:left="500" w:hanging="492"/>
        <w:spacing w:after="0"/>
        <w:tabs>
          <w:tab w:leader="none" w:pos="500" w:val="left"/>
        </w:tabs>
        <w:numPr>
          <w:ilvl w:val="0"/>
          <w:numId w:val="70"/>
        </w:numPr>
        <w:rPr>
          <w:rFonts w:ascii="Arial" w:cs="Arial" w:eastAsia="Arial" w:hAnsi="Arial"/>
          <w:sz w:val="14"/>
          <w:szCs w:val="14"/>
          <w:color w:val="auto"/>
        </w:rPr>
      </w:pPr>
      <w:r>
        <w:rPr>
          <w:rFonts w:ascii="Arial" w:cs="Arial" w:eastAsia="Arial" w:hAnsi="Arial"/>
          <w:sz w:val="16"/>
          <w:szCs w:val="16"/>
          <w:color w:val="auto"/>
        </w:rPr>
        <w:t>the implementation or application of or compliance with Basel III or any law or regulation that implements, applies or amends Basel III, in each case to</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extent not reasonably known to the Bank or its relevant Affiliates at the date of this Agreement.</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Clause 15 does not apply to the extent any Increased Cost is (i) attributable to the implementation or application of or compliance with the “International Convergence of Capital Measurement and Capital Standards, a Revised Framework” published by the Basel Committee on Banking Supervision in June 2004 in the form existing on the date of this Agreement (but excluding any amendment arising out of Basel III or CRD IV) (“</w:t>
      </w:r>
      <w:r>
        <w:rPr>
          <w:rFonts w:ascii="Arial" w:cs="Arial" w:eastAsia="Arial" w:hAnsi="Arial"/>
          <w:sz w:val="16"/>
          <w:szCs w:val="16"/>
          <w:b w:val="1"/>
          <w:bCs w:val="1"/>
          <w:color w:val="auto"/>
        </w:rPr>
        <w:t>Basel II</w:t>
      </w:r>
      <w:r>
        <w:rPr>
          <w:rFonts w:ascii="Arial" w:cs="Arial" w:eastAsia="Arial" w:hAnsi="Arial"/>
          <w:sz w:val="16"/>
          <w:szCs w:val="16"/>
          <w:color w:val="auto"/>
        </w:rPr>
        <w:t>”) or any other law or regulation that implements Basel II (whether such implementation, application or compliance is by a government, regulator, Finance Party or any of its Affiliates); or (ii) attributable to the wilful breach by the Bank or its Affiliates of any law or regulation.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this Clause </w:t>
      </w:r>
      <w:r>
        <w:rPr>
          <w:rFonts w:ascii="Arial" w:cs="Arial" w:eastAsia="Arial" w:hAnsi="Arial"/>
          <w:sz w:val="16"/>
          <w:szCs w:val="16"/>
          <w:b w:val="1"/>
          <w:bCs w:val="1"/>
          <w:color w:val="auto"/>
        </w:rPr>
        <w:t>Basel III</w:t>
      </w:r>
      <w:r>
        <w:rPr>
          <w:rFonts w:ascii="Arial" w:cs="Arial" w:eastAsia="Arial" w:hAnsi="Arial"/>
          <w:sz w:val="16"/>
          <w:szCs w:val="16"/>
          <w:color w:val="auto"/>
        </w:rPr>
        <w:t xml:space="preserve"> means:</w:t>
      </w:r>
    </w:p>
    <w:p>
      <w:pPr>
        <w:spacing w:after="0" w:line="25" w:lineRule="exact"/>
        <w:rPr>
          <w:sz w:val="20"/>
          <w:szCs w:val="20"/>
          <w:color w:val="auto"/>
        </w:rPr>
      </w:pPr>
    </w:p>
    <w:p>
      <w:pPr>
        <w:ind w:left="520" w:hanging="512"/>
        <w:spacing w:after="0" w:line="246" w:lineRule="auto"/>
        <w:tabs>
          <w:tab w:leader="none" w:pos="510" w:val="left"/>
        </w:tabs>
        <w:numPr>
          <w:ilvl w:val="0"/>
          <w:numId w:val="71"/>
        </w:numPr>
        <w:rPr>
          <w:rFonts w:ascii="Arial" w:cs="Arial" w:eastAsia="Arial" w:hAnsi="Arial"/>
          <w:sz w:val="14"/>
          <w:szCs w:val="14"/>
          <w:color w:val="auto"/>
        </w:rPr>
      </w:pPr>
      <w:r>
        <w:rPr>
          <w:rFonts w:ascii="Arial" w:cs="Arial" w:eastAsia="Arial" w:hAnsi="Arial"/>
          <w:sz w:val="16"/>
          <w:szCs w:val="16"/>
          <w:color w:val="auto"/>
        </w:rPr>
        <w:t>Directive 2013/36/EU of 26 June 2013 on access to the activity of credit institutions and the prudential supervision of credit institutions and investment firms, amending Directive 2002/87/EC and repealing Directive 2006/48/EC and 2006/49/EC (</w:t>
      </w:r>
      <w:r>
        <w:rPr>
          <w:rFonts w:ascii="Arial" w:cs="Arial" w:eastAsia="Arial" w:hAnsi="Arial"/>
          <w:sz w:val="16"/>
          <w:szCs w:val="16"/>
          <w:i w:val="1"/>
          <w:iCs w:val="1"/>
          <w:color w:val="auto"/>
        </w:rPr>
        <w:t>CRD IV</w:t>
      </w:r>
      <w:r>
        <w:rPr>
          <w:rFonts w:ascii="Arial" w:cs="Arial" w:eastAsia="Arial" w:hAnsi="Arial"/>
          <w:sz w:val="16"/>
          <w:szCs w:val="16"/>
          <w:color w:val="auto"/>
        </w:rPr>
        <w:t>);</w:t>
      </w:r>
    </w:p>
    <w:p>
      <w:pPr>
        <w:ind w:left="520" w:right="160" w:hanging="512"/>
        <w:spacing w:after="0" w:line="246" w:lineRule="auto"/>
        <w:tabs>
          <w:tab w:leader="none" w:pos="510" w:val="left"/>
        </w:tabs>
        <w:numPr>
          <w:ilvl w:val="0"/>
          <w:numId w:val="71"/>
        </w:numPr>
        <w:rPr>
          <w:rFonts w:ascii="Arial" w:cs="Arial" w:eastAsia="Arial" w:hAnsi="Arial"/>
          <w:sz w:val="14"/>
          <w:szCs w:val="14"/>
          <w:color w:val="auto"/>
        </w:rPr>
      </w:pPr>
      <w:r>
        <w:rPr>
          <w:rFonts w:ascii="Arial" w:cs="Arial" w:eastAsia="Arial" w:hAnsi="Arial"/>
          <w:sz w:val="16"/>
          <w:szCs w:val="16"/>
          <w:color w:val="auto"/>
        </w:rPr>
        <w:t>Regulation (EU) no. 575/2013 of 26 June 2013 on prudential requirements for credit institutions and investment firms and amending regulation (EU) No. 648/2012 (</w:t>
      </w:r>
      <w:r>
        <w:rPr>
          <w:rFonts w:ascii="Arial" w:cs="Arial" w:eastAsia="Arial" w:hAnsi="Arial"/>
          <w:sz w:val="16"/>
          <w:szCs w:val="16"/>
          <w:i w:val="1"/>
          <w:iCs w:val="1"/>
          <w:color w:val="auto"/>
        </w:rPr>
        <w:t>CRR</w:t>
      </w:r>
      <w:r>
        <w:rPr>
          <w:rFonts w:ascii="Arial" w:cs="Arial" w:eastAsia="Arial" w:hAnsi="Arial"/>
          <w:sz w:val="16"/>
          <w:szCs w:val="16"/>
          <w:color w:val="auto"/>
        </w:rPr>
        <w:t>); and</w:t>
      </w:r>
    </w:p>
    <w:p>
      <w:pPr>
        <w:ind w:left="520" w:right="280" w:hanging="512"/>
        <w:spacing w:after="0" w:line="260" w:lineRule="auto"/>
        <w:tabs>
          <w:tab w:leader="none" w:pos="515" w:val="left"/>
        </w:tabs>
        <w:numPr>
          <w:ilvl w:val="0"/>
          <w:numId w:val="71"/>
        </w:numPr>
        <w:rPr>
          <w:rFonts w:ascii="Arial" w:cs="Arial" w:eastAsia="Arial" w:hAnsi="Arial"/>
          <w:sz w:val="14"/>
          <w:szCs w:val="14"/>
          <w:color w:val="auto"/>
        </w:rPr>
      </w:pPr>
      <w:r>
        <w:rPr>
          <w:rFonts w:ascii="Arial" w:cs="Arial" w:eastAsia="Arial" w:hAnsi="Arial"/>
          <w:sz w:val="16"/>
          <w:szCs w:val="16"/>
          <w:color w:val="auto"/>
        </w:rPr>
        <w:t>any and all other agreements, rules, guidance, regulations and/or standards published by the Basel Committee on Banking Supervision relating to “</w:t>
      </w:r>
      <w:r>
        <w:rPr>
          <w:rFonts w:ascii="Arial" w:cs="Arial" w:eastAsia="Arial" w:hAnsi="Arial"/>
          <w:sz w:val="16"/>
          <w:szCs w:val="16"/>
          <w:i w:val="1"/>
          <w:iCs w:val="1"/>
          <w:color w:val="auto"/>
        </w:rPr>
        <w:t>Basel III</w:t>
      </w:r>
      <w:r>
        <w:rPr>
          <w:rFonts w:ascii="Arial" w:cs="Arial" w:eastAsia="Arial" w:hAnsi="Arial"/>
          <w:sz w:val="16"/>
          <w:szCs w:val="16"/>
          <w:color w:val="auto"/>
        </w:rPr>
        <w:t>”.</w:t>
      </w:r>
    </w:p>
    <w:p>
      <w:pPr>
        <w:spacing w:after="0" w:line="202"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6"/>
          <w:szCs w:val="16"/>
          <w:b w:val="1"/>
          <w:bCs w:val="1"/>
          <w:color w:val="F79646"/>
        </w:rPr>
      </w:pPr>
      <w:r>
        <w:rPr>
          <w:rFonts w:ascii="Arial" w:cs="Arial" w:eastAsia="Arial" w:hAnsi="Arial"/>
          <w:sz w:val="16"/>
          <w:szCs w:val="16"/>
          <w:b w:val="1"/>
          <w:bCs w:val="1"/>
          <w:color w:val="F79646"/>
        </w:rPr>
        <w:t>Evidence and calculations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16.1 Evidence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absence of manifest error:</w:t>
      </w:r>
    </w:p>
    <w:p>
      <w:pPr>
        <w:spacing w:after="0" w:line="5" w:lineRule="exact"/>
        <w:rPr>
          <w:sz w:val="20"/>
          <w:szCs w:val="20"/>
          <w:color w:val="auto"/>
        </w:rPr>
      </w:pPr>
    </w:p>
    <w:p>
      <w:pPr>
        <w:ind w:left="520" w:right="180" w:hanging="512"/>
        <w:spacing w:after="0" w:line="246" w:lineRule="auto"/>
        <w:tabs>
          <w:tab w:leader="none" w:pos="510" w:val="left"/>
        </w:tabs>
        <w:numPr>
          <w:ilvl w:val="0"/>
          <w:numId w:val="73"/>
        </w:numPr>
        <w:rPr>
          <w:rFonts w:ascii="Arial" w:cs="Arial" w:eastAsia="Arial" w:hAnsi="Arial"/>
          <w:sz w:val="14"/>
          <w:szCs w:val="14"/>
          <w:color w:val="auto"/>
        </w:rPr>
      </w:pPr>
      <w:r>
        <w:rPr>
          <w:rFonts w:ascii="Arial" w:cs="Arial" w:eastAsia="Arial" w:hAnsi="Arial"/>
          <w:sz w:val="16"/>
          <w:szCs w:val="16"/>
          <w:color w:val="auto"/>
        </w:rPr>
        <w:t>accounts maintained by the Bank will be conclusive evidence of the existence and the amount of the obligations of the Borrower under any Finance Document; and</w:t>
      </w:r>
    </w:p>
    <w:p>
      <w:pPr>
        <w:ind w:left="500" w:hanging="492"/>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6"/>
          <w:szCs w:val="16"/>
          <w:color w:val="auto"/>
        </w:rPr>
        <w:t>a determination by the Bank of a fee, an interest rate or amount under any Finance Document will be conclusive evidence.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16.2 Calculations</w:t>
      </w:r>
    </w:p>
    <w:p>
      <w:pPr>
        <w:spacing w:after="0" w:line="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interest or fee accruing under this Agreement accrues from day to day and is calculated on the basis of the actual number of days elapsed and a year of 360 days.</w:t>
      </w:r>
    </w:p>
    <w:p>
      <w:pPr>
        <w:spacing w:after="0" w:line="202"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6"/>
          <w:szCs w:val="16"/>
          <w:b w:val="1"/>
          <w:bCs w:val="1"/>
          <w:color w:val="F79646"/>
        </w:rPr>
      </w:pPr>
      <w:r>
        <w:rPr>
          <w:rFonts w:ascii="Arial" w:cs="Arial" w:eastAsia="Arial" w:hAnsi="Arial"/>
          <w:sz w:val="16"/>
          <w:szCs w:val="16"/>
          <w:b w:val="1"/>
          <w:bCs w:val="1"/>
          <w:color w:val="F79646"/>
        </w:rPr>
        <w:t>Indemnity and gross up</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17.1 Indemnity</w:t>
      </w:r>
    </w:p>
    <w:p>
      <w:pPr>
        <w:spacing w:after="0" w:line="25"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The Borrower must indemnify the Bank promptly upon demand against any costs, loss or expenses (including notarial and legal fees) which the Bank incurs in connection with (i) the occurrence of, or investigating any event or circumstances which the Bank reasonably believes to be a Default or an Event of Default, (ii) the enforcement of the performance by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of its obligations, or the preservation of any rights, under or in connection with the Finance Documents and (iii) the creation, execution, modification and termination of or the Parent Guarantee.</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17.2 Currency indemnity</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11/20</w:t>
      </w:r>
    </w:p>
    <w:p>
      <w:pPr>
        <w:sectPr>
          <w:pgSz w:w="11900" w:h="16838" w:orient="portrait"/>
          <w:cols w:equalWidth="0" w:num="1">
            <w:col w:w="11220"/>
          </w:cols>
          <w:pgMar w:left="320" w:top="125" w:right="359" w:bottom="1440" w:gutter="0" w:footer="0" w:header="0"/>
          <w:type w:val="continuous"/>
        </w:sectPr>
      </w:pPr>
    </w:p>
    <w:bookmarkStart w:id="60" w:name="page61"/>
    <w:bookmarkEnd w:id="60"/>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If any sum due from the Borrower under the Finance Documents has to be converted into another currency, that Borrower shall as an independent obligation within 3 Business Days of a written demand: (i) indemnify the Bank against any loss, cost or liability; and (ii) make such additional payment to the Bank necessary to enable it to exchange the sum received against the exchange rate available to it at the time it is received, into the sum and currency originally expressed to be due under the Finance Documents. The Borrower waives any right it may have in any jurisdiction to pay any amount under the Finance Documents in a currency other than the currency in which it is expressed to be payable.</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17.3 Gross up</w:t>
      </w:r>
    </w:p>
    <w:p>
      <w:pPr>
        <w:spacing w:after="0" w:line="2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Borrower must make all payments to be made under the Finance Documents without any tax deduction, unless a tax deduction is required by law. If a tax deduction is required by law to be made by the Borrower or the Bank, the amount of the payment due from the Borrower will be increased to an amount which (after making the tax payment) leaves an amount equal to the payment which would have been due if no tax payment had been required. Following a transfer or assignment by the Bank pursuant to Clause 18.3 below, the relevant transferee or assignee and/or the Bank is only entitled to receive payment under this Clause 17.3 to the same extent as the Bank would have been if the assignment or transfer had not occurred.</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17.4 Stamp duty</w:t>
      </w:r>
    </w:p>
    <w:p>
      <w:pPr>
        <w:spacing w:after="0" w:line="2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The Borrower shall pay and indemnify the Bank against any cost, loss or liability that the Bank incurs in relation to all stamp duty, registration and other similar taxes payable in respect of any Finance Document.</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17.5 Value added tax</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All amounts payable under a Finance Document to the Bank shall be deemed to be exclusive of any value added tax (VAT). If VAT is chargeable, the Borrower shall, pay to the Bank (in addition to and at the same time as paying the original amount) an amount equal to the amount of the VAT. Where a Finance Document requires the Borrower to reimburse or indemnify the Bank for any costs or expenses, the Borrower shall, at the same time reimburse and indemnify the Bank against all VAT incurred by the Bank in respect of the costs or expenses save to the extent that the Bank is entitled to repayment or credit in respect of such VAT.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17.6 Break Funding Costs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If a Loan is repaid prior to the end of its Interest Period, the relevant Borrower must pay to the Bank the Break Funding Costs attributable to that Loan.</w:t>
      </w:r>
    </w:p>
    <w:p>
      <w:pPr>
        <w:spacing w:after="0" w:line="228"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6"/>
          <w:szCs w:val="16"/>
          <w:b w:val="1"/>
          <w:bCs w:val="1"/>
          <w:color w:val="F79646"/>
        </w:rPr>
      </w:pPr>
      <w:r>
        <w:rPr>
          <w:rFonts w:ascii="Arial" w:cs="Arial" w:eastAsia="Arial" w:hAnsi="Arial"/>
          <w:sz w:val="16"/>
          <w:szCs w:val="16"/>
          <w:b w:val="1"/>
          <w:bCs w:val="1"/>
          <w:color w:val="F79646"/>
        </w:rPr>
        <w:t>Changes to the documents and parties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18.1 Amendments, waivers and consents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Any waiver, amendment and consent in relation to or under the Finance Documents must be agreed upon in writing (</w:t>
      </w:r>
      <w:r>
        <w:rPr>
          <w:rFonts w:ascii="Arial" w:cs="Arial" w:eastAsia="Arial" w:hAnsi="Arial"/>
          <w:sz w:val="16"/>
          <w:szCs w:val="16"/>
          <w:i w:val="1"/>
          <w:iCs w:val="1"/>
          <w:color w:val="auto"/>
        </w:rPr>
        <w:t>Schriftform</w:t>
      </w:r>
      <w:r>
        <w:rPr>
          <w:rFonts w:ascii="Arial" w:cs="Arial" w:eastAsia="Arial" w:hAnsi="Arial"/>
          <w:sz w:val="16"/>
          <w:szCs w:val="16"/>
          <w:color w:val="auto"/>
        </w:rPr>
        <w:t xml:space="preserve"> according to Section 126 German Civil Code).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18.2 Transfers by the Borrower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Borrower may not assign or transfer any of its rights or obligations under any Finance Document without the prior written consent of the Bank.</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18.3 Transfers by the Bank</w:t>
      </w:r>
    </w:p>
    <w:p>
      <w:pPr>
        <w:spacing w:after="0" w:line="25" w:lineRule="exact"/>
        <w:rPr>
          <w:sz w:val="20"/>
          <w:szCs w:val="20"/>
          <w:color w:val="auto"/>
        </w:rPr>
      </w:pPr>
    </w:p>
    <w:p>
      <w:pPr>
        <w:ind w:left="520" w:hanging="512"/>
        <w:spacing w:after="0" w:line="246" w:lineRule="auto"/>
        <w:tabs>
          <w:tab w:leader="none" w:pos="510" w:val="left"/>
        </w:tabs>
        <w:numPr>
          <w:ilvl w:val="0"/>
          <w:numId w:val="76"/>
        </w:numPr>
        <w:rPr>
          <w:rFonts w:ascii="Arial" w:cs="Arial" w:eastAsia="Arial" w:hAnsi="Arial"/>
          <w:sz w:val="14"/>
          <w:szCs w:val="14"/>
          <w:color w:val="auto"/>
        </w:rPr>
      </w:pPr>
      <w:r>
        <w:rPr>
          <w:rFonts w:ascii="Arial" w:cs="Arial" w:eastAsia="Arial" w:hAnsi="Arial"/>
          <w:sz w:val="16"/>
          <w:szCs w:val="16"/>
          <w:color w:val="auto"/>
        </w:rPr>
        <w:t>The Bank may freely assign or transfer any or all of its rights and/or any or all of its obligations under any Finance Document to any other bank, financial institution, trust, fund or other entity that is regularly engaged in or established for the purpose of making, purchasing or investing in loans, securities or other financial assets (but excluding any distressed investments), provided the assignee or transferee is a Swiss Qualifying Bank or, subject to paragraph (b) below, an Affiliate of the Bank. For the avoidance of doubt, the Bank may not make any transfer or assignment to any Person that is a trade competitor of a member of the Group in any of the activities of that member of the Group or to any Person that is not a Swiss Qualifying Bank (other than, subject to paragraph (b) below, any Affiliate of the Bank) without the prior written consent of the Borrower. It shall not be unreasonable for the Borrower to withhold its consent if a transfer or assignment would result in a breach of the Swiss 10 Non-Bank Rule and/or of the Swiss 20 Non-Bank Rule.</w:t>
      </w:r>
    </w:p>
    <w:p>
      <w:pPr>
        <w:spacing w:after="0" w:line="3" w:lineRule="exact"/>
        <w:rPr>
          <w:rFonts w:ascii="Arial" w:cs="Arial" w:eastAsia="Arial" w:hAnsi="Arial"/>
          <w:sz w:val="14"/>
          <w:szCs w:val="14"/>
          <w:color w:val="auto"/>
        </w:rPr>
      </w:pPr>
    </w:p>
    <w:p>
      <w:pPr>
        <w:ind w:left="520" w:right="140" w:hanging="512"/>
        <w:spacing w:after="0" w:line="246" w:lineRule="auto"/>
        <w:tabs>
          <w:tab w:leader="none" w:pos="515" w:val="left"/>
        </w:tabs>
        <w:numPr>
          <w:ilvl w:val="0"/>
          <w:numId w:val="76"/>
        </w:numPr>
        <w:rPr>
          <w:rFonts w:ascii="Arial" w:cs="Arial" w:eastAsia="Arial" w:hAnsi="Arial"/>
          <w:sz w:val="14"/>
          <w:szCs w:val="14"/>
          <w:color w:val="auto"/>
        </w:rPr>
      </w:pPr>
      <w:r>
        <w:rPr>
          <w:rFonts w:ascii="Arial" w:cs="Arial" w:eastAsia="Arial" w:hAnsi="Arial"/>
          <w:sz w:val="16"/>
          <w:szCs w:val="16"/>
          <w:color w:val="auto"/>
        </w:rPr>
        <w:t>The Bank shall notify the Borrower in writing of any intended assignment or transfer of any or all of its rights and/or any or all of its obligations under any Finance Document to any of its Affiliates with not less than 5 Business Days prior notice. The Company may prohibit, by notification to the Bank in writing, such assignment or transfer, and the Bank shall refrain from so assigning or transferring any of its rights and/or obligations under any Finance Document, if it would result in a breach of the Swiss 10 Non-Bank Rule and/or of the Swiss 20 Non-Bank Rule.</w:t>
      </w:r>
    </w:p>
    <w:p>
      <w:pPr>
        <w:spacing w:after="0" w:line="1" w:lineRule="exact"/>
        <w:rPr>
          <w:rFonts w:ascii="Arial" w:cs="Arial" w:eastAsia="Arial" w:hAnsi="Arial"/>
          <w:sz w:val="14"/>
          <w:szCs w:val="14"/>
          <w:color w:val="auto"/>
        </w:rPr>
      </w:pPr>
    </w:p>
    <w:p>
      <w:pPr>
        <w:ind w:left="520" w:right="560" w:hanging="512"/>
        <w:spacing w:after="0" w:line="246" w:lineRule="auto"/>
        <w:tabs>
          <w:tab w:leader="none" w:pos="515" w:val="left"/>
        </w:tabs>
        <w:numPr>
          <w:ilvl w:val="0"/>
          <w:numId w:val="76"/>
        </w:numPr>
        <w:rPr>
          <w:rFonts w:ascii="Arial" w:cs="Arial" w:eastAsia="Arial" w:hAnsi="Arial"/>
          <w:sz w:val="14"/>
          <w:szCs w:val="14"/>
          <w:color w:val="auto"/>
        </w:rPr>
      </w:pPr>
      <w:r>
        <w:rPr>
          <w:rFonts w:ascii="Arial" w:cs="Arial" w:eastAsia="Arial" w:hAnsi="Arial"/>
          <w:sz w:val="16"/>
          <w:szCs w:val="16"/>
          <w:color w:val="auto"/>
        </w:rPr>
        <w:t>The Bank may also freely create a Security Interest over any or all of its rights and/or any or all of its obligations under any Finance Document provided that no such Security Interest shall release the Bank from any of its obligations under the Finance Documents.</w:t>
      </w:r>
    </w:p>
    <w:p>
      <w:pPr>
        <w:ind w:left="520" w:right="380" w:hanging="512"/>
        <w:spacing w:after="0" w:line="260" w:lineRule="auto"/>
        <w:tabs>
          <w:tab w:leader="none" w:pos="510" w:val="left"/>
        </w:tabs>
        <w:numPr>
          <w:ilvl w:val="0"/>
          <w:numId w:val="76"/>
        </w:numPr>
        <w:rPr>
          <w:rFonts w:ascii="Arial" w:cs="Arial" w:eastAsia="Arial" w:hAnsi="Arial"/>
          <w:sz w:val="14"/>
          <w:szCs w:val="14"/>
          <w:color w:val="auto"/>
        </w:rPr>
      </w:pPr>
      <w:r>
        <w:rPr>
          <w:rFonts w:ascii="Arial" w:cs="Arial" w:eastAsia="Arial" w:hAnsi="Arial"/>
          <w:sz w:val="16"/>
          <w:szCs w:val="16"/>
          <w:color w:val="auto"/>
        </w:rPr>
        <w:t>To the extent necessary, the Borrower hereby unconditionally and irrevocably agrees in advance to cooperate with and in advance approves any assignment, transfer or the creation of any Security Interest in accordance with this Clause.</w:t>
      </w:r>
    </w:p>
    <w:p>
      <w:pPr>
        <w:spacing w:after="0" w:line="202"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6"/>
          <w:szCs w:val="16"/>
          <w:b w:val="1"/>
          <w:bCs w:val="1"/>
          <w:color w:val="F79646"/>
        </w:rPr>
      </w:pPr>
      <w:r>
        <w:rPr>
          <w:rFonts w:ascii="Arial" w:cs="Arial" w:eastAsia="Arial" w:hAnsi="Arial"/>
          <w:sz w:val="16"/>
          <w:szCs w:val="16"/>
          <w:b w:val="1"/>
          <w:bCs w:val="1"/>
          <w:color w:val="F79646"/>
        </w:rPr>
        <w:t>Notices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19.1 Manner of giving notices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12/20</w:t>
      </w:r>
    </w:p>
    <w:p>
      <w:pPr>
        <w:sectPr>
          <w:pgSz w:w="11900" w:h="16838" w:orient="portrait"/>
          <w:cols w:equalWidth="0" w:num="1">
            <w:col w:w="11220"/>
          </w:cols>
          <w:pgMar w:left="320" w:top="125" w:right="359" w:bottom="1440" w:gutter="0" w:footer="0" w:header="0"/>
          <w:type w:val="continuous"/>
        </w:sectPr>
      </w:pPr>
    </w:p>
    <w:bookmarkStart w:id="61" w:name="page62"/>
    <w:bookmarkEnd w:id="61"/>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left="520" w:right="60" w:hanging="512"/>
        <w:spacing w:after="0" w:line="246" w:lineRule="auto"/>
        <w:tabs>
          <w:tab w:leader="none" w:pos="508" w:val="left"/>
        </w:tabs>
        <w:numPr>
          <w:ilvl w:val="0"/>
          <w:numId w:val="78"/>
        </w:numPr>
        <w:rPr>
          <w:rFonts w:ascii="Arial" w:cs="Arial" w:eastAsia="Arial" w:hAnsi="Arial"/>
          <w:sz w:val="14"/>
          <w:szCs w:val="14"/>
          <w:color w:val="auto"/>
        </w:rPr>
      </w:pPr>
      <w:r>
        <w:rPr>
          <w:rFonts w:ascii="Arial" w:cs="Arial" w:eastAsia="Arial" w:hAnsi="Arial"/>
          <w:sz w:val="16"/>
          <w:szCs w:val="16"/>
          <w:color w:val="auto"/>
        </w:rPr>
        <w:t>Any communication in connection with a Finance Document must be in writing, or, if agreed or indicated by the Bank, electronically (including, but not limited to, e-mail), and must be duly signed and, unless stated otherwise, may be made by letter, sent by post, attached to an e-mail or by fax.</w:t>
      </w:r>
    </w:p>
    <w:p>
      <w:pPr>
        <w:ind w:left="520" w:right="800" w:hanging="512"/>
        <w:spacing w:after="0" w:line="246" w:lineRule="auto"/>
        <w:tabs>
          <w:tab w:leader="none" w:pos="508" w:val="left"/>
        </w:tabs>
        <w:numPr>
          <w:ilvl w:val="0"/>
          <w:numId w:val="78"/>
        </w:numPr>
        <w:rPr>
          <w:rFonts w:ascii="Arial" w:cs="Arial" w:eastAsia="Arial" w:hAnsi="Arial"/>
          <w:sz w:val="14"/>
          <w:szCs w:val="14"/>
          <w:color w:val="auto"/>
        </w:rPr>
      </w:pPr>
      <w:r>
        <w:rPr>
          <w:rFonts w:ascii="Arial" w:cs="Arial" w:eastAsia="Arial" w:hAnsi="Arial"/>
          <w:sz w:val="16"/>
          <w:szCs w:val="16"/>
          <w:color w:val="auto"/>
        </w:rPr>
        <w:t>The Bank may rely on the literal wording of any notice (purporting to be) from the Borrower and is not obliged to verify the contents thereof. Incompleteness or distortion of a notice is for the risk of the sender thereof.</w:t>
      </w:r>
    </w:p>
    <w:p>
      <w:pPr>
        <w:ind w:left="520" w:right="200" w:hanging="512"/>
        <w:spacing w:after="0" w:line="253" w:lineRule="auto"/>
        <w:tabs>
          <w:tab w:leader="none" w:pos="513" w:val="left"/>
        </w:tabs>
        <w:numPr>
          <w:ilvl w:val="0"/>
          <w:numId w:val="78"/>
        </w:numPr>
        <w:rPr>
          <w:rFonts w:ascii="Arial" w:cs="Arial" w:eastAsia="Arial" w:hAnsi="Arial"/>
          <w:sz w:val="14"/>
          <w:szCs w:val="14"/>
          <w:color w:val="auto"/>
        </w:rPr>
      </w:pPr>
      <w:r>
        <w:rPr>
          <w:rFonts w:ascii="Arial" w:cs="Arial" w:eastAsia="Arial" w:hAnsi="Arial"/>
          <w:sz w:val="16"/>
          <w:szCs w:val="16"/>
          <w:color w:val="auto"/>
        </w:rPr>
        <w:t>The Bank will not be liable for any loss and/or damage resulting from the use of fax or electronic means of communication, including, but not limited to, loss or damage resulting from failure or delay in delivery, interception or manipulation by third parties or computer programs used for electronic communications and transmission of viruses (other than in the case of gross negligence and/or wilful misconduct).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19.2 Contact details</w:t>
      </w:r>
    </w:p>
    <w:p>
      <w:pPr>
        <w:spacing w:after="0" w:line="25" w:lineRule="exact"/>
        <w:rPr>
          <w:sz w:val="20"/>
          <w:szCs w:val="20"/>
          <w:color w:val="auto"/>
        </w:rPr>
      </w:pPr>
    </w:p>
    <w:p>
      <w:pPr>
        <w:ind w:left="520" w:right="220" w:hanging="512"/>
        <w:spacing w:after="0" w:line="246" w:lineRule="auto"/>
        <w:tabs>
          <w:tab w:leader="none" w:pos="510" w:val="left"/>
        </w:tabs>
        <w:numPr>
          <w:ilvl w:val="0"/>
          <w:numId w:val="79"/>
        </w:numPr>
        <w:rPr>
          <w:rFonts w:ascii="Arial" w:cs="Arial" w:eastAsia="Arial" w:hAnsi="Arial"/>
          <w:sz w:val="14"/>
          <w:szCs w:val="14"/>
          <w:color w:val="auto"/>
        </w:rPr>
      </w:pPr>
      <w:r>
        <w:rPr>
          <w:rFonts w:ascii="Arial" w:cs="Arial" w:eastAsia="Arial" w:hAnsi="Arial"/>
          <w:sz w:val="16"/>
          <w:szCs w:val="16"/>
          <w:color w:val="auto"/>
        </w:rPr>
        <w:t>Subject to the provisions of this Clause and unless expressly agreed otherwise in writing between the Bank and the Borrower, the contact details of each Party for all communications are those notified by that Party on or before the date it becomes a Party to this Agreement.</w:t>
      </w:r>
    </w:p>
    <w:p>
      <w:pPr>
        <w:ind w:left="520" w:right="7900" w:hanging="512"/>
        <w:spacing w:after="0" w:line="246" w:lineRule="auto"/>
        <w:tabs>
          <w:tab w:leader="none" w:pos="510" w:val="left"/>
        </w:tabs>
        <w:numPr>
          <w:ilvl w:val="0"/>
          <w:numId w:val="79"/>
        </w:numPr>
        <w:rPr>
          <w:rFonts w:ascii="Arial" w:cs="Arial" w:eastAsia="Arial" w:hAnsi="Arial"/>
          <w:sz w:val="14"/>
          <w:szCs w:val="14"/>
          <w:color w:val="auto"/>
        </w:rPr>
      </w:pPr>
      <w:r>
        <w:rPr>
          <w:rFonts w:ascii="Arial" w:cs="Arial" w:eastAsia="Arial" w:hAnsi="Arial"/>
          <w:sz w:val="16"/>
          <w:szCs w:val="16"/>
          <w:color w:val="auto"/>
        </w:rPr>
        <w:t>The contact details of the Borrower are: Xylem Europe GmbH</w:t>
      </w:r>
    </w:p>
    <w:p>
      <w:pPr>
        <w:ind w:left="520" w:right="8680"/>
        <w:spacing w:after="0" w:line="246" w:lineRule="auto"/>
        <w:rPr>
          <w:rFonts w:ascii="Arial" w:cs="Arial" w:eastAsia="Arial" w:hAnsi="Arial"/>
          <w:sz w:val="14"/>
          <w:szCs w:val="14"/>
          <w:color w:val="auto"/>
        </w:rPr>
      </w:pPr>
      <w:r>
        <w:rPr>
          <w:rFonts w:ascii="Arial" w:cs="Arial" w:eastAsia="Arial" w:hAnsi="Arial"/>
          <w:sz w:val="16"/>
          <w:szCs w:val="16"/>
          <w:color w:val="auto"/>
        </w:rPr>
        <w:t>attn: Mr. Stephan Ludescher Bleicheplatz 6</w:t>
      </w:r>
    </w:p>
    <w:p>
      <w:pPr>
        <w:ind w:left="520"/>
        <w:spacing w:after="0"/>
        <w:rPr>
          <w:rFonts w:ascii="Arial" w:cs="Arial" w:eastAsia="Arial" w:hAnsi="Arial"/>
          <w:sz w:val="14"/>
          <w:szCs w:val="14"/>
          <w:color w:val="auto"/>
        </w:rPr>
      </w:pPr>
      <w:r>
        <w:rPr>
          <w:rFonts w:ascii="Arial" w:cs="Arial" w:eastAsia="Arial" w:hAnsi="Arial"/>
          <w:sz w:val="16"/>
          <w:szCs w:val="16"/>
          <w:color w:val="auto"/>
        </w:rPr>
        <w:t>8200 Schaffhausen, Switzerland</w:t>
      </w:r>
    </w:p>
    <w:p>
      <w:pPr>
        <w:spacing w:after="0" w:line="5" w:lineRule="exact"/>
        <w:rPr>
          <w:rFonts w:ascii="Arial" w:cs="Arial" w:eastAsia="Arial" w:hAnsi="Arial"/>
          <w:sz w:val="14"/>
          <w:szCs w:val="14"/>
          <w:color w:val="auto"/>
        </w:rPr>
      </w:pPr>
    </w:p>
    <w:p>
      <w:pPr>
        <w:ind w:left="520" w:right="8100" w:hanging="512"/>
        <w:spacing w:after="0" w:line="246" w:lineRule="auto"/>
        <w:tabs>
          <w:tab w:leader="none" w:pos="515" w:val="left"/>
        </w:tabs>
        <w:numPr>
          <w:ilvl w:val="0"/>
          <w:numId w:val="79"/>
        </w:numPr>
        <w:rPr>
          <w:rFonts w:ascii="Arial" w:cs="Arial" w:eastAsia="Arial" w:hAnsi="Arial"/>
          <w:sz w:val="14"/>
          <w:szCs w:val="14"/>
          <w:color w:val="auto"/>
        </w:rPr>
      </w:pPr>
      <w:r>
        <w:rPr>
          <w:rFonts w:ascii="Arial" w:cs="Arial" w:eastAsia="Arial" w:hAnsi="Arial"/>
          <w:sz w:val="16"/>
          <w:szCs w:val="16"/>
          <w:color w:val="auto"/>
        </w:rPr>
        <w:t>The contact details of the Bank are: ING Bank, a branch of ING-DiBa AG</w:t>
      </w:r>
    </w:p>
    <w:p>
      <w:pPr>
        <w:ind w:left="520" w:right="7480" w:firstLine="138"/>
        <w:spacing w:after="0" w:line="246" w:lineRule="auto"/>
        <w:rPr>
          <w:rFonts w:ascii="Arial" w:cs="Arial" w:eastAsia="Arial" w:hAnsi="Arial"/>
          <w:sz w:val="14"/>
          <w:szCs w:val="14"/>
          <w:color w:val="auto"/>
        </w:rPr>
      </w:pPr>
      <w:r>
        <w:rPr>
          <w:rFonts w:ascii="Arial" w:cs="Arial" w:eastAsia="Arial" w:hAnsi="Arial"/>
          <w:sz w:val="16"/>
          <w:szCs w:val="16"/>
          <w:color w:val="auto"/>
        </w:rPr>
        <w:t>attn. Diversified Lending / Susanne Fichera Hamburger Allee 1,</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60486 Frankfurt am Main, Germany</w:t>
      </w:r>
    </w:p>
    <w:p>
      <w:pPr>
        <w:spacing w:after="0" w:line="194" w:lineRule="exact"/>
        <w:rPr>
          <w:sz w:val="20"/>
          <w:szCs w:val="20"/>
          <w:color w:val="auto"/>
        </w:rPr>
      </w:pPr>
    </w:p>
    <w:p>
      <w:pPr>
        <w:ind w:left="520" w:right="160" w:hanging="512"/>
        <w:spacing w:after="0" w:line="251" w:lineRule="auto"/>
        <w:tabs>
          <w:tab w:leader="none" w:pos="510" w:val="left"/>
        </w:tabs>
        <w:numPr>
          <w:ilvl w:val="0"/>
          <w:numId w:val="80"/>
        </w:numPr>
        <w:rPr>
          <w:rFonts w:ascii="Arial" w:cs="Arial" w:eastAsia="Arial" w:hAnsi="Arial"/>
          <w:sz w:val="14"/>
          <w:szCs w:val="14"/>
          <w:color w:val="auto"/>
        </w:rPr>
      </w:pPr>
      <w:r>
        <w:rPr>
          <w:rFonts w:ascii="Arial" w:cs="Arial" w:eastAsia="Arial" w:hAnsi="Arial"/>
          <w:sz w:val="16"/>
          <w:szCs w:val="16"/>
          <w:color w:val="auto"/>
        </w:rPr>
        <w:t>A Party may change its contact details by giving 5 Business Days’ notice to the Bank (or in the case of the Bank, to the other Parties). Any communication or document to be made or delivered to the Bank will only be effective if and when actually received by the Bank. Where a Party nominates a particular department or officer to receive a communication, a communication will not be effective if it fails to specify that department or officer.</w:t>
      </w:r>
    </w:p>
    <w:p>
      <w:pPr>
        <w:spacing w:after="0" w:line="200" w:lineRule="exact"/>
        <w:rPr>
          <w:sz w:val="20"/>
          <w:szCs w:val="20"/>
          <w:color w:val="auto"/>
        </w:rPr>
      </w:pPr>
    </w:p>
    <w:p>
      <w:pPr>
        <w:spacing w:after="0" w:line="225"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6"/>
          <w:szCs w:val="16"/>
          <w:b w:val="1"/>
          <w:bCs w:val="1"/>
          <w:color w:val="F79646"/>
        </w:rPr>
      </w:pPr>
      <w:r>
        <w:rPr>
          <w:rFonts w:ascii="Arial" w:cs="Arial" w:eastAsia="Arial" w:hAnsi="Arial"/>
          <w:sz w:val="16"/>
          <w:szCs w:val="16"/>
          <w:b w:val="1"/>
          <w:bCs w:val="1"/>
          <w:color w:val="F79646"/>
        </w:rPr>
        <w:t>Wholesale Banking conditions</w:t>
      </w:r>
    </w:p>
    <w:p>
      <w:pPr>
        <w:spacing w:after="0" w:line="24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The Wholesale Banking conditions of the Bank attached hereto as Schedule 4 </w:t>
      </w:r>
      <w:r>
        <w:rPr>
          <w:rFonts w:ascii="Arial" w:cs="Arial" w:eastAsia="Arial" w:hAnsi="Arial"/>
          <w:sz w:val="16"/>
          <w:szCs w:val="16"/>
          <w:b w:val="1"/>
          <w:bCs w:val="1"/>
          <w:color w:val="auto"/>
        </w:rPr>
        <w:t>Wholesale Banking Conditions</w:t>
      </w:r>
      <w:r>
        <w:rPr>
          <w:rFonts w:ascii="Arial" w:cs="Arial" w:eastAsia="Arial" w:hAnsi="Arial"/>
          <w:sz w:val="16"/>
          <w:szCs w:val="16"/>
          <w:color w:val="auto"/>
        </w:rPr>
        <w:t xml:space="preserve"> shall be applicable. By the execution of the Agreement each Obligor acknowledges receipt of a copy of these conditions and agrees to the terms. In the event of a conflict between these conditions and the terms of the Agreement, the terms of the Agreement shall prevail.</w:t>
      </w: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6"/>
          <w:szCs w:val="16"/>
          <w:b w:val="1"/>
          <w:bCs w:val="1"/>
          <w:color w:val="F79646"/>
        </w:rPr>
      </w:pPr>
      <w:r>
        <w:rPr>
          <w:rFonts w:ascii="Arial" w:cs="Arial" w:eastAsia="Arial" w:hAnsi="Arial"/>
          <w:sz w:val="16"/>
          <w:szCs w:val="16"/>
          <w:b w:val="1"/>
          <w:bCs w:val="1"/>
          <w:color w:val="F79646"/>
        </w:rPr>
        <w:t>DISCLOSURE OF CONFIDENTIAL INFORMATION</w:t>
      </w:r>
    </w:p>
    <w:p>
      <w:pPr>
        <w:spacing w:after="0" w:line="268"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Borrower irrevocably consents to the disclosure by the Bank, to the extent allowed by applicable law, of any (confidential) information, including personal data, regarding the Borrower and the Finance Documents including information which is, if applicable, subject to bank secrecy rules, to:</w:t>
      </w:r>
    </w:p>
    <w:p>
      <w:pPr>
        <w:spacing w:after="0" w:line="1"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Bank’s Affiliates, professional advisers, auditors, representatives and service providers;</w:t>
      </w:r>
    </w:p>
    <w:p>
      <w:pPr>
        <w:spacing w:after="0" w:line="5" w:lineRule="exact"/>
        <w:rPr>
          <w:rFonts w:ascii="Arial" w:cs="Arial" w:eastAsia="Arial" w:hAnsi="Arial"/>
          <w:sz w:val="16"/>
          <w:szCs w:val="16"/>
          <w:color w:val="auto"/>
        </w:rPr>
      </w:pPr>
    </w:p>
    <w:p>
      <w:pPr>
        <w:ind w:left="520" w:right="40" w:hanging="512"/>
        <w:spacing w:after="0" w:line="246" w:lineRule="auto"/>
        <w:tabs>
          <w:tab w:leader="none" w:pos="253"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Person with (or through) whom it enters into (or may potentially enter into), whether directly or indirectly any transaction under which payments are to be made or may be made by reference to one or more Finance Documents and/or the Borrower</w:t>
      </w:r>
    </w:p>
    <w:p>
      <w:pPr>
        <w:ind w:left="520" w:right="340" w:hanging="512"/>
        <w:spacing w:after="0" w:line="246" w:lineRule="auto"/>
        <w:tabs>
          <w:tab w:leader="none" w:pos="2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ny Person to whom the Bank (intends to) assign(s) or transfer(s) or create(s) a Security Interest over all or a part of its rights or obligations under the Finance Documents, and to any of that entity’s Affiliates and other entities, including professional advisers, to the extent necessary or desired to conclude and perform such assignment, transfer or Security Interest;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Person to whom information is required or requested to be disclosed by any court of competent jurisdiction or any governmental, banking, taxation or</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regulatory authority, the rules of any stock exchange or pursuant to any applicable law or regulation.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5"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6"/>
          <w:szCs w:val="16"/>
          <w:b w:val="1"/>
          <w:bCs w:val="1"/>
          <w:color w:val="F79646"/>
        </w:rPr>
      </w:pPr>
      <w:r>
        <w:rPr>
          <w:rFonts w:ascii="Arial" w:cs="Arial" w:eastAsia="Arial" w:hAnsi="Arial"/>
          <w:sz w:val="16"/>
          <w:szCs w:val="16"/>
          <w:b w:val="1"/>
          <w:bCs w:val="1"/>
          <w:color w:val="F79646"/>
        </w:rPr>
        <w:t>Miscellaneous</w:t>
      </w:r>
    </w:p>
    <w:p>
      <w:pPr>
        <w:spacing w:after="0" w:line="5" w:lineRule="exact"/>
        <w:rPr>
          <w:sz w:val="20"/>
          <w:szCs w:val="20"/>
          <w:color w:val="auto"/>
        </w:rPr>
      </w:pPr>
    </w:p>
    <w:p>
      <w:pPr>
        <w:ind w:left="520" w:hanging="512"/>
        <w:spacing w:after="0" w:line="246" w:lineRule="auto"/>
        <w:tabs>
          <w:tab w:leader="none" w:pos="510" w:val="left"/>
        </w:tabs>
        <w:numPr>
          <w:ilvl w:val="0"/>
          <w:numId w:val="85"/>
        </w:numPr>
        <w:rPr>
          <w:rFonts w:ascii="Arial" w:cs="Arial" w:eastAsia="Arial" w:hAnsi="Arial"/>
          <w:sz w:val="14"/>
          <w:szCs w:val="14"/>
          <w:color w:val="auto"/>
        </w:rPr>
      </w:pPr>
      <w:r>
        <w:rPr>
          <w:rFonts w:ascii="Arial" w:cs="Arial" w:eastAsia="Arial" w:hAnsi="Arial"/>
          <w:sz w:val="16"/>
          <w:szCs w:val="16"/>
          <w:color w:val="auto"/>
        </w:rPr>
        <w:t>No failure or delay by the Bank in exercising any right or remedy under the Finance Documents shall operate as a waiver thereof, no single or partial exercise of any such right or remedy shall prevent any other or further exercise thereof or the exercise of any other right or remedy, and the rights and remedies provided in the Finance Documents are cumulative and not exclusive of any rights or remedies provided by law.</w:t>
      </w:r>
    </w:p>
    <w:p>
      <w:pPr>
        <w:spacing w:after="0" w:line="1" w:lineRule="exact"/>
        <w:rPr>
          <w:rFonts w:ascii="Arial" w:cs="Arial" w:eastAsia="Arial" w:hAnsi="Arial"/>
          <w:sz w:val="14"/>
          <w:szCs w:val="14"/>
          <w:color w:val="auto"/>
        </w:rPr>
      </w:pPr>
    </w:p>
    <w:p>
      <w:pPr>
        <w:ind w:left="520" w:right="140" w:hanging="512"/>
        <w:spacing w:after="0" w:line="246" w:lineRule="auto"/>
        <w:tabs>
          <w:tab w:leader="none" w:pos="510" w:val="left"/>
        </w:tabs>
        <w:numPr>
          <w:ilvl w:val="0"/>
          <w:numId w:val="85"/>
        </w:numPr>
        <w:rPr>
          <w:rFonts w:ascii="Arial" w:cs="Arial" w:eastAsia="Arial" w:hAnsi="Arial"/>
          <w:sz w:val="14"/>
          <w:szCs w:val="14"/>
          <w:color w:val="auto"/>
        </w:rPr>
      </w:pPr>
      <w:r>
        <w:rPr>
          <w:rFonts w:ascii="Arial" w:cs="Arial" w:eastAsia="Arial" w:hAnsi="Arial"/>
          <w:sz w:val="16"/>
          <w:szCs w:val="16"/>
          <w:color w:val="auto"/>
        </w:rPr>
        <w:t>If, at any time, any provision of the Finance Documents is or becomes illegal, invalid or unenforceable, it shall not affect or impair the legality, validity or enforceability of any other provisions of the Finance Documents.</w:t>
      </w:r>
    </w:p>
    <w:p>
      <w:pPr>
        <w:ind w:left="520" w:right="420" w:hanging="512"/>
        <w:spacing w:after="0" w:line="260" w:lineRule="auto"/>
        <w:tabs>
          <w:tab w:leader="none" w:pos="515" w:val="left"/>
        </w:tabs>
        <w:numPr>
          <w:ilvl w:val="0"/>
          <w:numId w:val="85"/>
        </w:numPr>
        <w:rPr>
          <w:rFonts w:ascii="Arial" w:cs="Arial" w:eastAsia="Arial" w:hAnsi="Arial"/>
          <w:sz w:val="14"/>
          <w:szCs w:val="14"/>
          <w:color w:val="auto"/>
        </w:rPr>
      </w:pPr>
      <w:r>
        <w:rPr>
          <w:rFonts w:ascii="Arial" w:cs="Arial" w:eastAsia="Arial" w:hAnsi="Arial"/>
          <w:sz w:val="16"/>
          <w:szCs w:val="16"/>
          <w:color w:val="auto"/>
        </w:rPr>
        <w:t>The Agreement may be executed in any number of counterparts, and this has the same effect as if the signatures on the counterparts were on a single copy of this Agreement.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13/20</w:t>
      </w:r>
    </w:p>
    <w:p>
      <w:pPr>
        <w:sectPr>
          <w:pgSz w:w="11900" w:h="16838" w:orient="portrait"/>
          <w:cols w:equalWidth="0" w:num="1">
            <w:col w:w="11240"/>
          </w:cols>
          <w:pgMar w:left="320" w:top="125" w:right="339" w:bottom="1440" w:gutter="0" w:footer="0" w:header="0"/>
        </w:sectPr>
      </w:pPr>
    </w:p>
    <w:bookmarkStart w:id="62" w:name="page63"/>
    <w:bookmarkEnd w:id="62"/>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200" w:lineRule="exact"/>
        <w:rPr>
          <w:sz w:val="20"/>
          <w:szCs w:val="20"/>
          <w:color w:val="auto"/>
        </w:rPr>
      </w:pPr>
    </w:p>
    <w:p>
      <w:pPr>
        <w:spacing w:after="0" w:line="386"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6"/>
          <w:szCs w:val="16"/>
          <w:b w:val="1"/>
          <w:bCs w:val="1"/>
          <w:color w:val="F79646"/>
        </w:rPr>
      </w:pPr>
      <w:r>
        <w:rPr>
          <w:rFonts w:ascii="Arial" w:cs="Arial" w:eastAsia="Arial" w:hAnsi="Arial"/>
          <w:sz w:val="16"/>
          <w:szCs w:val="16"/>
          <w:b w:val="1"/>
          <w:bCs w:val="1"/>
          <w:color w:val="F79646"/>
        </w:rPr>
        <w:t>Governing law and jurisdiction</w:t>
      </w:r>
    </w:p>
    <w:p>
      <w:pPr>
        <w:spacing w:after="0" w:line="25"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4"/>
          <w:szCs w:val="14"/>
          <w:color w:val="auto"/>
        </w:rPr>
      </w:pPr>
      <w:r>
        <w:rPr>
          <w:rFonts w:ascii="Arial" w:cs="Arial" w:eastAsia="Arial" w:hAnsi="Arial"/>
          <w:sz w:val="16"/>
          <w:szCs w:val="16"/>
          <w:color w:val="auto"/>
        </w:rPr>
        <w:t>This Agreement and any non-contractual obligations arising out of or in connection with it are governed by the laws of Germany.</w:t>
      </w:r>
    </w:p>
    <w:p>
      <w:pPr>
        <w:spacing w:after="0" w:line="5" w:lineRule="exact"/>
        <w:rPr>
          <w:rFonts w:ascii="Arial" w:cs="Arial" w:eastAsia="Arial" w:hAnsi="Arial"/>
          <w:sz w:val="14"/>
          <w:szCs w:val="14"/>
          <w:color w:val="auto"/>
        </w:rPr>
      </w:pPr>
    </w:p>
    <w:p>
      <w:pPr>
        <w:ind w:left="520" w:hanging="512"/>
        <w:spacing w:after="0" w:line="260" w:lineRule="auto"/>
        <w:tabs>
          <w:tab w:leader="none" w:pos="510" w:val="left"/>
        </w:tabs>
        <w:numPr>
          <w:ilvl w:val="0"/>
          <w:numId w:val="87"/>
        </w:numPr>
        <w:rPr>
          <w:rFonts w:ascii="Arial" w:cs="Arial" w:eastAsia="Arial" w:hAnsi="Arial"/>
          <w:sz w:val="14"/>
          <w:szCs w:val="14"/>
          <w:color w:val="auto"/>
        </w:rPr>
      </w:pPr>
      <w:r>
        <w:rPr>
          <w:rFonts w:ascii="Arial" w:cs="Arial" w:eastAsia="Arial" w:hAnsi="Arial"/>
          <w:sz w:val="16"/>
          <w:szCs w:val="16"/>
          <w:color w:val="auto"/>
        </w:rPr>
        <w:t>The courts of Frankfurt a.M. in Germany, in first instance, have jurisdiction to settle any dispute in connection with this Agreement. This submission shall not limit the rights of the Bank to take proceedings in any other court which may exercise jurisdiction over the Borrower or any of its assets.</w:t>
      </w:r>
    </w:p>
    <w:p>
      <w:pPr>
        <w:sectPr>
          <w:pgSz w:w="11900" w:h="16838" w:orient="portrait"/>
          <w:cols w:equalWidth="0" w:num="1">
            <w:col w:w="11000"/>
          </w:cols>
          <w:pgMar w:left="320" w:top="125" w:right="5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2"/>
          <w:szCs w:val="12"/>
          <w:i w:val="1"/>
          <w:iCs w:val="1"/>
          <w:color w:val="auto"/>
        </w:rPr>
        <w:t>14/20</w:t>
      </w:r>
    </w:p>
    <w:p>
      <w:pPr>
        <w:sectPr>
          <w:pgSz w:w="11900" w:h="16838" w:orient="portrait"/>
          <w:cols w:equalWidth="0" w:num="1">
            <w:col w:w="9019"/>
          </w:cols>
          <w:pgMar w:left="1440" w:top="594" w:right="1440" w:bottom="1440" w:gutter="0" w:footer="0" w:header="0"/>
        </w:sectPr>
      </w:pPr>
    </w:p>
    <w:bookmarkStart w:id="64" w:name="page65"/>
    <w:bookmarkEnd w:id="64"/>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F79646"/>
        </w:rPr>
        <w:t>Schedule 1</w:t>
      </w:r>
    </w:p>
    <w:p>
      <w:pPr>
        <w:spacing w:after="0" w:line="25"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F79646"/>
        </w:rPr>
        <w:t>Conditions Precedent</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F79646"/>
        </w:rPr>
        <w:t>Part 1</w:t>
      </w:r>
    </w:p>
    <w:p>
      <w:pPr>
        <w:spacing w:after="0" w:line="5"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F79646"/>
        </w:rPr>
        <w:t>To be delivered before the first Utilisation</w:t>
      </w:r>
    </w:p>
    <w:p>
      <w:pPr>
        <w:spacing w:after="0" w:line="248"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certified copy of the articles of association or constitutional documents of the Borrower and the Parent Guarantor.</w:t>
      </w:r>
    </w:p>
    <w:p>
      <w:pPr>
        <w:spacing w:after="0" w:line="5" w:lineRule="exact"/>
        <w:rPr>
          <w:rFonts w:ascii="Arial" w:cs="Arial" w:eastAsia="Arial" w:hAnsi="Arial"/>
          <w:sz w:val="16"/>
          <w:szCs w:val="16"/>
          <w:color w:val="auto"/>
        </w:rPr>
      </w:pPr>
    </w:p>
    <w:p>
      <w:pPr>
        <w:ind w:left="520" w:right="580" w:hanging="512"/>
        <w:spacing w:after="0" w:line="246" w:lineRule="auto"/>
        <w:tabs>
          <w:tab w:leader="none" w:pos="5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Certified copies of up to date excerpts from the commercial register, a signature-card with a specimen of the signature, copies of the identity cards/passports and, if applicable, all additional documentation evidencing that the Person(s) executing a document or notice on behalf of the Borrower are entitled to represent the Borrower and the Parent Guarantor.</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information that the Bank needs to fulfil its know your customer requirements and comply with applicable anti money-laundering legislation.</w:t>
      </w:r>
    </w:p>
    <w:p>
      <w:pPr>
        <w:spacing w:after="0" w:line="5" w:lineRule="exact"/>
        <w:rPr>
          <w:rFonts w:ascii="Arial" w:cs="Arial" w:eastAsia="Arial" w:hAnsi="Arial"/>
          <w:sz w:val="16"/>
          <w:szCs w:val="16"/>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copy of the Group structure chart, including the ultimate parent of the Borrower.</w:t>
      </w:r>
    </w:p>
    <w:p>
      <w:pPr>
        <w:spacing w:after="0" w:line="5" w:lineRule="exact"/>
        <w:rPr>
          <w:rFonts w:ascii="Arial" w:cs="Arial" w:eastAsia="Arial" w:hAnsi="Arial"/>
          <w:sz w:val="16"/>
          <w:szCs w:val="16"/>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copy of the most recent audited financial statements of the Borrower.</w:t>
      </w:r>
    </w:p>
    <w:p>
      <w:pPr>
        <w:spacing w:after="0" w:line="5" w:lineRule="exact"/>
        <w:rPr>
          <w:rFonts w:ascii="Arial" w:cs="Arial" w:eastAsia="Arial" w:hAnsi="Arial"/>
          <w:sz w:val="16"/>
          <w:szCs w:val="16"/>
          <w:color w:val="auto"/>
        </w:rPr>
      </w:pP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copy of the most recent audited consolidated financial statements of the Parent Guarantor.</w:t>
      </w:r>
    </w:p>
    <w:p>
      <w:pPr>
        <w:spacing w:after="0" w:line="5" w:lineRule="exact"/>
        <w:rPr>
          <w:rFonts w:ascii="Arial" w:cs="Arial" w:eastAsia="Arial" w:hAnsi="Arial"/>
          <w:sz w:val="16"/>
          <w:szCs w:val="16"/>
          <w:color w:val="auto"/>
        </w:rPr>
      </w:pPr>
    </w:p>
    <w:p>
      <w:pPr>
        <w:ind w:left="520" w:hanging="512"/>
        <w:spacing w:after="0" w:line="246" w:lineRule="auto"/>
        <w:tabs>
          <w:tab w:leader="none" w:pos="5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Legal opinions: legal opinion on the executed Parent Guarantee (to be prepared by ING’s lawyer in the US) and capacity opinion done by ING legal in Switzerland</w:t>
      </w:r>
    </w:p>
    <w:p>
      <w:pPr>
        <w:ind w:left="520" w:hanging="512"/>
        <w:spacing w:after="0"/>
        <w:tabs>
          <w:tab w:leader="none" w:pos="5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copy of the duly executed Parent Guarantee and relevant Finance Documents.</w:t>
      </w:r>
    </w:p>
    <w:p>
      <w:pPr>
        <w:spacing w:after="0" w:line="5" w:lineRule="exact"/>
        <w:rPr>
          <w:rFonts w:ascii="Arial" w:cs="Arial" w:eastAsia="Arial" w:hAnsi="Arial"/>
          <w:sz w:val="16"/>
          <w:szCs w:val="16"/>
          <w:color w:val="auto"/>
        </w:rPr>
      </w:pPr>
    </w:p>
    <w:p>
      <w:pPr>
        <w:ind w:left="520" w:right="260" w:hanging="512"/>
        <w:spacing w:after="0" w:line="260" w:lineRule="auto"/>
        <w:tabs>
          <w:tab w:leader="none" w:pos="518"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soon as available a copy of the resolution of the board of directors of the Borrower and the Parent Guarantor approving the transaction and the execution of the Finance Documents (condition subsequent).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15/20</w:t>
      </w:r>
    </w:p>
    <w:p>
      <w:pPr>
        <w:sectPr>
          <w:pgSz w:w="11900" w:h="16838" w:orient="portrait"/>
          <w:cols w:equalWidth="0" w:num="1">
            <w:col w:w="11220"/>
          </w:cols>
          <w:pgMar w:left="320" w:top="125" w:right="359" w:bottom="1440" w:gutter="0" w:footer="0" w:header="0"/>
        </w:sectPr>
      </w:pPr>
    </w:p>
    <w:bookmarkStart w:id="65" w:name="page66"/>
    <w:bookmarkEnd w:id="65"/>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F79646"/>
        </w:rPr>
        <w:t>Schedule 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79646"/>
        </w:rPr>
        <w:t>PARENT GUARANTEE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Xylem Inc. Parent Guarantee dated April 25, 2020</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undersigned, Xylem Inc., incorporated in Indiana, U.S.A. and having its registered office and principal place of business at 1 International Drive, Rye Brook, NY 10573 U.S.A., hereinafter referred to as the “</w:t>
      </w:r>
      <w:r>
        <w:rPr>
          <w:rFonts w:ascii="Arial" w:cs="Arial" w:eastAsia="Arial" w:hAnsi="Arial"/>
          <w:sz w:val="16"/>
          <w:szCs w:val="16"/>
          <w:b w:val="1"/>
          <w:bCs w:val="1"/>
          <w:color w:val="auto"/>
        </w:rPr>
        <w:t>Guarantor</w:t>
      </w:r>
      <w:r>
        <w:rPr>
          <w:rFonts w:ascii="Arial" w:cs="Arial" w:eastAsia="Arial" w:hAnsi="Arial"/>
          <w:sz w:val="16"/>
          <w:szCs w:val="16"/>
          <w:color w:val="auto"/>
        </w:rPr>
        <w: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hereby unconditionally and irrevocably guarantees </w:t>
      </w:r>
      <w:r>
        <w:rPr>
          <w:rFonts w:ascii="Arial" w:cs="Arial" w:eastAsia="Arial" w:hAnsi="Arial"/>
          <w:sz w:val="16"/>
          <w:szCs w:val="16"/>
          <w:color w:val="auto"/>
        </w:rPr>
        <w:t>as an independent obligation to and in favor of ING Bank, a Branch of ING-DiBa AG, for itself, its</w:t>
      </w:r>
      <w:r>
        <w:rPr>
          <w:rFonts w:ascii="Arial" w:cs="Arial" w:eastAsia="Arial" w:hAnsi="Arial"/>
          <w:sz w:val="16"/>
          <w:szCs w:val="16"/>
          <w:b w:val="1"/>
          <w:bCs w:val="1"/>
          <w:color w:val="auto"/>
        </w:rPr>
        <w:t xml:space="preserve"> </w:t>
      </w:r>
      <w:r>
        <w:rPr>
          <w:rFonts w:ascii="Arial" w:cs="Arial" w:eastAsia="Arial" w:hAnsi="Arial"/>
          <w:sz w:val="16"/>
          <w:szCs w:val="16"/>
          <w:color w:val="auto"/>
        </w:rPr>
        <w:t>branches and all of its direct and indirect holding companies, subsidiaries and/or any of its or their affiliates, branches and offices (hereinafter collectively referred to as the “</w:t>
      </w:r>
      <w:r>
        <w:rPr>
          <w:rFonts w:ascii="Arial" w:cs="Arial" w:eastAsia="Arial" w:hAnsi="Arial"/>
          <w:sz w:val="16"/>
          <w:szCs w:val="16"/>
          <w:b w:val="1"/>
          <w:bCs w:val="1"/>
          <w:color w:val="auto"/>
        </w:rPr>
        <w:t>Bank</w:t>
      </w:r>
      <w:r>
        <w:rPr>
          <w:rFonts w:ascii="Arial" w:cs="Arial" w:eastAsia="Arial" w:hAnsi="Arial"/>
          <w:sz w:val="16"/>
          <w:szCs w:val="16"/>
          <w:color w:val="auto"/>
        </w:rPr>
        <w:t>”), the correct and prompt fulfilment of any and all debt and liabilities, actual or contingent, present or future of Xylem Europe GmbH, incorporated in Switzerland and having its registered address at Schaffhausen, Switzerland (hereinafter referred to as the “</w:t>
      </w:r>
      <w:r>
        <w:rPr>
          <w:rFonts w:ascii="Arial" w:cs="Arial" w:eastAsia="Arial" w:hAnsi="Arial"/>
          <w:sz w:val="16"/>
          <w:szCs w:val="16"/>
          <w:b w:val="1"/>
          <w:bCs w:val="1"/>
          <w:color w:val="auto"/>
        </w:rPr>
        <w:t>Borrower</w:t>
      </w:r>
      <w:r>
        <w:rPr>
          <w:rFonts w:ascii="Arial" w:cs="Arial" w:eastAsia="Arial" w:hAnsi="Arial"/>
          <w:sz w:val="16"/>
          <w:szCs w:val="16"/>
          <w:color w:val="auto"/>
        </w:rPr>
        <w:t>”) under or in connection with the Euro 100,000,000 Term Loan Agreement dated April 25, 2020, entered into with the Bank, as amended and supplemented from time to time (hereinafter referred to as the “</w:t>
      </w:r>
      <w:r>
        <w:rPr>
          <w:rFonts w:ascii="Arial" w:cs="Arial" w:eastAsia="Arial" w:hAnsi="Arial"/>
          <w:sz w:val="16"/>
          <w:szCs w:val="16"/>
          <w:b w:val="1"/>
          <w:bCs w:val="1"/>
          <w:color w:val="auto"/>
        </w:rPr>
        <w:t>Agreement</w:t>
      </w:r>
      <w:r>
        <w:rPr>
          <w:rFonts w:ascii="Arial" w:cs="Arial" w:eastAsia="Arial" w:hAnsi="Arial"/>
          <w:sz w:val="16"/>
          <w:szCs w:val="16"/>
          <w:color w:val="auto"/>
        </w:rPr>
        <w:t>”) including without limitation any debts or liabilities under the Agreement (hereinafter collectively referred to as the “</w:t>
      </w:r>
      <w:r>
        <w:rPr>
          <w:rFonts w:ascii="Arial" w:cs="Arial" w:eastAsia="Arial" w:hAnsi="Arial"/>
          <w:sz w:val="16"/>
          <w:szCs w:val="16"/>
          <w:b w:val="1"/>
          <w:bCs w:val="1"/>
          <w:color w:val="auto"/>
        </w:rPr>
        <w:t>Obligations</w:t>
      </w:r>
      <w:r>
        <w:rPr>
          <w:rFonts w:ascii="Arial" w:cs="Arial" w:eastAsia="Arial" w:hAnsi="Arial"/>
          <w:sz w:val="16"/>
          <w:szCs w:val="16"/>
          <w:color w:val="auto"/>
        </w:rPr>
        <w:t>”).</w:t>
      </w:r>
    </w:p>
    <w:p>
      <w:pPr>
        <w:spacing w:after="0" w:line="22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Capitalized terms used herein and not otherwise defined herein shall have the same meaning as given those terms in the Agreement, unless the context requires otherwise.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Guarantor represents and warrants to the Bank that:</w:t>
      </w:r>
    </w:p>
    <w:p>
      <w:pPr>
        <w:spacing w:after="0" w:line="5" w:lineRule="exact"/>
        <w:rPr>
          <w:sz w:val="20"/>
          <w:szCs w:val="20"/>
          <w:color w:val="auto"/>
        </w:rPr>
      </w:pPr>
    </w:p>
    <w:p>
      <w:pPr>
        <w:ind w:left="640" w:hanging="308"/>
        <w:spacing w:after="0" w:line="264"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it is duly organized and validly existing under the laws of the state of its incorporation and is in good standing under the aforesaid laws and it has full corporate power and authority to enter into this Guarantee;</w:t>
      </w:r>
    </w:p>
    <w:p>
      <w:pPr>
        <w:ind w:left="640" w:right="20" w:hanging="308"/>
        <w:spacing w:after="0" w:line="264"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execution, delivery and performance of this Guarantee and the performance of the obligations of the Guarantor hereunder have been duly authorized by all necessary corporate action and other actions required on the part of the Guarantor</w:t>
      </w:r>
    </w:p>
    <w:p>
      <w:pPr>
        <w:ind w:left="640" w:hanging="308"/>
        <w:spacing w:after="0" w:line="264" w:lineRule="auto"/>
        <w:tabs>
          <w:tab w:leader="none" w:pos="636"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this Guarantee constitutes legal, valid and binding obligations of the Guarantor, subject to the laws of bankruptcy and other laws affecting the rights of creditors generally;</w:t>
      </w:r>
    </w:p>
    <w:p>
      <w:pPr>
        <w:ind w:left="640" w:hanging="308"/>
        <w:spacing w:after="0" w:line="264" w:lineRule="auto"/>
        <w:tabs>
          <w:tab w:leader="none" w:pos="6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neither the execution, delivery and performance by the Guarantor of this Guarantee nor the payment of any or all amounts due hereunder nor the compliance with the terms and conditions hereof will:</w:t>
      </w:r>
    </w:p>
    <w:p>
      <w:pPr>
        <w:ind w:left="1020" w:hanging="528"/>
        <w:spacing w:after="0"/>
        <w:tabs>
          <w:tab w:leader="none" w:pos="10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violate any law, administrative regulation or court judgement or decree; or</w:t>
      </w:r>
    </w:p>
    <w:p>
      <w:pPr>
        <w:spacing w:after="0" w:line="18" w:lineRule="exact"/>
        <w:rPr>
          <w:rFonts w:ascii="Arial" w:cs="Arial" w:eastAsia="Arial" w:hAnsi="Arial"/>
          <w:sz w:val="16"/>
          <w:szCs w:val="16"/>
          <w:color w:val="auto"/>
        </w:rPr>
      </w:pPr>
    </w:p>
    <w:p>
      <w:pPr>
        <w:ind w:left="1020" w:hanging="564"/>
        <w:spacing w:after="0"/>
        <w:tabs>
          <w:tab w:leader="none" w:pos="10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conflict with the certificate of incorporation of the Guarantor;</w:t>
      </w:r>
    </w:p>
    <w:p>
      <w:pPr>
        <w:spacing w:after="0" w:line="18" w:lineRule="exact"/>
        <w:rPr>
          <w:rFonts w:ascii="Arial" w:cs="Arial" w:eastAsia="Arial" w:hAnsi="Arial"/>
          <w:sz w:val="16"/>
          <w:szCs w:val="16"/>
          <w:color w:val="auto"/>
        </w:rPr>
      </w:pPr>
    </w:p>
    <w:p>
      <w:pPr>
        <w:ind w:left="960" w:hanging="628"/>
        <w:spacing w:after="0"/>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provisions of the Agreement are, and all provisions of the Transactions are or will be, fully known to and approved by the Guarantor.</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Guarantor therefore undertakes upon first written demand of the Bank to pay – without set-off or counterclaim – as its own debt to the Bank the amount of the Obligations demanded by the Bank within ten (10) Business Days following the day on which the demand is received by the Guarantor. The determination by the Bank of the amount shall, in the absence of manifest error, be conclusive and binding on the Guarantor.</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Bank shall be entitled to make more than one demand against the Guarantor, and each written demand of the Bank shall contain a declaration that the Borrower has failed to fulfil its Obligations in whole or in part.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All sums payable by the Guarantor under this Guarantee, whether in respect of principal, interest, fees or otherwise, shall be paid free and clear of and without any deduction or withholding or payment for or on account of any present or future tax (other than any income tax on overall net income of the Bank) levied or imposed. If any such deduction or withholding shall be required to be made by any competent authority, the Guarantor shall forthwith pay to the Bank such additional sums as shall result in the Bank receiving the same net amount as it would have received in the absence of such deduction or withholding.</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Guarantor’s liability under this Guarantee is irrevocable, absolute and unconditional, and shall not be impaired, affected or discharged by reason of (and the Guarantor hereby irrevocably waives any defenses it may now have or hereafter acquire in any way relating to):</w:t>
      </w:r>
    </w:p>
    <w:p>
      <w:pPr>
        <w:spacing w:after="0" w:line="222"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variation in the terms or provisions of the Agreement or the Transactions;</w:t>
      </w:r>
    </w:p>
    <w:p>
      <w:pPr>
        <w:spacing w:after="0" w:line="18" w:lineRule="exact"/>
        <w:rPr>
          <w:rFonts w:ascii="Arial" w:cs="Arial" w:eastAsia="Arial" w:hAnsi="Arial"/>
          <w:sz w:val="16"/>
          <w:szCs w:val="16"/>
          <w:color w:val="auto"/>
        </w:rPr>
      </w:pPr>
    </w:p>
    <w:p>
      <w:pPr>
        <w:jc w:val="both"/>
        <w:ind w:left="660" w:hanging="328"/>
        <w:spacing w:after="0" w:line="264" w:lineRule="auto"/>
        <w:tabs>
          <w:tab w:leader="none" w:pos="6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time or other indulgence granted by the Bank to the Borrower or any other person or any forbearance (whether as to payment, time, performance or otherwise howsoever) or absence of any action to enforce the Agreement or the Transactions which might but for this provision have any such effect;</w:t>
      </w:r>
    </w:p>
    <w:p>
      <w:pPr>
        <w:jc w:val="both"/>
        <w:ind w:left="660" w:hanging="328"/>
        <w:spacing w:after="0" w:line="271"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unenforceability, invalidity or termination of, or any irregularity in the Agreement or the Transactions or the execution of either by the Borrower or any other person or any deficiency in the power of the Borrower or any other person to enter into and perform its obligations under the Agreement or the Transactions (whether or not known to the Bank);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16/20</w:t>
      </w:r>
    </w:p>
    <w:p>
      <w:pPr>
        <w:sectPr>
          <w:pgSz w:w="11900" w:h="16838" w:orient="portrait"/>
          <w:cols w:equalWidth="0" w:num="1">
            <w:col w:w="11240"/>
          </w:cols>
          <w:pgMar w:left="320" w:top="125" w:right="339" w:bottom="1440" w:gutter="0" w:footer="0" w:header="0"/>
          <w:type w:val="continuous"/>
        </w:sectPr>
      </w:pPr>
    </w:p>
    <w:bookmarkStart w:id="66" w:name="page67"/>
    <w:bookmarkEnd w:id="66"/>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63" w:lineRule="exact"/>
        <w:rPr>
          <w:sz w:val="20"/>
          <w:szCs w:val="20"/>
          <w:color w:val="auto"/>
        </w:rPr>
      </w:pPr>
    </w:p>
    <w:p>
      <w:pPr>
        <w:ind w:left="660" w:right="20" w:hanging="328"/>
        <w:spacing w:after="0" w:line="278" w:lineRule="auto"/>
        <w:tabs>
          <w:tab w:leader="none" w:pos="6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recovery of any judgment against the Borrower or any action to enforce the same, or any other circumstances which may otherwise constitute a legal or equitable discharge or defense of a guarantor, except in each case for satisfaction in full of the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Guarantor hereby expressly waives diligence, presentment, demand of payment, protest and notice of dishonor.</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Guarantor’s liability shall include an obligation to compensate the Bank for any reasonable out-of-pocket costs and expenses, including without limitation reasonable legal fees, incurred in enforcing this Guarantee (collectively, “</w:t>
      </w:r>
      <w:r>
        <w:rPr>
          <w:rFonts w:ascii="Arial" w:cs="Arial" w:eastAsia="Arial" w:hAnsi="Arial"/>
          <w:sz w:val="16"/>
          <w:szCs w:val="16"/>
          <w:b w:val="1"/>
          <w:bCs w:val="1"/>
          <w:color w:val="auto"/>
        </w:rPr>
        <w:t>Bank Expenses</w:t>
      </w:r>
      <w:r>
        <w:rPr>
          <w:rFonts w:ascii="Arial" w:cs="Arial" w:eastAsia="Arial" w:hAnsi="Arial"/>
          <w:sz w:val="16"/>
          <w:szCs w:val="16"/>
          <w:color w:val="auto"/>
        </w:rPr>
        <w: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This Guarantee shall be binding upon and shall inure to the benefit of the Bank and its respective successors and assigns and references in this Guarantee shall be construed accordingly.</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Guarantee is a continuing guarantee and shall remain in full force and effect and be binding upon Guarantor until the Borrower is no longer entitled to incur additional Obligations and all Obligations have been satisfied in full, at which time this Guarantee shall automatically be cancelled; provided that this Guaranty shall continue to be effective or be reinstated (as the case may be) in the event the payment or collateralization of any of the Obligations or any part thereof is rescinded or must be otherwise restored or returned by the Bank upon a bankruptcy of the Borrower or otherwise.</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Guarantee and all rights and obligations hereunder or in connection herewith shall be governed by and construed in accordance with the laws of the State of New York. The Guarantor hereby irrevocably and unconditionally consents to submit to the jurisdiction of the courts of the State of New York and of the United States of America located in the borough of Manhattan or in the United States District Court for the Southern District of New York for any action, suit, or proceeding arising out of or relating to this Guarantee and the transactions contemplated hereby. The Guarantor hereby irrevocably and unconditionally waives any objection to the laying of venue of any action, suit, or proceeding arising out of this letter agreement in the courts of the State of New York or the United States of America located in the borough of Manhattan or the United States District Court located in the Southern District of New York, and hereby further irrevocably and unconditionally waives and agrees not to plead or claim in any such court that any such action, suit, or proceeding brought in any such court has been brought in an inconvenient forum.</w:t>
      </w:r>
    </w:p>
    <w:p>
      <w:pPr>
        <w:spacing w:after="0" w:line="23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Each of Guarantor and Bank hereby waives its respective rights to a jury trial of any claim or cause of action based upon or arising out of this guarantee, including contract claims, tort claims, breach of duty claims, and all other common law or statutory claims. Each of Guarantor and Bank hereby states that it knowingly and voluntarily waives its rights to a jury trial. In the event of litigation, a copy of this guarantee may be filed as a written consent to a trial by the court.</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Notwithstanding anything to the contrary contained herein, in no event shall Guarantor’s payment obligations under this Guarantee exceed the sum of (a) any unpaid Obligations and (b) Bank Expenses.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this Guarantee as of the date first above written.</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XYLEM INC.</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By: /s/ E. Mark Rajkowski</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Name: E. Mark Rajkowski</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Title: Senior Vice President and Chief Financial Officer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Acknowledged</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ING BANK, a Branch of ING-DiBa AG</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By: /s/ Susanne Fichera</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Name: Susanne Fichera</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Title: Vice President</w:t>
      </w:r>
    </w:p>
    <w:p>
      <w:pPr>
        <w:spacing w:after="0" w:line="200" w:lineRule="exact"/>
        <w:rPr>
          <w:sz w:val="20"/>
          <w:szCs w:val="20"/>
          <w:color w:val="auto"/>
        </w:rPr>
      </w:pPr>
    </w:p>
    <w:p>
      <w:pPr>
        <w:spacing w:after="0" w:line="29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By: /s/ Maximilian Cupriak</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Name: Maximilian Cupriak</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Title: Vice President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17/20</w:t>
      </w:r>
    </w:p>
    <w:p>
      <w:pPr>
        <w:sectPr>
          <w:pgSz w:w="11900" w:h="16838" w:orient="portrait"/>
          <w:cols w:equalWidth="0" w:num="1">
            <w:col w:w="11240"/>
          </w:cols>
          <w:pgMar w:left="320" w:top="125" w:right="339" w:bottom="1440" w:gutter="0" w:footer="0" w:header="0"/>
          <w:type w:val="continuous"/>
        </w:sectPr>
      </w:pPr>
    </w:p>
    <w:bookmarkStart w:id="67" w:name="page68"/>
    <w:bookmarkEnd w:id="67"/>
    <w:p>
      <w:pPr>
        <w:ind w:left="9880"/>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F79646"/>
        </w:rPr>
        <w:t>Schedule 3</w:t>
      </w:r>
    </w:p>
    <w:p>
      <w:pPr>
        <w:spacing w:after="0" w:line="25"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F79646"/>
        </w:rPr>
        <w:t>Utilisation Request</w:t>
      </w:r>
    </w:p>
    <w:p>
      <w:pPr>
        <w:spacing w:after="0" w:line="200" w:lineRule="exact"/>
        <w:rPr>
          <w:sz w:val="20"/>
          <w:szCs w:val="20"/>
          <w:color w:val="auto"/>
        </w:r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 [ING ENTITY]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From: [BORROWER]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Date: [DATE]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Xylem Europe GmbH – EUR 100,000,000 Term Loan Agreement dated [DATE] (</w:t>
      </w:r>
      <w:r>
        <w:rPr>
          <w:rFonts w:ascii="Arial" w:cs="Arial" w:eastAsia="Arial" w:hAnsi="Arial"/>
          <w:sz w:val="16"/>
          <w:szCs w:val="16"/>
          <w:color w:val="auto"/>
        </w:rPr>
        <w:t>the</w:t>
      </w:r>
      <w:r>
        <w:rPr>
          <w:rFonts w:ascii="Arial" w:cs="Arial" w:eastAsia="Arial" w:hAnsi="Arial"/>
          <w:sz w:val="16"/>
          <w:szCs w:val="16"/>
          <w:b w:val="1"/>
          <w:bCs w:val="1"/>
          <w:color w:val="auto"/>
        </w:rPr>
        <w:t xml:space="preserve"> “Agreement”)</w:t>
      </w:r>
    </w:p>
    <w:p>
      <w:pPr>
        <w:spacing w:after="0" w:line="268" w:lineRule="exact"/>
        <w:rPr>
          <w:sz w:val="20"/>
          <w:szCs w:val="20"/>
          <w:color w:val="auto"/>
        </w:rPr>
      </w:pPr>
    </w:p>
    <w:p>
      <w:pPr>
        <w:ind w:left="520" w:right="280" w:hanging="512"/>
        <w:spacing w:after="0" w:line="246" w:lineRule="auto"/>
        <w:tabs>
          <w:tab w:leader="none" w:pos="509"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refer to the Agreement. This is a Utilisation Request. Capitalised terms used herein have the meaning given to those terms in the Agreement unless defined otherwise herein.</w:t>
      </w:r>
    </w:p>
    <w:p>
      <w:pPr>
        <w:ind w:left="500" w:hanging="492"/>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We wish to borrow a Loan on the following terms:</w:t>
      </w:r>
    </w:p>
    <w:p>
      <w:pPr>
        <w:spacing w:after="0" w:line="5" w:lineRule="exact"/>
        <w:rPr>
          <w:rFonts w:ascii="Arial" w:cs="Arial" w:eastAsia="Arial" w:hAnsi="Arial"/>
          <w:sz w:val="16"/>
          <w:szCs w:val="16"/>
          <w:color w:val="auto"/>
        </w:rPr>
      </w:pPr>
    </w:p>
    <w:p>
      <w:pPr>
        <w:ind w:left="1020" w:hanging="502"/>
        <w:spacing w:after="0"/>
        <w:tabs>
          <w:tab w:leader="none" w:pos="10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Utilisation Date: [ ];</w:t>
      </w:r>
    </w:p>
    <w:p>
      <w:pPr>
        <w:spacing w:after="0" w:line="5" w:lineRule="exact"/>
        <w:rPr>
          <w:rFonts w:ascii="Arial" w:cs="Arial" w:eastAsia="Arial" w:hAnsi="Arial"/>
          <w:sz w:val="16"/>
          <w:szCs w:val="16"/>
          <w:color w:val="auto"/>
        </w:rPr>
      </w:pPr>
    </w:p>
    <w:p>
      <w:pPr>
        <w:ind w:left="1020" w:hanging="502"/>
        <w:spacing w:after="0"/>
        <w:tabs>
          <w:tab w:leader="none" w:pos="10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Amount: €[ ];</w:t>
      </w:r>
    </w:p>
    <w:p>
      <w:pPr>
        <w:spacing w:after="0" w:line="5" w:lineRule="exact"/>
        <w:rPr>
          <w:rFonts w:ascii="Arial" w:cs="Arial" w:eastAsia="Arial" w:hAnsi="Arial"/>
          <w:sz w:val="16"/>
          <w:szCs w:val="16"/>
          <w:color w:val="auto"/>
        </w:rPr>
      </w:pPr>
    </w:p>
    <w:p>
      <w:pPr>
        <w:ind w:left="1020" w:hanging="502"/>
        <w:spacing w:after="0"/>
        <w:tabs>
          <w:tab w:leader="none" w:pos="10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Interest Period: 6 months.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bank account to which the Loan should be paid is: bank account [ ] in the name of [ ] held at [ ].</w:t>
      </w:r>
    </w:p>
    <w:p>
      <w:pPr>
        <w:spacing w:after="0" w:line="5" w:lineRule="exact"/>
        <w:rPr>
          <w:rFonts w:ascii="Arial" w:cs="Arial" w:eastAsia="Arial" w:hAnsi="Arial"/>
          <w:sz w:val="16"/>
          <w:szCs w:val="16"/>
          <w:color w:val="auto"/>
        </w:rPr>
      </w:pPr>
    </w:p>
    <w:p>
      <w:pPr>
        <w:ind w:left="520" w:hanging="512"/>
        <w:spacing w:after="0" w:line="246" w:lineRule="auto"/>
        <w:tabs>
          <w:tab w:leader="none" w:pos="509"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We confirm that each condition precedent under Clause 4.1 </w:t>
      </w:r>
      <w:r>
        <w:rPr>
          <w:rFonts w:ascii="Arial" w:cs="Arial" w:eastAsia="Arial" w:hAnsi="Arial"/>
          <w:sz w:val="16"/>
          <w:szCs w:val="16"/>
          <w:b w:val="1"/>
          <w:bCs w:val="1"/>
          <w:color w:val="auto"/>
        </w:rPr>
        <w:t>Conditions precedent</w:t>
      </w:r>
      <w:r>
        <w:rPr>
          <w:rFonts w:ascii="Arial" w:cs="Arial" w:eastAsia="Arial" w:hAnsi="Arial"/>
          <w:sz w:val="16"/>
          <w:szCs w:val="16"/>
          <w:color w:val="auto"/>
        </w:rPr>
        <w:t xml:space="preserve"> of the Agreement which must be satisfied on the date of this Utilisation Request is so satisfied and that there are no circumstances as described in Clause 4.3 </w:t>
      </w:r>
      <w:r>
        <w:rPr>
          <w:rFonts w:ascii="Arial" w:cs="Arial" w:eastAsia="Arial" w:hAnsi="Arial"/>
          <w:sz w:val="16"/>
          <w:szCs w:val="16"/>
          <w:b w:val="1"/>
          <w:bCs w:val="1"/>
          <w:color w:val="auto"/>
        </w:rPr>
        <w:t>Utilisation</w:t>
      </w:r>
      <w:r>
        <w:rPr>
          <w:rFonts w:ascii="Arial" w:cs="Arial" w:eastAsia="Arial" w:hAnsi="Arial"/>
          <w:sz w:val="16"/>
          <w:szCs w:val="16"/>
          <w:color w:val="auto"/>
        </w:rPr>
        <w:t xml:space="preserve"> of the Agreement on the basis of which the Bank would not be obliged to extend the Loan.</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This Utilisation Request is irrevocable.</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[BORROWER]</w:t>
      </w: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By: [ ]</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Title: [ ]</w:t>
      </w:r>
    </w:p>
    <w:p>
      <w:pPr>
        <w:sectPr>
          <w:pgSz w:w="11900" w:h="16838" w:orient="portrait"/>
          <w:cols w:equalWidth="0" w:num="1">
            <w:col w:w="11140"/>
          </w:cols>
          <w:pgMar w:left="320" w:top="125" w:right="439" w:bottom="8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2"/>
          <w:szCs w:val="12"/>
          <w:i w:val="1"/>
          <w:iCs w:val="1"/>
          <w:color w:val="auto"/>
        </w:rPr>
        <w:t>18/20</w:t>
      </w:r>
    </w:p>
    <w:p>
      <w:pPr>
        <w:sectPr>
          <w:pgSz w:w="11900" w:h="16838" w:orient="portrait"/>
          <w:cols w:equalWidth="0" w:num="1">
            <w:col w:w="11140"/>
          </w:cols>
          <w:pgMar w:left="320" w:top="125" w:right="439" w:bottom="826"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200" w:lineRule="exact"/>
        <w:rPr>
          <w:sz w:val="20"/>
          <w:szCs w:val="20"/>
          <w:color w:val="auto"/>
        </w:rPr>
      </w:pPr>
    </w:p>
    <w:p>
      <w:pPr>
        <w:spacing w:after="0" w:line="386"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F79646"/>
        </w:rPr>
        <w:t>Schedule 4</w:t>
      </w:r>
    </w:p>
    <w:p>
      <w:pPr>
        <w:spacing w:after="0" w:line="25"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F79646"/>
        </w:rPr>
        <w:t>Wholesale Banking Conditions</w:t>
      </w:r>
    </w:p>
    <w:p>
      <w:pPr>
        <w:sectPr>
          <w:pgSz w:w="11900" w:h="16838" w:orient="portrait"/>
          <w:cols w:equalWidth="0" w:num="1">
            <w:col w:w="10600"/>
          </w:cols>
          <w:pgMar w:left="320" w:top="125" w:right="979" w:bottom="1440" w:gutter="0" w:footer="0" w:header="0"/>
        </w:sectPr>
      </w:pPr>
    </w:p>
    <w:bookmarkStart w:id="69" w:name="page70"/>
    <w:bookmarkEnd w:id="69"/>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19/20</w:t>
      </w:r>
    </w:p>
    <w:p>
      <w:pPr>
        <w:sectPr>
          <w:pgSz w:w="11900" w:h="16838" w:orient="portrait"/>
          <w:cols w:equalWidth="0" w:num="1">
            <w:col w:w="9019"/>
          </w:cols>
          <w:pgMar w:left="1440" w:top="144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9"/>
          <w:szCs w:val="19"/>
          <w:b w:val="1"/>
          <w:bCs w:val="1"/>
          <w:color w:val="auto"/>
        </w:rPr>
        <w:t>EX 10.35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0</wp:posOffset>
            </wp:positionV>
            <wp:extent cx="1019810" cy="248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01981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Agreed form, April 25, 2020</w:t>
      </w:r>
    </w:p>
    <w:p>
      <w:pPr>
        <w:spacing w:after="0" w:line="343"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Signatories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XYLEM EUROPE GMBH</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Samir Patel</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Samir Patel</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XYLEM INC.</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 E. Mark Rajkowski</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E. Mark Rajkowski</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Title: Senior Vice President and Chief Financial Officer</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ING BANK, a branch of ING-DiBa AG</w:t>
      </w:r>
    </w:p>
    <w:p>
      <w:pPr>
        <w:spacing w:after="0" w:line="200" w:lineRule="exact"/>
        <w:rPr>
          <w:sz w:val="20"/>
          <w:szCs w:val="20"/>
          <w:color w:val="auto"/>
        </w:rPr>
      </w:pPr>
    </w:p>
    <w:p>
      <w:pPr>
        <w:spacing w:after="0" w:line="311"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6"/>
          <w:szCs w:val="16"/>
          <w:color w:val="auto"/>
        </w:rPr>
        <w:t>/s/ Susanne Fichera</w:t>
        <w:tab/>
        <w:t>/s/ Maximilian Cupriak</w:t>
      </w:r>
    </w:p>
    <w:p>
      <w:pPr>
        <w:spacing w:after="0" w:line="5" w:lineRule="exact"/>
        <w:rPr>
          <w:sz w:val="20"/>
          <w:szCs w:val="20"/>
          <w:color w:val="auto"/>
        </w:rPr>
      </w:pPr>
    </w:p>
    <w:p>
      <w:pPr>
        <w:ind w:left="660"/>
        <w:spacing w:after="0"/>
        <w:tabs>
          <w:tab w:leader="none" w:pos="3560" w:val="left"/>
        </w:tabs>
        <w:rPr>
          <w:sz w:val="20"/>
          <w:szCs w:val="20"/>
          <w:color w:val="auto"/>
        </w:rPr>
      </w:pPr>
      <w:r>
        <w:rPr>
          <w:rFonts w:ascii="Arial" w:cs="Arial" w:eastAsia="Arial" w:hAnsi="Arial"/>
          <w:sz w:val="16"/>
          <w:szCs w:val="16"/>
          <w:color w:val="auto"/>
        </w:rPr>
        <w:t>_______________________________</w:t>
        <w:tab/>
        <w:t>____________________________</w:t>
      </w:r>
    </w:p>
    <w:p>
      <w:pPr>
        <w:spacing w:after="0" w:line="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16"/>
          <w:szCs w:val="16"/>
          <w:color w:val="auto"/>
        </w:rPr>
        <w:t>By: Susanne Fichera</w:t>
        <w:tab/>
        <w:t>By: Maximilian Cupriak</w:t>
      </w:r>
    </w:p>
    <w:p>
      <w:pPr>
        <w:spacing w:after="0" w:line="248"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Title: Vice President</w:t>
        <w:tab/>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60"/>
        <w:spacing w:after="0"/>
        <w:rPr>
          <w:sz w:val="20"/>
          <w:szCs w:val="20"/>
          <w:color w:val="auto"/>
        </w:rPr>
      </w:pPr>
      <w:r>
        <w:rPr>
          <w:rFonts w:ascii="Arial" w:cs="Arial" w:eastAsia="Arial" w:hAnsi="Arial"/>
          <w:sz w:val="13"/>
          <w:szCs w:val="13"/>
          <w:i w:val="1"/>
          <w:iCs w:val="1"/>
          <w:color w:val="auto"/>
        </w:rPr>
        <w:t>20/20</w:t>
      </w:r>
    </w:p>
    <w:p>
      <w:pPr>
        <w:sectPr>
          <w:pgSz w:w="11900" w:h="16838" w:orient="portrait"/>
          <w:cols w:equalWidth="0" w:num="1">
            <w:col w:w="10600"/>
          </w:cols>
          <w:pgMar w:left="320" w:top="125" w:right="97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LOAN NOTE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Australia and New Zealand Banking Group Limited</w:t>
      </w:r>
    </w:p>
    <w:p>
      <w:pPr>
        <w:spacing w:after="0" w:line="252"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U.S.$50,000,000.00</w:t>
      </w:r>
      <w:r>
        <w:rPr>
          <w:sz w:val="20"/>
          <w:szCs w:val="20"/>
          <w:color w:val="auto"/>
        </w:rPr>
        <w:tab/>
      </w:r>
      <w:r>
        <w:rPr>
          <w:rFonts w:ascii="Arial" w:cs="Arial" w:eastAsia="Arial" w:hAnsi="Arial"/>
          <w:sz w:val="17"/>
          <w:szCs w:val="17"/>
          <w:color w:val="auto"/>
        </w:rPr>
        <w:t>April 30, 2020</w:t>
      </w:r>
    </w:p>
    <w:p>
      <w:pPr>
        <w:spacing w:after="0" w:line="2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FOR VALUE RECEIVED</w:t>
      </w:r>
      <w:r>
        <w:rPr>
          <w:rFonts w:ascii="Arial" w:cs="Arial" w:eastAsia="Arial" w:hAnsi="Arial"/>
          <w:sz w:val="18"/>
          <w:szCs w:val="18"/>
          <w:b w:val="1"/>
          <w:bCs w:val="1"/>
          <w:color w:val="auto"/>
        </w:rPr>
        <w:t>, Xylem Inc.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unconditionally promises to pay to </w:t>
      </w:r>
      <w:r>
        <w:rPr>
          <w:rFonts w:ascii="Arial" w:cs="Arial" w:eastAsia="Arial" w:hAnsi="Arial"/>
          <w:sz w:val="18"/>
          <w:szCs w:val="18"/>
          <w:b w:val="1"/>
          <w:bCs w:val="1"/>
          <w:color w:val="auto"/>
        </w:rPr>
        <w:t>AUSTRALIA AND NEW ZEALAND BANKING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GROUP LIMITED </w:t>
      </w:r>
      <w:r>
        <w:rPr>
          <w:rFonts w:ascii="Arial" w:cs="Arial" w:eastAsia="Arial" w:hAnsi="Arial"/>
          <w:sz w:val="18"/>
          <w:szCs w:val="18"/>
          <w:color w:val="auto"/>
        </w:rPr>
        <w:t>(the “</w:t>
      </w:r>
      <w:r>
        <w:rPr>
          <w:rFonts w:ascii="Arial" w:cs="Arial" w:eastAsia="Arial" w:hAnsi="Arial"/>
          <w:sz w:val="18"/>
          <w:szCs w:val="18"/>
          <w:u w:val="single" w:color="auto"/>
          <w:color w:val="auto"/>
        </w:rPr>
        <w:t>Bank</w:t>
      </w:r>
      <w:r>
        <w:rPr>
          <w:rFonts w:ascii="Arial" w:cs="Arial" w:eastAsia="Arial" w:hAnsi="Arial"/>
          <w:sz w:val="18"/>
          <w:szCs w:val="18"/>
          <w:color w:val="auto"/>
        </w:rPr>
        <w:t>”), having an address at 277 Park Avenue, New York, New York, 10172, in the lawful money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and in immediately available funds, the principal amount of Fifty Million United States Dollars (U.S.$50,000,000.00) (the “</w:t>
      </w:r>
      <w:r>
        <w:rPr>
          <w:rFonts w:ascii="Arial" w:cs="Arial" w:eastAsia="Arial" w:hAnsi="Arial"/>
          <w:sz w:val="18"/>
          <w:szCs w:val="18"/>
          <w:u w:val="single" w:color="auto"/>
          <w:color w:val="auto"/>
        </w:rPr>
        <w:t>Loan</w:t>
      </w:r>
      <w:r>
        <w:rPr>
          <w:rFonts w:ascii="Arial" w:cs="Arial" w:eastAsia="Arial" w:hAnsi="Arial"/>
          <w:sz w:val="18"/>
          <w:szCs w:val="18"/>
          <w:color w:val="auto"/>
        </w:rPr>
        <w:t>”) at the Bank’s office at 277 Park Avenue, New York, New York, 10172, on April 29, 2021 (the “</w:t>
      </w:r>
      <w:r>
        <w:rPr>
          <w:rFonts w:ascii="Arial" w:cs="Arial" w:eastAsia="Arial" w:hAnsi="Arial"/>
          <w:sz w:val="18"/>
          <w:szCs w:val="18"/>
          <w:u w:val="single" w:color="auto"/>
          <w:color w:val="auto"/>
        </w:rPr>
        <w:t>Maturity Date</w:t>
      </w:r>
      <w:r>
        <w:rPr>
          <w:rFonts w:ascii="Arial" w:cs="Arial" w:eastAsia="Arial" w:hAnsi="Arial"/>
          <w:sz w:val="18"/>
          <w:szCs w:val="18"/>
          <w:color w:val="auto"/>
        </w:rPr>
        <w:t>”), together with accrued interest thereon from the date hereof as more particularly hereinafter set forth.</w:t>
      </w:r>
    </w:p>
    <w:p>
      <w:pPr>
        <w:spacing w:after="0" w:line="21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The Borrower promises to pay interest on the unpaid principal amount of the Loan at a rate per annum equal to the Adjusted LIBO Rate (as defined below)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1.50%. After maturity of the Loan (including by reason of acceleration of the Loan following an Event of Default (as defined below)) or non-payment when due of interest on the Loan or any other amount payable hereunder (whether at scheduled maturity, by acceleration or otherwise), the Borrower shall on demand from the Bank pay interest, to the extent permitted by law, on such defaulted amount up to (but not including) the date of actual payment in full (after as well as before judgment) at a rate equal to (i) in the case of overdue principal of the Loan,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rate otherwise applicable to the Loan as provided in this Note, and (ii) in the case of any other amount, 2.00%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Bank’s Base Rate (as defined below). Any change in the interest rate resulting from a change in the Base Rate shall take effect at the time of such change in the Base Rate. Interest shall be calculated on the basis of a year of (i)(x) in the case of obligations bearing interest at the Adjusted LIBO Rate, 360 days and (y) in the case of obligations bearing interest at the Base Rate, 365 or 366 days, as applicable, and (ii) the exact number of days elapsed. Interest shall be payable in lawful money of the United States of America at the office of the Bank listed above (i) at the end of each three (3) month period after the date hereof and (ii) on the Maturity Date (each such date, an “</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The Borrower authorizes the Bank to debit its account with the Bank’s New York branch with respect to all payments hereon.</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Borrower represents and warrants to the Bank on the date hereof that: (a) the Borrower has full power and authority to execute and deliver this Note and to perform its obligations hereunder; (b) this Note has been duly authorized by the Borrower, and evidences its legal, valid and binding obligation, enforceable against it in accordance with its terms; (c) the Borrower’s execution, delivery and performance of this Note do not and will not contravene (i) its incorporation documents, (ii) any instrument or agreement to which it is a party or by which it or any of its assets is bound where such violation is reasonably likely to result in a Material Adverse Effect or (iii) any provision of any law, rule or regulation or any decree, order, judgment or requirement for approvals applicable to it where such violation is reasonably likely to result in a Material Adverse Effect; (d) the obligations of the Borrower hereunder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of its other unsubordinated, unsecured indebtedness; (e) the Loan will be used by the Borrower for general corporate and working capital purposes; and (f) there has been no material adverse change in the consolidated financial condition of the Borrower and its Subsidiaries from the financial condition reported in the most recently delivered audited financial statements delivered to the Bank.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occurrence of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(i) non-payment when due and payable of (x) any principal amount of the Loan or (y) any other amount in respect of the Liabilities and such default shall continue unremedied for a period of five (5) days; (ii) any representation made in the foregoing paragraph being false or misleading in any material respect when so made; (iii) the failure of the Borrower or any of its Significant Subsidiaries (as defined below) to generally pay its debts as they come due or the admission in writing by the Borrower or any of its Significant Subsidiaries of its inability to pay its debts generally, or the making by the Borrower or any of its Significant Subsidiaries of an assignment for the benefit of creditors, or the institution of any proceeding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reorganization or relief of debtors, or the appointment of a receiver, trustee, custodian or other similar official for the Borrower or any of its Significant Subsidiaries or for any substantial part of its property and, in the case of institution of any such proceeding against the Borrower or any of its Significant Subsidiaries either such proceeding remaining undismissed or unstayed for a period of sixty (60) days or any of the actions sought in the proceeding occurring, or the Borrower or any of its Significant Subsidiaries taking any corporate or other authorizing action in respect of the foregoing; (iv) failure of the Borrower or any of its Subsidiaries to pay when due any principal, interest, premium, or other amount owing with respect to any of its indebtedness for borrowed money or other obligations (including guarantees thereof in an amount exceeding U.S.$70,000,000.00 (or its equivalent in any other currency)) or any other event occurring or condition existing and continuing after any applicable grace period, the effect of which event occurring or condition existing and continuing is to accelerate or to permit the acceleration of the maturity of such indebtedness; (v) any judgment or order for the payment of money in an amount exceeding U.S.$70,000,000.00 (or its equivalent in any other currency) shall be rendered against the Borrower or any of its Subsidiaries and shall remain unpaid or unsatisfied for a period of sixty (60) days; or (vi) a Change in Control (as defined below) shall occur.</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THEN AND IN ANY SUCH EVENT, the Bank in its discretion may, by written notice to the Borrower, declare the principal of and accrued interest on all Liabilities to be, whereupon the same shall become, forthwith due and payable, without presentment, demand, protest or other notice of any kind all of which are hereby expressly waived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any event specified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with respect to the Borrower such amounts shall automatically become and be due and payable, without presentment, demand, protest or any notice of any kind, all of which are hereby expressly waived by the Borrower.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Borrower shall give the Bank written notice of the occurrence of any Event of Default promptly after the Borrower is aware of the same.</w:t>
      </w:r>
    </w:p>
    <w:p>
      <w:pPr>
        <w:spacing w:after="0" w:line="2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Loan may be prepaid by the Borrower, together with all accrued and unpaid interest thereon, at any time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principal payment hereunder is made for any reason whatsoever on a date other than an Interest Payment Date, the Borrower (i) shall pay interest accrued thereon through the date of such payment and (ii) shall indemnify the Bank against any actual net loss or expense that the Bank may sustain or incur (including any actual net loss or expense incurred by reason of the liquidation or reemployment of deposits or other funds acquired by the Bank to fund or maintain funding of the Loan), as determined by the Bank, on demand. A certificate of the Bank as to any amount required to be paid by the Borrower under this paragraph shall accompany such demand and shall be, except in the case of manifest error or in the absence of good faith, final and conclusive.</w:t>
      </w:r>
    </w:p>
    <w:p>
      <w:pPr>
        <w:spacing w:after="0" w:line="222"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auto"/>
        </w:rPr>
        <w:t>In the event that a determination is made by the Bank in its sole discretion that the adoption of any applicable law, rule or regulation regarding capital adequacy, or any change therein or any change in the interpretation or administration thereof by any governmental authority, central bank or comparable agency charged with the interpretation or administration thereof, or compliance by the Bank with any request or directive regarding capital adequacy (whether or not having the force of law) of any such authority, central bank or comparable agency, has or would have the effect of reducing the rate of return on the Bank’s capital as a consequence of its Loan to the Borrower evidenced hereby to a level below that which the Bank could have achieved but for such adoption, change, or compliance, the Borrower promises to pay on demand to the Bank such additional amount or amounts as will compensate the Bank for such reduction. It is agreed that all requests, rules, guidelines or directives (x) in connection with the Dodd-Frank Wall Street Reform and Consumer Protection Act or (y) promulgated by the Bank for International Settlements, the Basel Committee on Banking Regulations and Supervisory Practices (or any successor or similar authority) or the United States or Australian financial regulatory authorities in connection with Basel III, in the case of each of clauses (x) and (y), regardless of the date enacted, adopted, issued, promulgated or implemented shall be deemed to be changes in law, rule or regulation included in the scope of this paragraph. A certificate of the Bank as to any amount required to be paid by the Borrower under this paragraph shall accompany such demand and shall be, except in the case of manifest error or in the absence of good faith,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 other provision herein, if any change in any law or regulation or in the interpretation thereof by any governmental authority charged with the administration or interpretation thereof shall make it unlawful for the Bank to make or maintain the Loan as a LIBO Loan, then, by written notice to the Borrower, the Bank may declare that the Loan is deemed to be a Base Rate Loan, in which event the Loan shall be automatically converted to a Base Rate Loan as of the effective date of such notice.</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the Bank determines that the rates at which U.S. dollar deposits are being offered for an interest period will not adequately and fairly reflect the cost to such the Bank of making or maintaining the Loan as a LIBO Loan, the Bank shall notify the Borrower of such determination and until the Bank shall have advised the Borrower that the circumstances giving rise to such notice no longer exist, the Loan shall be deemed to be a Base Rate Loan. Each determination by the Bank hereunder shall be made in good faith and shall be conclusive absent manifest error.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any other provision herein, if the Bank determines (which determination shall be conclusive absent manifest error) that:</w:t>
      </w:r>
    </w:p>
    <w:p>
      <w:pPr>
        <w:spacing w:after="0" w:line="264" w:lineRule="exact"/>
        <w:rPr>
          <w:sz w:val="20"/>
          <w:szCs w:val="20"/>
          <w:color w:val="auto"/>
        </w:rPr>
      </w:pPr>
    </w:p>
    <w:p>
      <w:pPr>
        <w:ind w:left="660" w:right="20" w:hanging="4"/>
        <w:spacing w:after="0" w:line="277" w:lineRule="auto"/>
        <w:tabs>
          <w:tab w:leader="none" w:pos="9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LIBO Rate for any interest period, including, without limitation, because the Screen Rate is not available or published on a current basis and such circumstances are unlikely to be temporary; or</w:t>
      </w:r>
    </w:p>
    <w:p>
      <w:pPr>
        <w:spacing w:after="0" w:line="197" w:lineRule="exact"/>
        <w:rPr>
          <w:rFonts w:ascii="Arial" w:cs="Arial" w:eastAsia="Arial" w:hAnsi="Arial"/>
          <w:sz w:val="18"/>
          <w:szCs w:val="18"/>
          <w:color w:val="auto"/>
        </w:rPr>
      </w:pPr>
    </w:p>
    <w:p>
      <w:pPr>
        <w:jc w:val="both"/>
        <w:ind w:left="660" w:hanging="4"/>
        <w:spacing w:after="0" w:line="263" w:lineRule="auto"/>
        <w:tabs>
          <w:tab w:leader="none" w:pos="98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administrator of the Screen Rate or a governmental authority having jurisdiction over the Bank has made a public statement identifying a specific date after which the LIBO Rate or the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then, reasonably promptly after such determination by the Bank, the Bank and the Borrower shall negotiate in good faith for a period of 30 days to amend this Note to replace the LIBO Rate with an alternate benchmark rate (including any mathematical or other adjustments to the benchmark (if any) incorporated therein), giving due consideration to any evolving or then existing convention for similar U.S. dollar denominated credit facilities for such alternative benchmarks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together with any proposed LIBOR Successor Rate Conforming Changes (as defined below). Such LIBOR Successor Rate shall be applied in a manner consistent with market practice; provided that to the extent such market practice is not administratively feasible for the Bank, such LIBOR Successor Rate shall be applied in a manner as otherwise reasonably determined by the Bank.</w:t>
      </w:r>
    </w:p>
    <w:p>
      <w:pPr>
        <w:spacing w:after="0" w:line="19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the Bank and the Borrower have not agreed on a LIBOR Successor Rate by the end of such 30-day period and the circumstances under clause (i) above exist or the Scheduled Unavailability Date has occurred (as applicable), the Loan shall be automatically converted to a Base Rate Loan.</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All payments by the Borrower hereunder shall be made without any claim, right of setoff, defense, or counterclaim and shall be free and clear of and without deduction for any and all present or future taxes, levies, imposts, deductions, charges or withholdings, and all interest, penalties or additions thereto (collectively, “</w:t>
      </w:r>
      <w:r>
        <w:rPr>
          <w:rFonts w:ascii="Arial" w:cs="Arial" w:eastAsia="Arial" w:hAnsi="Arial"/>
          <w:sz w:val="16"/>
          <w:szCs w:val="16"/>
          <w:u w:val="single" w:color="auto"/>
          <w:color w:val="auto"/>
        </w:rPr>
        <w:t>Taxes</w:t>
      </w:r>
      <w:r>
        <w:rPr>
          <w:rFonts w:ascii="Arial" w:cs="Arial" w:eastAsia="Arial" w:hAnsi="Arial"/>
          <w:sz w:val="16"/>
          <w:szCs w:val="16"/>
          <w:color w:val="auto"/>
        </w:rPr>
        <w:t>”), except as required by any law. Each Recipient (as defined below) shall furnish to the Borrower on the date hereof or on the date it acquires an interest in the Loan, as applicable (and from time to time thereafter either at the request of the Borrower or if any tax documentation it previously delivered expires or becomes obsolete or inaccurate in any respect), any applicable withholding form (and any associated documentation) it is legally entitled to deliver which is prescribed by law as a basis for claiming exemption from, or a reduction of, U.S. federal withholding Tax, together with such supplementary documentation necessary to enable the Borrower to determine the amount of Tax (if any) required by law to be withheld. If the Borrower shall be required by law to deduct any Indemnified Taxes (as defined below) from or in respect of any sum payable hereunder to the Bank, (i) such sum shall be increased as may be necessary so that after making all required deductions (including any deductions applicable to additional sums payable under this paragraph) the Bank shall receive an amount equal to the sum it would have received had no such deduction been made, (ii) the Borrower shall make such deduction and (iii) the Borrower shall pay the full amount deducted to the relevant taxing authority or other authority as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required by law. If, for the purpose of obtaining judgment in any court with respect to sums due hereunder, it becomes necessary to convert any such sum from United States Dollars into another currency the conversion shall be made at the rate of exchange prevailing on the Business Day on which the judgment is given and shall be made at the rate at which the Bank is able on the relevant date to purchase United States Dollars with such other currency at the place such judgment is given. If there is a change in the rate of exchange prevailing between the Business Day on which a judgment is given and the date of payment of the amount due, the Borrower shall pay such additional amounts as may be necessary to ensure that the amount paid on such date is the amount in such other currency which, when converted at the rate of exchange prevailing on the date of payment, is the amount then due hereunder in United States Dollars. Any amount due from the Borrower pursuant to this paragraph will be due as a separate debt and shall not be affected by judgments obtained for other sums due from the Borrower.</w:t>
      </w:r>
    </w:p>
    <w:p>
      <w:pPr>
        <w:spacing w:after="0" w:line="205" w:lineRule="exact"/>
        <w:rPr>
          <w:sz w:val="20"/>
          <w:szCs w:val="20"/>
          <w:color w:val="auto"/>
        </w:rPr>
      </w:pPr>
    </w:p>
    <w:p>
      <w:pPr>
        <w:jc w:val="both"/>
        <w:ind w:right="20" w:firstLine="490"/>
        <w:spacing w:after="0" w:line="277" w:lineRule="auto"/>
        <w:rPr>
          <w:sz w:val="20"/>
          <w:szCs w:val="20"/>
          <w:color w:val="auto"/>
        </w:rPr>
      </w:pPr>
      <w:r>
        <w:rPr>
          <w:rFonts w:ascii="Arial" w:cs="Arial" w:eastAsia="Arial" w:hAnsi="Arial"/>
          <w:sz w:val="18"/>
          <w:szCs w:val="18"/>
          <w:color w:val="auto"/>
        </w:rPr>
        <w:t>No delay on the part of the Bank in exercising any of its options, powers or rights, or partial or single exercise thereof, shall constitute a waiver thereof. The options, powers and rights of the Bank specified herein are in addition to those otherwise created.</w:t>
      </w:r>
    </w:p>
    <w:p>
      <w:pPr>
        <w:spacing w:after="0" w:line="197" w:lineRule="exact"/>
        <w:rPr>
          <w:sz w:val="20"/>
          <w:szCs w:val="20"/>
          <w:color w:val="auto"/>
        </w:rPr>
      </w:pPr>
    </w:p>
    <w:p>
      <w:pPr>
        <w:jc w:val="both"/>
        <w:ind w:firstLine="435"/>
        <w:spacing w:after="0" w:line="288" w:lineRule="auto"/>
        <w:rPr>
          <w:sz w:val="20"/>
          <w:szCs w:val="20"/>
          <w:color w:val="auto"/>
        </w:rPr>
      </w:pPr>
      <w:r>
        <w:rPr>
          <w:rFonts w:ascii="Arial" w:cs="Arial" w:eastAsia="Arial" w:hAnsi="Arial"/>
          <w:sz w:val="16"/>
          <w:szCs w:val="16"/>
          <w:color w:val="auto"/>
        </w:rPr>
        <w:t>The Borrower represents and warrants that (a) the Borrower is in compliance with applicable AML/CTF Laws (as such term is hereinafter defined) and applicable Sanctions (as such term is hereinafter defined) in all material respects and are not engaged in any activity that would result in the Borrower being designated as a Sanctioned Person (as such term is hereinafter defined); (b) the Loan will not violate any AML/CTF Laws or applicable Sanctions except where such violation could not reasonably be expected to have a Material Adverse Effect; and (c) except as permitted by Sanctions, the proceeds of the Loan will not be used to fund, finance or facilitate any activities, business or transaction of or with any Sanctioned Person or in any Sanctioned Country. The Bank shall not be obligated to make the Loan if the Borrower is or becomes a Sanctioned Person, or if the use of the proceeds thereof would violate any of the representations or warranties in this paragraph or elsewhere in this Note. The Borrower acknowledges that pursuant to the requirements of the USA Patriot Act (Title III of Pub. L. 107-56 (signed into law October 26, 2001)) (the “</w:t>
      </w:r>
      <w:r>
        <w:rPr>
          <w:rFonts w:ascii="Arial" w:cs="Arial" w:eastAsia="Arial" w:hAnsi="Arial"/>
          <w:sz w:val="16"/>
          <w:szCs w:val="16"/>
          <w:u w:val="single" w:color="auto"/>
          <w:color w:val="auto"/>
        </w:rPr>
        <w:t>Act</w:t>
      </w:r>
      <w:r>
        <w:rPr>
          <w:rFonts w:ascii="Arial" w:cs="Arial" w:eastAsia="Arial" w:hAnsi="Arial"/>
          <w:sz w:val="16"/>
          <w:szCs w:val="16"/>
          <w:color w:val="auto"/>
        </w:rPr>
        <w:t>”), the Bank is required to obtain, verify and record information that identifies the Borrower, which information includes the name and address of the Borrower and other information that will allow the Bank to identify the Borrower in accordance with the Act. The Borrower agrees to provide this information to the Bank so the Bank can comply with the Act.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xml:space="preserve">” means an interest rate per annum (rounded upwards, if necessary, to the next 1/100 of 1%) equal to (a) the LIBO Rate for an interest period of three (3) months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 (b) the Statutory Reserve Rate.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another Person that directly or indirectly controls or is controlled by or is under common control with the Person specified.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AML/CTF Laws</w:t>
      </w:r>
      <w:r>
        <w:rPr>
          <w:rFonts w:ascii="Arial" w:cs="Arial" w:eastAsia="Arial" w:hAnsi="Arial"/>
          <w:sz w:val="18"/>
          <w:szCs w:val="18"/>
          <w:color w:val="auto"/>
        </w:rPr>
        <w:t xml:space="preserve">” means any anti-money laundering, counter-terrorism financing or economic or trade sanctions laws or regulations applicable to the Borrower or its Subsidiaries, including the </w:t>
      </w:r>
      <w:r>
        <w:rPr>
          <w:rFonts w:ascii="Arial" w:cs="Arial" w:eastAsia="Arial" w:hAnsi="Arial"/>
          <w:sz w:val="18"/>
          <w:szCs w:val="18"/>
          <w:i w:val="1"/>
          <w:iCs w:val="1"/>
          <w:color w:val="auto"/>
        </w:rPr>
        <w:t>Anti-Money Laundering and Counter-Terrorism Financing Act</w:t>
      </w:r>
      <w:r>
        <w:rPr>
          <w:rFonts w:ascii="Arial" w:cs="Arial" w:eastAsia="Arial" w:hAnsi="Arial"/>
          <w:sz w:val="18"/>
          <w:szCs w:val="18"/>
          <w:color w:val="auto"/>
        </w:rPr>
        <w:t xml:space="preserve"> 2006 (Cth) and all laws, rules, and regulations of any jurisdiction applicable to the Borrower and its Subsidiaries concerning or relating to bribery or corruption and/or counter-terrorism financing laws or regulations.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a fluctuating interest rate per annum equal to the higher of the (i) Bank’s Prime Lending Rate and (ii) 0.50% above the Bank’s Overnight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of the aforesaid rates shall be less than zero, such rate shall be deemed to be zero for purposes of this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bearing interest at a rate determined by reference to the Base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shall mean the Board of Directors of the Borrower or any duly authorized committee thereof.</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(i) a day which is a Saturday, Sunday or legal holiday in the State of New York or (ii) a day on which banks are not open for dealings in deposits in United States Dollars in the London interbank market ) on which banks are open for business in New York City.</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(a) any Person or group of Persons shall have acquired beneficial ownership of more than thirty percent (30%) of the outstanding Voting Shares of the Borrower (within the meaning of Section 13(d) or 14(d) of the Securities Exchange Act of 1934, as amended and the applicable rules and regulations thereunder) or (b) during any period of twelve (12) consecutive months, commencing after the date hereof, individuals who on the first day of such period were directors of the Borrower (together with any replacement or additional directors who were nominated, elected or approved prior to their election by a majority of directors then in office) cease to constitute a majority of the Board of Directors of the Borrower.</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the same may be amended from time to time, and the Treasury regulations promulgated thereunder.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shall mean any of the following Taxes imposed on or with respect to the Bank (including any assignee of or successor to the Bank and any participant thereof) (each, a “</w:t>
      </w:r>
      <w:r>
        <w:rPr>
          <w:rFonts w:ascii="Arial" w:cs="Arial" w:eastAsia="Arial" w:hAnsi="Arial"/>
          <w:sz w:val="16"/>
          <w:szCs w:val="16"/>
          <w:u w:val="single" w:color="auto"/>
          <w:color w:val="auto"/>
        </w:rPr>
        <w:t>Recipient</w:t>
      </w:r>
      <w:r>
        <w:rPr>
          <w:rFonts w:ascii="Arial" w:cs="Arial" w:eastAsia="Arial" w:hAnsi="Arial"/>
          <w:sz w:val="16"/>
          <w:szCs w:val="16"/>
          <w:color w:val="auto"/>
        </w:rPr>
        <w:t>”) or required to be withheld or deducted from a payment to a Recipient: (a) income or franchise Taxes imposed on (or measured by) net income (however denominated) (I) by the United States of America, or by the jurisdiction under the laws of which the Recipient is organized or in which its principal office is located or in which its applicable lending office is located or (II) that are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the Note or any related document, or sold or assigned an interest in any Loan, the Note or any related document), (b) any branch profits Taxes imposed by the United States of America or any similar Taxes imposed by any other jurisdiction, (c) any Tax attributable to a failure by a Recipient to furnish applicable withholding forms and any associated documentation in accordance with the terms hereof (including as a result of any inaccurate or incomplete documentation), (d) any U.S. federal withholding Taxes with respect to an applicable interest in the Loan resulting from any law in effect on the date the applicable Recipient acquires such interest in the Loan or designates a new lending office, except to the extent that such Recipient (in the case of the designation of a new lending office) or its assignor, if any was entitled, at the time of acquisition of such interest in the Loan or the designation of a new lending office, to receive additional amounts from the Borrower with respect to such withholding Taxes pursuant to the terms hereof, and (e) any Taxes imposed with respect to the requirements of FATCA.</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Sections 1471 through 1474 of the Code, as of the date of this Note (or any amended or successor version that is substantively comparable and not materially more onerous to comply with), any regulations and any official governmental interpretations thereof, any agreements entered into pursuant to Section 1471(b)(1) of the Code, any intergovernmental agreement between the United States of America and any other relevant jurisdiction entered into in connection with the implementation of such Sections of the Code and any fiscal or regulatory legislation, rules or practices adopted pursuant to such intergovernmental agreement.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shall mean Taxes, other than Excluded Taxes, imposed on or with respect to any payment made by the Borrower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Interpolated Screen Rate</w:t>
      </w:r>
      <w:r>
        <w:rPr>
          <w:rFonts w:ascii="Arial" w:cs="Arial" w:eastAsia="Arial" w:hAnsi="Arial"/>
          <w:sz w:val="17"/>
          <w:szCs w:val="17"/>
          <w:color w:val="auto"/>
        </w:rPr>
        <w:t>” means a rate per annum which results from interpolating on a linear basis between (a) the applicable Screen Rate for the longest maturity for which a Screen Rate is available that is shorter than such three (3) month interest period and (b) the applicable Screen Rate for the shortest maturity for which a Screen Rate is available that is longer than such three (3) month interest period, in each case at approximately 11:00 a.m., London time, two (2) Business Days prior to the commencement of such three (3) month interest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the Loan, interest thereon and all other obligations of the Borrower under this Note.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Loan</w:t>
      </w:r>
      <w:r>
        <w:rPr>
          <w:rFonts w:ascii="Arial" w:cs="Arial" w:eastAsia="Arial" w:hAnsi="Arial"/>
          <w:sz w:val="18"/>
          <w:szCs w:val="18"/>
          <w:color w:val="auto"/>
        </w:rPr>
        <w:t>” means a loan bearing interest at a rate determined by reference to the Adjusted LIBO Rate.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the applicable Screen Rate at approximately 11:00 a.m., London time on the Quotation Day for an interest period of three (3) months, as the rate for deposits of United States Dollars with a maturity comparable to such three (3) month interest period. If no Screen Rate shall be available for such three (3) month interest period but Screen Rates shall be available for maturities both longer and shorter than such three (3) month interest period, then the LIBO Rate for such three (3) month interest period shall be the Interpolated Screen Rate. Notwithstanding the foregoing, if the LIBO Rate, determined as provided above, would otherwise be less than zero, then the LIBO Rate shall be deemed to be zero for all purposes.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Base Rate, the interest period, timing and frequency of determining rates and making payments of interest and other administrative matters as may be appropriate, in the discretion of the Bank in consultation with the Borrower, to reflect the adoption of such LIBOR Successor Rate and to permit the administration thereof by the Bank in a manner substantially consistent with market practice (or, if the Bank determines that adoption of any portion of such market practice is not administratively feasible or that no market practice for the administration of such LIBOR Successor Rate exists, in such other manner of administration as the Bank determines is reasonably necessary in connection with the administration of this Note in consultation with the Borrower). Any definition of LIBOR Successor Rate shall provide that in no event shall such LIBOR Successor Rate be less than zero for purposes of this Note.</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an event or condition that has resulted in a material adverse effect on (a) the business or financial condition of the Borrower and its Subsidiaries, taken as a whole, (b) the ability of the Borrower to perform any of its material obligations under this Note or (c) the enforceability of the Bank’s rights under this Note.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this Term Loan Note, as amended, restated, supplemented or otherwise modified from time to time.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Federal Funds Rate</w:t>
      </w:r>
      <w:r>
        <w:rPr>
          <w:rFonts w:ascii="Arial" w:cs="Arial" w:eastAsia="Arial" w:hAnsi="Arial"/>
          <w:sz w:val="17"/>
          <w:szCs w:val="17"/>
          <w:color w:val="auto"/>
        </w:rPr>
        <w:t>” means the rate per annum at which the New York branch of the Bank, as a branch of a foreign bank, in its sole discretion, can acquire federal funds in the interbank overnight federal funds market including through brokers of recognized standing.</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natural person, corporation, limited liability company, business trust, joint venture, association, company, partnership, governmental authority or other entity.</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Lending Rate</w:t>
      </w:r>
      <w:r>
        <w:rPr>
          <w:rFonts w:ascii="Arial" w:cs="Arial" w:eastAsia="Arial" w:hAnsi="Arial"/>
          <w:sz w:val="17"/>
          <w:szCs w:val="17"/>
          <w:color w:val="auto"/>
        </w:rPr>
        <w:t>” means the rate established by the Bank from time to time as its prime lending rate for unsecured commercial loans within the United States (but is not intended to be the lowest rate of interest charged by the Bank in connection with extensions of credit to debtors).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two (2) Business Days prior to the first day of a three (3) month interest period unless market practice differs in the London interbank market for United States Dollars, in which case the Quotation Day for such currency shall be determined by the Bank in accordance with market practice in the London interbank market (and if quotations would normally be given by leading banks in the London interbank market on more than one day, the Quotation Day shall be the last of those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Country</w:t>
      </w:r>
      <w:r>
        <w:rPr>
          <w:rFonts w:ascii="Arial" w:cs="Arial" w:eastAsia="Arial" w:hAnsi="Arial"/>
          <w:sz w:val="17"/>
          <w:szCs w:val="17"/>
          <w:color w:val="auto"/>
        </w:rPr>
        <w:t>” means at any time, a country or region which is the subject of comprehensive country-wide or region-wide Sanctions.</w:t>
      </w:r>
    </w:p>
    <w:p>
      <w:pPr>
        <w:spacing w:after="0" w:line="2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(1) any Person listed in any Sanctions-related list of designated Persons maintained by the Office of Foreign Assets Control of the U.S. Department of the Treasury, the U.S. Department of State, or by the United Nations Security Council, the European Union, Her Majesty’s Treasury of the United Kingdom or Australia.</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all economic or financial sanctions or trade embargoes imposed, administered or enforced from time to time by (i) the U.S. government, including those administered by the Office of Foreign Assets Control of the U.S. Department of the Treasury or the U.S. Department of State, or (ii) the United Nations Security Council, the European Union, Her Majesty’s Treasury of the United Kingdom or Australia.</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 Rate</w:t>
      </w:r>
      <w:r>
        <w:rPr>
          <w:rFonts w:ascii="Arial" w:cs="Arial" w:eastAsia="Arial" w:hAnsi="Arial"/>
          <w:sz w:val="17"/>
          <w:szCs w:val="17"/>
          <w:color w:val="auto"/>
        </w:rPr>
        <w:t>” means the ICE Benchmark Administration Settlement Rate for such three (3) month interest period as set forth on the applicable Bloomberg screen (and if such service ceases to be available, another service displaying the appropriate rate designated by the Bank).</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xml:space="preserve">” shall mean, at any time, each Subsidiary accounting for more than five percent (5%) of the consolidated revenues of the Borrower for the most recent period of four consecutive fiscal quarters of the Borrower for which historical financial statements of the Borrower have been delivered to the Bank or more than five percent (5%) of the consolidated total assets of the Borrower at the end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end of or for any such period of four consecutive fiscal quarters all Subsidiaries that are not Significant Subsidiaries shall account for more than ten percent (10)% of the consolidated revenues of the Borrower or more than ten percent (10%) of the consolidated total assets of the Borrower, the Borrower shall designate sufficient Subsidiaries as “Significant Subsidiaries” to eliminate such excess (or if the Borrower shall have failed to designate such Subsidiaries within ten</w:t>
      </w:r>
    </w:p>
    <w:p>
      <w:pPr>
        <w:spacing w:after="0" w:line="4" w:lineRule="exact"/>
        <w:rPr>
          <w:sz w:val="20"/>
          <w:szCs w:val="20"/>
          <w:color w:val="auto"/>
        </w:rPr>
      </w:pPr>
    </w:p>
    <w:p>
      <w:pPr>
        <w:jc w:val="both"/>
        <w:ind w:firstLine="8"/>
        <w:spacing w:after="0" w:line="255" w:lineRule="auto"/>
        <w:tabs>
          <w:tab w:leader="none" w:pos="3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Business Days, Subsidiaries shall automatically be deemed designated as Significant Subsidiaries in descending order based on the amounts of their contributions to consolidated revenues or consolidated total assets, as the case may be, until such excess shall have been eliminated), and the Subsidiaries so designated or deemed designated shall for all purposes of this Note constitute Significant Subsidiaries.</w:t>
      </w: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Bank is subject for eurocurrency funding (currently referred to as “Eurocurrency Liabilities” in Regulation D of the Board). Such reserve percentages shall include those imposed pursuant to such Regulation D. The Loan shall be deemed to constitute eurocurrency funding and to be subject to such reserve requirements without benefit of or credit for proration, exemptions or offsets that may be available from time to time to the Bank under such Regulation D or any comparable regulation. The Statutory Reserve Rate shall be adjusted automatically on and as of the effective date of any change in any reserve percentage.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of the Borrower.</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Shares</w:t>
      </w:r>
      <w:r>
        <w:rPr>
          <w:rFonts w:ascii="Arial" w:cs="Arial" w:eastAsia="Arial" w:hAnsi="Arial"/>
          <w:sz w:val="18"/>
          <w:szCs w:val="18"/>
          <w:color w:val="auto"/>
        </w:rPr>
        <w:t>” shall mean, as to a particular corporation or other Person, outstanding shares of stock or other equity interests of any class of such Person entitled to vote in the election of directors, or otherwise to participate in the direction of the management and policies, of such Person, excluding shares or equity interests entitled so to vote or participate only upon the happening of some contingency.</w:t>
      </w:r>
    </w:p>
    <w:p>
      <w:pPr>
        <w:spacing w:after="0" w:line="21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Nothing in this Note obliges the Bank to do or omit to do anything if it would, or might in the Bank’s reasonable opinion, constitute a breach of any AML/CTF Laws applicable to the Bank. The Borrower will provide to the Bank all information and documents that are within its possession, custody or control reasonably required by the Bank in order for the Bank to comply with any AML/CTF Laws. The Borrower agrees that the Bank may disclose any information concerning it to any law enforcement entity, regulatory agency or court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required by any laws or regulations. The Borrower will exercise its rights and perform its obligations in connection with this Note and the Loan in accordance with all applicable AML/CTF Laws.</w:t>
      </w:r>
    </w:p>
    <w:p>
      <w:pPr>
        <w:spacing w:after="0" w:line="197" w:lineRule="exact"/>
        <w:rPr>
          <w:sz w:val="20"/>
          <w:szCs w:val="20"/>
          <w:color w:val="auto"/>
        </w:rPr>
      </w:pPr>
    </w:p>
    <w:p>
      <w:pPr>
        <w:jc w:val="both"/>
        <w:ind w:firstLine="423"/>
        <w:spacing w:after="0" w:line="277" w:lineRule="auto"/>
        <w:rPr>
          <w:sz w:val="20"/>
          <w:szCs w:val="20"/>
          <w:color w:val="auto"/>
        </w:rPr>
      </w:pPr>
      <w:r>
        <w:rPr>
          <w:rFonts w:ascii="Arial" w:cs="Arial" w:eastAsia="Arial" w:hAnsi="Arial"/>
          <w:sz w:val="18"/>
          <w:szCs w:val="18"/>
          <w:color w:val="auto"/>
        </w:rPr>
        <w:t>Except as expressly provided to the contrary herein, any communication, notice or demand to be given hereunder shall be duly given if delivered or mailed by certified or registered mail or sent by telex or fax as follows: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Borrower, at: Xylem,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 International Drive.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Rye Brook, NY 10573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mark.rajkowski@xyleminc.com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(914) 323-5952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E. Mark Rajkowski, Chief Financial Officer</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Bank, at: Australia and New Zealand Banking Group Limited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277 Park Avenue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10172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LoanAdminNYC1177AA2@ANZ.com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Fax: (212) 536-9625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Lending Operations</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Borrower agrees that the Bank may act upon telex, facsimile, email or .pdf instructions which are received by the Bank from persons purporting to be, or which instructions appear to be authorized by the Borrower. The Borrower further agrees to indemnify and hold the Bank harmless from any claims by virtue of the Bank’s acting upon such upon telex, facsimile, email or .pdf instructions as such instructions were understood by the Bank except for claims relating solely from the Bank’s gross negligence, fraud, material breach of this Note or willful misconduct. The Bank shall not be liable for any errors in transmission or the illegibility of any documents sent by telex, facsimile, email or as a .pdf. In the event the Borrower sends the Bank a manually signed confirmation of instructions previously sent by telex, facsimile, email or as a .pdf, the Bank shall have no duty to compare it against the previous instructions received by the Bank nor shall the Bank have any responsibility should the contents of the written confirmation differ from the telex, facsimile, email or .pdf instructions acted upon by the Bank.</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Borrower agrees to indemnify and hold harmless the Bank and its Affiliates, directors, officers, employees, attorneys and agents (each,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from and against any loss, cost, liability, damage or expense (including the reasonable and documented fees and disbursements of counsel of such Indemnified Person, including all local counsel hired by any such counsel) incurred by such Indemnified Person in investigating, preparing for, defending against, or providing evidence, producing documents or taking any other action in respect of, any commenced or threatened litigation, administrative proceeding or investigation under any federal securities law or any other statute of any jurisdiction, or any regulation, or at common law or otherwise, which is alleged to arise out of or is based upon (i) any untrue statement or alleged untrue statement of any material fact by the Borrower in any document or schedule executed or filed with any governmental authority by or on behalf of the Borrower; (ii) any omission or alleged omission to state any material fact required to be stated in such document or schedule, or necessary to make the statements made therein, in light of the circumstances under which made, not misleading; or (iii) any acts, practices or omissions or alleged acts, practices or omissions of the Borrower or its agents relating to the use of the proceeds of the Loan, or in violation of any federal securities law, AML/CTF Laws, Sanctions or of any other statute, regulation or other law of any jurisdiction applicable thereto. The indemnity set forth herein shall survive any payment of all Liabilities or termination of this Note.</w:t>
      </w:r>
    </w:p>
    <w:p>
      <w:pPr>
        <w:spacing w:after="0" w:line="19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provision of this Note shall require the payment or permit the collection of interest in excess of the maximum rate permitted by applicable New York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Borrower agrees to pay on demand all reasonable and documented costs and expenses incurred by the Bank in connection with the preparation, execution and delivery of this Note and any other documents appurtenant thereto, including without limitation, the reasonable and documented costs and expenses of the Bank’s counsel. The Borrower agrees to pay on demand all documented costs and expenses, if any, incurred by the Bank and the reasonable and documented costs and expenses of counsel for the Bank in connection with the enforcement of this Note.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may not be amended without the prior written consent of the Borrower and the Bank.</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provisions of this Note shall be binding upon and inure to the benefit of the parties hereto and their respective successors and assigns permitted hereby. The Borrower may not assign or otherwise transfer any of its rights or obligations hereunder without the prior written consent of the Bank (and any attempted assignment or transfer by the Borrower without such consent shall be null and void). The Bank may at any time assign to one or more Persons all or a portion of its rights and obligations under this Note (including all or a portion of the Loan at the time owing to it) with the prior written consent of the Borrower (such consent not to be unreasonably withheld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prior written consent shall not be required in the case of an assignment to an Affiliate of the Bank (as defined above) or if an Event of Default has occurred and is continuing at the time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be deemed to have consented to an assignment unless it shall have objected thereto by written notice to the Bank within ten Business Days after having received notice thereof.</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Bank, acting solely for this purpose as an agent of the Borrower, shall maintain a register for the recordation of the names and addresses of each Recipient and principal amounts (and stated interest) of the Loan owing to, each Recipient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and each Recipient shall treat each Person whose name is recorded in the Register pursuant to the terms hereof as a Recipient hereunder for all purposes of this Note. The Register shall be available for inspection by Borrower and any Recipient, at any reasonable time and from time to time upon reasonable prior notice. Each Recipient that sells a participation shall, acting solely for this purpose as an agent of the Borrower, maintain a register on which it enters the name and address of each participant and the principal amounts (and stated interest) of each participant’s interest in the Loan or other obligations under the Note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Recipient shall have any obligation to disclose all or any portion of the Participant Register (including the identity of any participant or any information relating to a participant’s interest in any obligations under the Note or any related document) to any Person except to the extent that such disclosure is necessary to establish that such obligation is in registered form under Section 5f.103-1(c) of the United States Treasury Regulations. The entries in the Participant Register shall be conclusive absent manifest error, and such Recipient shall treat each Person whose name is recorded in the Participant Register as the owner of such participation for all purposes of this Note notwithstanding any notice to the contrary.</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NOTE AND THE RIGHTS AND OBLIGATIONS OF THE BORROWER HEREUNDER SHALL BE GOVERNED BY AND CONSTRUED IN ACCORDANCE WITH THE LAWS OF THE STATE OF NEW YORK. EACH OF THE BORROWER AND THE BANK HEREBY IRREVOCABLY WAIVES ALL RIGHT OF TRIAL BY JURY IN ANY ACTION, PROCEEDING OR COUNTERCLAIM ARISING OUT OF OR IN CONNECTION WITH THIS NOTE OR ANY MATTER ARISING HEREUNDER. EACH OF THE BORROWER AND BANK SUBMIT TO THE EXCLUSIVE JURISDICTION OF THE STATE AND FEDERAL COURTS SITTING IN THE CITY OF NEW YORK TO RESOLVE ANY CLAIM OR DISPUTE ARISING HEREUNDER. THE BORROWER HEREBY EXPRESSLY WAIVES PRESENTMENT, PROTEST, NOTICE OF PROTEST AND/OR OF DEFAULT, NOTICE OF DISHONOR AND ALL OTHER NOTICES OR DEMANDS RELATING TO THIS NOTE.</w:t>
      </w: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Note may be executed in counterparts (and by different parties hereto on different counterparts), each of which shall constitute an original, but all of which when taken together shall constitute a single contract. Delivery of an executed counterpart of a signature page of this Note by telecopy, emailed pdf. or any other electronic means that reproduces an image of the actual executed signature page shall be effective as delivery of 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manually executed counterpart of this Note. The words “execution,” “signed,” “signature,” “delivery,” and words of like import in or relating to any document to be signed in connection with this Note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81" w:name="page82"/>
    <w:bookmarkEnd w:id="81"/>
    <w:p>
      <w:pPr>
        <w:ind w:firstLine="648"/>
        <w:spacing w:after="0" w:line="277" w:lineRule="auto"/>
        <w:rPr>
          <w:sz w:val="20"/>
          <w:szCs w:val="20"/>
          <w:color w:val="auto"/>
        </w:rPr>
      </w:pPr>
      <w:r>
        <w:rPr>
          <w:rFonts w:ascii="Arial" w:cs="Arial" w:eastAsia="Arial" w:hAnsi="Arial"/>
          <w:sz w:val="18"/>
          <w:szCs w:val="18"/>
          <w:color w:val="auto"/>
        </w:rPr>
        <w:t>IN WITNESS WHEREOF, the Borrower has caused this Note to be duly executed and delivered by an authorized officer as of the day and year first above written.</w:t>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Xylem Inc. </w:t>
      </w:r>
      <w:r>
        <w:rPr>
          <w:rFonts w:ascii="Arial" w:cs="Arial" w:eastAsia="Arial" w:hAnsi="Arial"/>
          <w:sz w:val="18"/>
          <w:szCs w:val="18"/>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 Mark Rajkowski</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E. Mark Rajkowski</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 Chief Financial Officer</w:t>
      </w:r>
    </w:p>
    <w:p>
      <w:pPr>
        <w:spacing w:after="0" w:line="23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ACCEPTED AND AGREED:</w:t>
      </w:r>
    </w:p>
    <w:p>
      <w:pPr>
        <w:spacing w:after="0" w:line="24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AUSTRALIA AND NEW ZEALAND BANKING GROUP LIMITED,</w:t>
      </w:r>
      <w:r>
        <w:rPr>
          <w:rFonts w:ascii="Arial" w:cs="Arial" w:eastAsia="Arial" w:hAnsi="Arial"/>
          <w:sz w:val="18"/>
          <w:szCs w:val="18"/>
          <w:color w:val="auto"/>
        </w:rPr>
        <w:t>as the Bank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Grillo</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Robert Grillo</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 Term Loan Note</w:t>
      </w:r>
    </w:p>
    <w:p>
      <w:pPr>
        <w:sectPr>
          <w:pgSz w:w="11900" w:h="16838" w:orient="portrait"/>
          <w:cols w:equalWidth="0" w:num="1">
            <w:col w:w="11220"/>
          </w:cols>
          <w:pgMar w:left="320" w:top="1421" w:right="35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800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Patrick K. Decker</w:t>
      </w:r>
    </w:p>
    <w:p>
      <w:pPr>
        <w:ind w:left="60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E. Mark Rajkowski, certify that:</w:t>
      </w:r>
    </w:p>
    <w:p>
      <w:pPr>
        <w:spacing w:after="0" w:line="117"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March 31, 2020;</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48"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20" w:hanging="328"/>
        <w:spacing w:after="0" w:line="256" w:lineRule="auto"/>
        <w:tabs>
          <w:tab w:leader="none" w:pos="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20" w:hanging="328"/>
        <w:spacing w:after="0" w:line="261" w:lineRule="auto"/>
        <w:tabs>
          <w:tab w:leader="none" w:pos="65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E. Mark Rajkowski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800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8"/>
          <w:szCs w:val="18"/>
          <w:color w:val="auto"/>
        </w:rPr>
        <w:t>E. Mark Rajkowski</w:t>
      </w:r>
    </w:p>
    <w:p>
      <w:pPr>
        <w:ind w:left="60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2020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94"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375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5, 2020</w:t>
      </w:r>
    </w:p>
    <w:p>
      <w:pPr>
        <w:spacing w:after="0" w:line="1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the Quarterly Report on Form 10-Q of Xylem Inc. (the “Company”) for the period ended March 31, 2020 as filed with the Securities and Exchange Commission on the date hereof (the “Report”), I, E. Mark Rajkowski, Senior Vice President and Chief Financial Officer of the Company, certify, pursuant to 18 U.S.C. 1350, as adopted pursuant to 906 of the Sarbanes-Oxley Act of 2002, to my knowledge, that:</w:t>
      </w:r>
    </w:p>
    <w:p>
      <w:pPr>
        <w:spacing w:after="0" w:line="96"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 Mark Rajkowski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31375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 Mark Rajkowski</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5, 2020</w:t>
      </w:r>
    </w:p>
    <w:p>
      <w:pPr>
        <w:spacing w:after="0" w:line="13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lowerLetter"/>
      <w:start w:val="1"/>
    </w:lvl>
  </w:abstractNum>
  <w:abstractNum w:abstractNumId="3">
    <w:nsid w:val="1BA026FA"/>
    <w:multiLevelType w:val="hybridMultilevel"/>
    <w:lvl w:ilvl="0">
      <w:lvlJc w:val="left"/>
      <w:lvlText w:val="(%1)"/>
      <w:numFmt w:val="lowerLetter"/>
      <w:start w:val="1"/>
    </w:lvl>
  </w:abstractNum>
  <w:abstractNum w:abstractNumId="4">
    <w:nsid w:val="79A1DEAA"/>
    <w:multiLevelType w:val="hybridMultilevel"/>
    <w:lvl w:ilvl="0">
      <w:lvlJc w:val="left"/>
      <w:lvlText w:val="(%1)"/>
      <w:numFmt w:val="lowerLetter"/>
      <w:start w:val="1"/>
    </w:lvl>
  </w:abstractNum>
  <w:abstractNum w:abstractNumId="5">
    <w:nsid w:val="75C6C33A"/>
    <w:multiLevelType w:val="hybridMultilevel"/>
    <w:lvl w:ilvl="0">
      <w:lvlJc w:val="left"/>
      <w:lvlText w:val="(%1)"/>
      <w:numFmt w:val="lowerLetter"/>
      <w:start w:val="1"/>
    </w:lvl>
  </w:abstractNum>
  <w:abstractNum w:abstractNumId="6">
    <w:nsid w:val="12E685FB"/>
    <w:multiLevelType w:val="hybridMultilevel"/>
    <w:lvl w:ilvl="0">
      <w:lvlJc w:val="left"/>
      <w:lvlText w:val="(%1)"/>
      <w:numFmt w:val="lowerLetter"/>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lowerLetter"/>
      <w:start w:val="1"/>
    </w:lvl>
  </w:abstractNum>
  <w:abstractNum w:abstractNumId="14">
    <w:nsid w:val="39386575"/>
    <w:multiLevelType w:val="hybridMultilevel"/>
    <w:lvl w:ilvl="0">
      <w:lvlJc w:val="left"/>
      <w:lvlText w:val="(%1)"/>
      <w:numFmt w:val="lowerLetter"/>
      <w:start w:val="1"/>
    </w:lvl>
  </w:abstractNum>
  <w:abstractNum w:abstractNumId="15">
    <w:nsid w:val="1CF10FD8"/>
    <w:multiLevelType w:val="hybridMultilevel"/>
    <w:lvl w:ilvl="0">
      <w:lvlJc w:val="left"/>
      <w:lvlText w:val="(%1)"/>
      <w:numFmt w:val="lowerLetter"/>
      <w:start w:val="1"/>
    </w:lvl>
  </w:abstractNum>
  <w:abstractNum w:abstractNumId="16">
    <w:nsid w:val="180115BE"/>
    <w:multiLevelType w:val="hybridMultilevel"/>
    <w:lvl w:ilvl="0">
      <w:lvlJc w:val="left"/>
      <w:lvlText w:val="(%1)"/>
      <w:numFmt w:val="lowerRoman"/>
      <w:start w:val="2"/>
    </w:lvl>
  </w:abstractNum>
  <w:abstractNum w:abstractNumId="17">
    <w:nsid w:val="235BA861"/>
    <w:multiLevelType w:val="hybridMultilevel"/>
    <w:lvl w:ilvl="0">
      <w:lvlJc w:val="left"/>
      <w:lvlText w:val="(%1)"/>
      <w:numFmt w:val="lowerLetter"/>
      <w:start w:val="1"/>
    </w:lvl>
  </w:abstractNum>
  <w:abstractNum w:abstractNumId="18">
    <w:nsid w:val="47398C89"/>
    <w:multiLevelType w:val="hybridMultilevel"/>
    <w:lvl w:ilvl="0">
      <w:lvlJc w:val="left"/>
      <w:lvlText w:val="(%1)"/>
      <w:numFmt w:val="lowerRoman"/>
      <w:start w:val="2"/>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1)"/>
      <w:numFmt w:val="lowerLetter"/>
      <w:start w:val="1"/>
    </w:lvl>
  </w:abstractNum>
  <w:abstractNum w:abstractNumId="23">
    <w:nsid w:val="10233C99"/>
    <w:multiLevelType w:val="hybridMultilevel"/>
    <w:lvl w:ilvl="0">
      <w:lvlJc w:val="left"/>
      <w:lvlText w:val="(%1)"/>
      <w:numFmt w:val="lowerLetter"/>
      <w:start w:val="1"/>
    </w:lvl>
  </w:abstractNum>
  <w:abstractNum w:abstractNumId="24">
    <w:nsid w:val="3F6AB60F"/>
    <w:multiLevelType w:val="hybridMultilevel"/>
    <w:lvl w:ilvl="0">
      <w:lvlJc w:val="left"/>
      <w:lvlText w:val="(%1)"/>
      <w:numFmt w:val="lowerLetter"/>
      <w:start w:val="1"/>
    </w:lvl>
  </w:abstractNum>
  <w:abstractNum w:abstractNumId="25">
    <w:nsid w:val="61574095"/>
    <w:multiLevelType w:val="hybridMultilevel"/>
    <w:lvl w:ilvl="0">
      <w:lvlJc w:val="left"/>
      <w:lvlText w:val="(%1)"/>
      <w:numFmt w:val="lowerLetter"/>
      <w:start w:val="1"/>
    </w:lvl>
  </w:abstractNum>
  <w:abstractNum w:abstractNumId="26">
    <w:nsid w:val="7E0C57B1"/>
    <w:multiLevelType w:val="hybridMultilevel"/>
    <w:lvl w:ilvl="0">
      <w:lvlJc w:val="left"/>
      <w:lvlText w:val="%1."/>
      <w:numFmt w:val="decimal"/>
      <w:start w:val="2"/>
    </w:lvl>
  </w:abstractNum>
  <w:abstractNum w:abstractNumId="27">
    <w:nsid w:val="77AE35EB"/>
    <w:multiLevelType w:val="hybridMultilevel"/>
    <w:lvl w:ilvl="0">
      <w:lvlJc w:val="left"/>
      <w:lvlText w:val="%1."/>
      <w:numFmt w:val="decimal"/>
      <w:start w:val="3"/>
    </w:lvl>
  </w:abstractNum>
  <w:abstractNum w:abstractNumId="28">
    <w:nsid w:val="579BE4F1"/>
    <w:multiLevelType w:val="hybridMultilevel"/>
    <w:lvl w:ilvl="0">
      <w:lvlJc w:val="left"/>
      <w:lvlText w:val="%1."/>
      <w:numFmt w:val="decimal"/>
      <w:start w:val="4"/>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decimal"/>
      <w:start w:val="5"/>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2"/>
    </w:lvl>
  </w:abstractNum>
  <w:abstractNum w:abstractNumId="33">
    <w:nsid w:val="1DBABF00"/>
    <w:multiLevelType w:val="hybridMultilevel"/>
    <w:lvl w:ilvl="0">
      <w:lvlJc w:val="left"/>
      <w:lvlText w:val="(%1)"/>
      <w:numFmt w:val="lowerLetter"/>
      <w:start w:val="1"/>
    </w:lvl>
  </w:abstractNum>
  <w:abstractNum w:abstractNumId="34">
    <w:nsid w:val="4AD084E9"/>
    <w:multiLevelType w:val="hybridMultilevel"/>
    <w:lvl w:ilvl="0">
      <w:lvlJc w:val="left"/>
      <w:lvlText w:val="(%1)"/>
      <w:numFmt w:val="lowerRoman"/>
      <w:start w:val="1"/>
    </w:lvl>
  </w:abstractNum>
  <w:abstractNum w:abstractNumId="35">
    <w:nsid w:val="1F48EAA1"/>
    <w:multiLevelType w:val="hybridMultilevel"/>
    <w:lvl w:ilvl="0">
      <w:lvlJc w:val="left"/>
      <w:lvlText w:val="(%1)"/>
      <w:numFmt w:val="lowerLetter"/>
      <w:start w:val="1"/>
    </w:lvl>
  </w:abstractNum>
  <w:abstractNum w:abstractNumId="36">
    <w:nsid w:val="1381823A"/>
    <w:multiLevelType w:val="hybridMultilevel"/>
    <w:lvl w:ilvl="0">
      <w:lvlJc w:val="left"/>
      <w:lvlText w:val="%1."/>
      <w:numFmt w:val="decimal"/>
      <w:start w:val="6"/>
    </w:lvl>
  </w:abstractNum>
  <w:abstractNum w:abstractNumId="37">
    <w:nsid w:val="5DB70AE5"/>
    <w:multiLevelType w:val="hybridMultilevel"/>
    <w:lvl w:ilvl="0">
      <w:lvlJc w:val="left"/>
      <w:lvlText w:val="(%1)"/>
      <w:numFmt w:val="lowerLetter"/>
      <w:start w:val="1"/>
    </w:lvl>
  </w:abstractNum>
  <w:abstractNum w:abstractNumId="38">
    <w:nsid w:val="100F8FCA"/>
    <w:multiLevelType w:val="hybridMultilevel"/>
    <w:lvl w:ilvl="0">
      <w:lvlJc w:val="left"/>
      <w:lvlText w:val="%1."/>
      <w:numFmt w:val="decimal"/>
      <w:start w:val="7"/>
    </w:lvl>
  </w:abstractNum>
  <w:abstractNum w:abstractNumId="39">
    <w:nsid w:val="6590700B"/>
    <w:multiLevelType w:val="hybridMultilevel"/>
    <w:lvl w:ilvl="0">
      <w:lvlJc w:val="left"/>
      <w:lvlText w:val="(%1)"/>
      <w:numFmt w:val="lowerLetter"/>
      <w:start w:val="1"/>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decimal"/>
      <w:start w:val="8"/>
    </w:lvl>
  </w:abstractNum>
  <w:abstractNum w:abstractNumId="42">
    <w:nsid w:val="98A3148"/>
    <w:multiLevelType w:val="hybridMultilevel"/>
    <w:lvl w:ilvl="0">
      <w:lvlJc w:val="left"/>
      <w:lvlText w:val="(%1)"/>
      <w:numFmt w:val="lowerLetter"/>
      <w:start w:val="1"/>
    </w:lvl>
    <w:lvl w:ilvl="1">
      <w:lvlJc w:val="left"/>
      <w:lvlText w:val="%2."/>
      <w:numFmt w:val="lowerRoman"/>
      <w:start w:val="1"/>
    </w:lvl>
  </w:abstractNum>
  <w:abstractNum w:abstractNumId="43">
    <w:nsid w:val="799D0247"/>
    <w:multiLevelType w:val="hybridMultilevel"/>
    <w:lvl w:ilvl="0">
      <w:lvlJc w:val="left"/>
      <w:lvlText w:val="%1"/>
      <w:numFmt w:val="lowerLetter"/>
      <w:start w:val="1"/>
    </w:lvl>
    <w:lvl w:ilvl="1">
      <w:lvlJc w:val="left"/>
      <w:lvlText w:val="%2."/>
      <w:numFmt w:val="lowerRoman"/>
      <w:start w:val="2"/>
    </w:lvl>
  </w:abstractNum>
  <w:abstractNum w:abstractNumId="44">
    <w:nsid w:val="6B94764"/>
    <w:multiLevelType w:val="hybridMultilevel"/>
    <w:lvl w:ilvl="0">
      <w:lvlJc w:val="left"/>
      <w:lvlText w:val="(%1)"/>
      <w:numFmt w:val="lowerLetter"/>
      <w:start w:val="3"/>
    </w:lvl>
    <w:lvl w:ilvl="1">
      <w:lvlJc w:val="left"/>
      <w:lvlText w:val="%2."/>
      <w:numFmt w:val="lowerRoman"/>
      <w:start w:val="1"/>
    </w:lvl>
  </w:abstractNum>
  <w:abstractNum w:abstractNumId="45">
    <w:nsid w:val="42C296BD"/>
    <w:multiLevelType w:val="hybridMultilevel"/>
    <w:lvl w:ilvl="0">
      <w:lvlJc w:val="left"/>
      <w:lvlText w:val="(%1)"/>
      <w:numFmt w:val="lowerLetter"/>
      <w:start w:val="1"/>
    </w:lvl>
    <w:lvl w:ilvl="1">
      <w:lvlJc w:val="left"/>
      <w:lvlText w:val="%2."/>
      <w:numFmt w:val="lowerRoman"/>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decimal"/>
      <w:start w:val="9"/>
    </w:lvl>
  </w:abstractNum>
  <w:abstractNum w:abstractNumId="48">
    <w:nsid w:val="661E3F1E"/>
    <w:multiLevelType w:val="hybridMultilevel"/>
    <w:lvl w:ilvl="0">
      <w:lvlJc w:val="left"/>
      <w:lvlText w:val="%1."/>
      <w:numFmt w:val="decimal"/>
      <w:start w:val="10"/>
    </w:lvl>
  </w:abstractNum>
  <w:abstractNum w:abstractNumId="49">
    <w:nsid w:val="5DC79EA8"/>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50">
    <w:nsid w:val="540A471C"/>
    <w:multiLevelType w:val="hybridMultilevel"/>
    <w:lvl w:ilvl="0">
      <w:lvlJc w:val="left"/>
      <w:lvlText w:val="(%1)"/>
      <w:numFmt w:val="lowerLetter"/>
      <w:start w:val="1"/>
    </w:lvl>
    <w:lvl w:ilvl="1">
      <w:lvlJc w:val="left"/>
      <w:lvlText w:val="%2."/>
      <w:numFmt w:val="lowerRoman"/>
      <w:start w:val="1"/>
    </w:lvl>
  </w:abstractNum>
  <w:abstractNum w:abstractNumId="51">
    <w:nsid w:val="7BD3EE7B"/>
    <w:multiLevelType w:val="hybridMultilevel"/>
    <w:lvl w:ilvl="0">
      <w:lvlJc w:val="left"/>
      <w:lvlText w:val="(%1)"/>
      <w:numFmt w:val="lowerLetter"/>
      <w:start w:val="1"/>
    </w:lvl>
    <w:lvl w:ilvl="1">
      <w:lvlJc w:val="left"/>
      <w:lvlText w:val="%2."/>
      <w:numFmt w:val="lowerRoman"/>
      <w:start w:val="1"/>
    </w:lvl>
  </w:abstractNum>
  <w:abstractNum w:abstractNumId="52">
    <w:nsid w:val="51D9C564"/>
    <w:multiLevelType w:val="hybridMultilevel"/>
    <w:lvl w:ilvl="0">
      <w:lvlJc w:val="left"/>
      <w:lvlText w:val="%1"/>
      <w:numFmt w:val="lowerRoman"/>
      <w:start w:val="1"/>
    </w:lvl>
    <w:lvl w:ilvl="1">
      <w:lvlJc w:val="left"/>
      <w:lvlText w:val="%2."/>
      <w:numFmt w:val="lowerRoman"/>
      <w:start w:val="2"/>
    </w:lvl>
  </w:abstractNum>
  <w:abstractNum w:abstractNumId="53">
    <w:nsid w:val="613EFDC5"/>
    <w:multiLevelType w:val="hybridMultilevel"/>
    <w:lvl w:ilvl="0">
      <w:lvlJc w:val="left"/>
      <w:lvlText w:val="%1."/>
      <w:numFmt w:val="lowerRoman"/>
      <w:start w:val="4"/>
    </w:lvl>
    <w:lvl w:ilvl="1">
      <w:lvlJc w:val="left"/>
      <w:lvlText w:val="%2"/>
      <w:numFmt w:val="lowerRoman"/>
      <w:start w:val="1"/>
    </w:lvl>
  </w:abstractNum>
  <w:abstractNum w:abstractNumId="54">
    <w:nsid w:val="BF72B14"/>
    <w:multiLevelType w:val="hybridMultilevel"/>
    <w:lvl w:ilvl="0">
      <w:lvlJc w:val="left"/>
      <w:lvlText w:val="(%1)"/>
      <w:numFmt w:val="lowerLetter"/>
      <w:start w:val="1"/>
    </w:lvl>
    <w:lvl w:ilvl="1">
      <w:lvlJc w:val="left"/>
      <w:lvlText w:val="%2."/>
      <w:numFmt w:val="lowerRoman"/>
      <w:start w:val="1"/>
    </w:lvl>
  </w:abstractNum>
  <w:abstractNum w:abstractNumId="55">
    <w:nsid w:val="11447B73"/>
    <w:multiLevelType w:val="hybridMultilevel"/>
    <w:lvl w:ilvl="0">
      <w:lvlJc w:val="left"/>
      <w:lvlText w:val="(%1)"/>
      <w:numFmt w:val="lowerLetter"/>
      <w:start w:val="1"/>
    </w:lvl>
    <w:lvl w:ilvl="1">
      <w:lvlJc w:val="left"/>
      <w:lvlText w:val="%2."/>
      <w:numFmt w:val="lowerRoman"/>
      <w:start w:val="1"/>
    </w:lvl>
  </w:abstractNum>
  <w:abstractNum w:abstractNumId="56">
    <w:nsid w:val="42963E5A"/>
    <w:multiLevelType w:val="hybridMultilevel"/>
    <w:lvl w:ilvl="0">
      <w:lvlJc w:val="left"/>
      <w:lvlText w:val="%1."/>
      <w:numFmt w:val="decimal"/>
      <w:start w:val="11"/>
    </w:lvl>
  </w:abstractNum>
  <w:abstractNum w:abstractNumId="57">
    <w:nsid w:val="A0382C5"/>
    <w:multiLevelType w:val="hybridMultilevel"/>
    <w:lvl w:ilvl="0">
      <w:lvlJc w:val="left"/>
      <w:lvlText w:val="(%1)"/>
      <w:numFmt w:val="lowerRoman"/>
      <w:start w:val="1"/>
    </w:lvl>
  </w:abstractNum>
  <w:abstractNum w:abstractNumId="58">
    <w:nsid w:val="8F2B15E"/>
    <w:multiLevelType w:val="hybridMultilevel"/>
    <w:lvl w:ilvl="0">
      <w:lvlJc w:val="left"/>
      <w:lvlText w:val="%1."/>
      <w:numFmt w:val="decimal"/>
      <w:start w:val="12"/>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1"/>
    </w:lvl>
  </w:abstractNum>
  <w:abstractNum w:abstractNumId="62">
    <w:nsid w:val="4962813B"/>
    <w:multiLevelType w:val="hybridMultilevel"/>
    <w:lvl w:ilvl="0">
      <w:lvlJc w:val="left"/>
      <w:lvlText w:val="(%1)"/>
      <w:numFmt w:val="lowerLetter"/>
      <w:start w:val="2"/>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decimal"/>
      <w:start w:val="13"/>
    </w:lvl>
  </w:abstractNum>
  <w:abstractNum w:abstractNumId="65">
    <w:nsid w:val="14330624"/>
    <w:multiLevelType w:val="hybridMultilevel"/>
    <w:lvl w:ilvl="0">
      <w:lvlJc w:val="left"/>
      <w:lvlText w:val="(%1)"/>
      <w:numFmt w:val="lowerLetter"/>
      <w:start w:val="1"/>
    </w:lvl>
    <w:lvl w:ilvl="1">
      <w:lvlJc w:val="left"/>
      <w:lvlText w:val="%2)"/>
      <w:numFmt w:val="lowerRoman"/>
      <w:start w:val="1"/>
    </w:lvl>
  </w:abstractNum>
  <w:abstractNum w:abstractNumId="66">
    <w:nsid w:val="7FFFCA11"/>
    <w:multiLevelType w:val="hybridMultilevel"/>
    <w:lvl w:ilvl="0">
      <w:lvlJc w:val="left"/>
      <w:lvlText w:val="%1."/>
      <w:numFmt w:val="decimal"/>
      <w:start w:val="14"/>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decimal"/>
      <w:start w:val="15"/>
    </w:lvl>
  </w:abstractNum>
  <w:abstractNum w:abstractNumId="69">
    <w:nsid w:val="100F59DC"/>
    <w:multiLevelType w:val="hybridMultilevel"/>
    <w:lvl w:ilvl="0">
      <w:lvlJc w:val="left"/>
      <w:lvlText w:val="(%1)"/>
      <w:numFmt w:val="lowerLetter"/>
      <w:start w:val="1"/>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decimal"/>
      <w:start w:val="16"/>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decimal"/>
      <w:start w:val="17"/>
    </w:lvl>
  </w:abstractNum>
  <w:abstractNum w:abstractNumId="74">
    <w:nsid w:val="885E1B"/>
    <w:multiLevelType w:val="hybridMultilevel"/>
    <w:lvl w:ilvl="0">
      <w:lvlJc w:val="left"/>
      <w:lvlText w:val="%1."/>
      <w:numFmt w:val="decimal"/>
      <w:start w:val="18"/>
    </w:lvl>
  </w:abstractNum>
  <w:abstractNum w:abstractNumId="75">
    <w:nsid w:val="76272110"/>
    <w:multiLevelType w:val="hybridMultilevel"/>
    <w:lvl w:ilvl="0">
      <w:lvlJc w:val="left"/>
      <w:lvlText w:val="(%1)"/>
      <w:numFmt w:val="lowerLetter"/>
      <w:start w:val="1"/>
    </w:lvl>
  </w:abstractNum>
  <w:abstractNum w:abstractNumId="76">
    <w:nsid w:val="4C04A8AF"/>
    <w:multiLevelType w:val="hybridMultilevel"/>
    <w:lvl w:ilvl="0">
      <w:lvlJc w:val="left"/>
      <w:lvlText w:val="%1."/>
      <w:numFmt w:val="decimal"/>
      <w:start w:val="19"/>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4"/>
    </w:lvl>
  </w:abstractNum>
  <w:abstractNum w:abstractNumId="80">
    <w:nsid w:val="74DE0EE3"/>
    <w:multiLevelType w:val="hybridMultilevel"/>
    <w:lvl w:ilvl="0">
      <w:lvlJc w:val="left"/>
      <w:lvlText w:val="%1."/>
      <w:numFmt w:val="decimal"/>
      <w:start w:val="20"/>
    </w:lvl>
  </w:abstractNum>
  <w:abstractNum w:abstractNumId="81">
    <w:nsid w:val="68EBC550"/>
    <w:multiLevelType w:val="hybridMultilevel"/>
    <w:lvl w:ilvl="0">
      <w:lvlJc w:val="left"/>
      <w:lvlText w:val="%1."/>
      <w:numFmt w:val="decimal"/>
      <w:start w:val="21"/>
    </w:lvl>
  </w:abstractNum>
  <w:abstractNum w:abstractNumId="82">
    <w:nsid w:val="2DF6D648"/>
    <w:multiLevelType w:val="hybridMultilevel"/>
    <w:lvl w:ilvl="0">
      <w:lvlJc w:val="left"/>
      <w:lvlText w:val="(%1)"/>
      <w:numFmt w:val="lowerLetter"/>
      <w:start w:val="1"/>
    </w:lvl>
  </w:abstractNum>
  <w:abstractNum w:abstractNumId="83">
    <w:nsid w:val="46B7D447"/>
    <w:multiLevelType w:val="hybridMultilevel"/>
    <w:lvl w:ilvl="0">
      <w:lvlJc w:val="left"/>
      <w:lvlText w:val="%1."/>
      <w:numFmt w:val="decimal"/>
      <w:start w:val="22"/>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decimal"/>
      <w:start w:val="23"/>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lowerLetter"/>
      <w:start w:val="1"/>
    </w:lvl>
    <w:lvl w:ilvl="1">
      <w:lvlJc w:val="left"/>
      <w:lvlText w:val="(%2)"/>
      <w:numFmt w:val="lowerRoman"/>
      <w:start w:val="1"/>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lowerLetter"/>
      <w:start w:val="4"/>
    </w:lvl>
  </w:abstractNum>
  <w:abstractNum w:abstractNumId="91">
    <w:nsid w:val="7F01579B"/>
    <w:multiLevelType w:val="hybridMultilevel"/>
    <w:lvl w:ilvl="0">
      <w:lvlJc w:val="left"/>
      <w:lvlText w:val="%1."/>
      <w:numFmt w:val="decimal"/>
      <w:start w:val="1"/>
    </w:lvl>
    <w:lvl w:ilvl="1">
      <w:lvlJc w:val="left"/>
      <w:lvlText w:val="%2."/>
      <w:numFmt w:val="lowerLetter"/>
      <w:start w:val="1"/>
    </w:lvl>
  </w:abstractNum>
  <w:abstractNum w:abstractNumId="92">
    <w:nsid w:val="49DA307D"/>
    <w:multiLevelType w:val="hybridMultilevel"/>
    <w:lvl w:ilvl="0">
      <w:lvlJc w:val="left"/>
      <w:lvlText w:val="(%1)"/>
      <w:numFmt w:val="lowerRoman"/>
      <w:start w:val="1"/>
    </w:lvl>
  </w:abstractNum>
  <w:abstractNum w:abstractNumId="93">
    <w:nsid w:val="7055A5F5"/>
    <w:multiLevelType w:val="hybridMultilevel"/>
    <w:lvl w:ilvl="0">
      <w:lvlJc w:val="left"/>
      <w:lvlText w:val="(%1)"/>
      <w:numFmt w:val="decimal"/>
      <w:start w:val="10"/>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jpeg"/><Relationship Id="rId95" Type="http://schemas.openxmlformats.org/officeDocument/2006/relationships/image" Target="media/image86.jpeg"/><Relationship Id="rId96" Type="http://schemas.openxmlformats.org/officeDocument/2006/relationships/image" Target="media/image87.jpeg"/><Relationship Id="rId97" Type="http://schemas.openxmlformats.org/officeDocument/2006/relationships/image" Target="media/image88.jpeg"/><Relationship Id="rId98" Type="http://schemas.openxmlformats.org/officeDocument/2006/relationships/image" Target="media/image89.jpeg"/><Relationship Id="rId99" Type="http://schemas.openxmlformats.org/officeDocument/2006/relationships/image" Target="media/image90.jpeg"/><Relationship Id="rId100" Type="http://schemas.openxmlformats.org/officeDocument/2006/relationships/image" Target="media/image91.jpe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jpe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82" Type="http://schemas.openxmlformats.org/officeDocument/2006/relationships/hyperlink" Target="http://www.sec.gov/Archives/edgar/data/1524472/000152447217000027/a8-k31xcharter.htm" TargetMode="External"/><Relationship Id="rId83"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2020-05-05T12:31:09Z</dcterms:created>
  <dcterms:modified xsi:type="dcterms:W3CDTF">2020-05-05T12:31:09Z</dcterms:modified>
</cp:coreProperties>
</file>