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660" w:right="800" w:hanging="3634"/>
        <w:spacing w:after="0" w:line="461" w:lineRule="auto"/>
        <w:tabs>
          <w:tab w:leader="none" w:pos="12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4"/>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2"/>
                <w:szCs w:val="22"/>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13"/>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6" w:lineRule="exact"/>
        <w:rPr>
          <w:sz w:val="20"/>
          <w:szCs w:val="20"/>
          <w:color w:val="auto"/>
        </w:rPr>
      </w:pPr>
    </w:p>
    <w:p>
      <w:pPr>
        <w:ind w:right="540"/>
        <w:spacing w:after="0" w:line="29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26, 2024, there were 242,447,263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740" w:type="dxa"/>
            <w:vAlign w:val="bottom"/>
            <w:gridSpan w:val="10"/>
          </w:tcPr>
          <w:p>
            <w:pPr>
              <w:jc w:val="center"/>
              <w:ind w:right="346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00" w:type="dxa"/>
            <w:vAlign w:val="bottom"/>
            <w:gridSpan w:val="15"/>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60" w:type="dxa"/>
            <w:vAlign w:val="bottom"/>
            <w:gridSpan w:val="14"/>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sz w:val="20"/>
                <w:szCs w:val="20"/>
                <w:color w:val="auto"/>
              </w:rPr>
            </w:pPr>
            <w:r>
              <w:rPr>
                <w:rFonts w:ascii="Arial" w:cs="Arial" w:eastAsia="Arial" w:hAnsi="Arial"/>
                <w:sz w:val="18"/>
                <w:szCs w:val="18"/>
                <w:color w:val="0000FF"/>
              </w:rPr>
              <w:t>Condensed Consolidated Income Statements for the Three Months Ended March 31, 2024</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(Unaudited)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Ended</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March 31, 2024 and 2023 (Unaudited)</w:t>
            </w: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Balance Sheets as of March 31, 2024 and December 31, 2023</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vMerge w:val="continue"/>
          </w:tcPr>
          <w:p>
            <w:pPr>
              <w:spacing w:after="0"/>
              <w:rPr>
                <w:sz w:val="17"/>
                <w:szCs w:val="17"/>
                <w:color w:val="auto"/>
              </w:rPr>
            </w:pP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(Unaudited)</w:t>
            </w:r>
          </w:p>
        </w:tc>
        <w:tc>
          <w:tcPr>
            <w:tcW w:w="240" w:type="dxa"/>
            <w:vAlign w:val="bottom"/>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Three Months Ended March 31,</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2024 and 2023 (Unaudited)</w:t>
            </w:r>
          </w:p>
        </w:tc>
        <w:tc>
          <w:tcPr>
            <w:tcW w:w="3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gridSpan w:val="3"/>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620" w:type="dxa"/>
            <w:vAlign w:val="bottom"/>
            <w:tcBorders>
              <w:left w:val="single" w:sz="8" w:color="0000FF"/>
            </w:tcBorders>
            <w:gridSpan w:val="2"/>
            <w:shd w:val="clear" w:color="auto" w:fill="0000FF"/>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720" w:type="dxa"/>
            <w:vAlign w:val="bottom"/>
            <w:gridSpan w:val="4"/>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4"/>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20" w:type="dxa"/>
            <w:vAlign w:val="bottom"/>
            <w:gridSpan w:val="7"/>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4"/>
          </w:tcPr>
          <w:p>
            <w:pPr>
              <w:spacing w:after="0"/>
              <w:rPr>
                <w:sz w:val="18"/>
                <w:szCs w:val="18"/>
                <w:color w:val="auto"/>
              </w:rPr>
            </w:pPr>
          </w:p>
        </w:tc>
        <w:tc>
          <w:tcPr>
            <w:tcW w:w="3080" w:type="dxa"/>
            <w:vAlign w:val="bottom"/>
            <w:gridSpan w:val="9"/>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00" w:type="dxa"/>
            <w:vAlign w:val="bottom"/>
            <w:gridSpan w:val="15"/>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00" w:type="dxa"/>
            <w:vAlign w:val="bottom"/>
            <w:gridSpan w:val="15"/>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5240" w:type="dxa"/>
            <w:vAlign w:val="bottom"/>
            <w:gridSpan w:val="11"/>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5860" w:type="dxa"/>
            <w:vAlign w:val="bottom"/>
            <w:gridSpan w:val="13"/>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00" w:type="dxa"/>
            <w:vAlign w:val="bottom"/>
            <w:gridSpan w:val="16"/>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6420" w:type="dxa"/>
            <w:vAlign w:val="bottom"/>
          </w:tcPr>
          <w:p>
            <w:pPr>
              <w:ind w:left="4080"/>
              <w:spacing w:after="0"/>
              <w:rPr>
                <w:sz w:val="20"/>
                <w:szCs w:val="20"/>
                <w:color w:val="auto"/>
              </w:rPr>
            </w:pPr>
            <w:r>
              <w:rPr>
                <w:rFonts w:ascii="Arial" w:cs="Arial" w:eastAsia="Arial" w:hAnsi="Arial"/>
                <w:sz w:val="18"/>
                <w:szCs w:val="18"/>
                <w:b w:val="1"/>
                <w:bCs w:val="1"/>
                <w:color w:val="auto"/>
              </w:rPr>
              <w:t>PART I</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XYLEM INC. AND SUBSIDIARIES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CONDENSED CONSOLIDATED INCOME STATEMENTS (Unaudited)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from services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Cost of revenue from products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on sale of businesses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1"/>
        </w:trPr>
        <w:tc>
          <w:tcPr>
            <w:tcW w:w="126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64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64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sz w:val="20"/>
                <w:szCs w:val="20"/>
                <w:color w:val="auto"/>
              </w:rPr>
            </w:pPr>
            <w:r>
              <w:rPr>
                <w:rFonts w:ascii="Arial" w:cs="Arial" w:eastAsia="Arial" w:hAnsi="Arial"/>
                <w:sz w:val="18"/>
                <w:szCs w:val="18"/>
                <w:color w:val="auto"/>
              </w:rPr>
              <w:t>Basic</w:t>
            </w:r>
          </w:p>
        </w:tc>
        <w:tc>
          <w:tcPr>
            <w:tcW w:w="6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Amount of loss reclassified into net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Amortization of actuarial (gain) loss into net income</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4"/>
        </w:trPr>
        <w:tc>
          <w:tcPr>
            <w:tcW w:w="76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$46 and $56 in</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360"/>
              <w:spacing w:after="0"/>
              <w:rPr>
                <w:sz w:val="20"/>
                <w:szCs w:val="20"/>
                <w:color w:val="auto"/>
              </w:rPr>
            </w:pPr>
            <w:r>
              <w:rPr>
                <w:rFonts w:ascii="Arial" w:cs="Arial" w:eastAsia="Arial" w:hAnsi="Arial"/>
                <w:sz w:val="18"/>
                <w:szCs w:val="18"/>
                <w:color w:val="auto"/>
              </w:rPr>
              <w:t>2024 and 2023, respectively</w:t>
            </w:r>
          </w:p>
        </w:tc>
        <w:tc>
          <w:tcPr>
            <w:tcW w:w="3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Authorized 750.0 shares, issued 258.6 shares and 257.6 shares in 2024 and 2023,</w:t>
            </w:r>
          </w:p>
        </w:tc>
        <w:tc>
          <w:tcPr>
            <w:tcW w:w="3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Treasury stock – at cost 16.1 shares and 16.0 shares in 2024 and 2023, respectively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sale of business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restructuring</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receivables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inventories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accounts payable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sale of business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received from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investments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received from cross-currency swaps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6"/>
                <w:szCs w:val="16"/>
                <w:color w:val="auto"/>
              </w:rPr>
              <w:t>Long-term debt repaid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60"/>
              <w:spacing w:after="0"/>
              <w:rPr>
                <w:sz w:val="20"/>
                <w:szCs w:val="20"/>
                <w:color w:val="auto"/>
              </w:rPr>
            </w:pPr>
            <w:r>
              <w:rPr>
                <w:rFonts w:ascii="Arial" w:cs="Arial" w:eastAsia="Arial" w:hAnsi="Arial"/>
                <w:sz w:val="16"/>
                <w:szCs w:val="16"/>
                <w:color w:val="auto"/>
              </w:rPr>
              <w:t>Interest</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(net of refunds received)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Evoqua</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On May 24, 2023, Xylem completed the acquisition of Evoqua Water Technologies Corp. (“Evoqua”). Refer to Note 3, "Acquisitions and Divestitures,"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2023 ("2023 Annual Report") in preparing these unaudited condensed consolidated financial statements. These condensed consolidated financial statements should be read in conjunction with the audited consolidated financial statements and the notes included in our 2023 Annual Report. Certain prior year amounts have been reclassified to conform to the current year presentation.</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announced a change to its reportable segments effective January 1, 2024, and as a result, is now reporting the financial position and results of operations of its former Integrated Solutions and Services segment together with the dewatering business, previously within our Water Infrastructure segment, and the assessment services business, previously within our Measurement and Control Solutions segment, in a new segment that is referred to as Water Solutions and Services. The Company’s Water Infrastructure reportable segment no longer includes the results of the dewatering business, and the Company’s Measurement and Control Solutions reportable segment no longer includes the results of the assessment services business. The Company's Applied Water reportable segment remains unchanged. As a result of the change, the Company has recast prior period segment amounts to align with the new segment reporting. The recast financial information reflects depreciation, amortization and share-based compensation specifically identified to the segments that were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 w:name="page9"/>
    <w:bookmarkEnd w:id="8"/>
    <w:p>
      <w:pPr>
        <w:ind w:right="140"/>
        <w:spacing w:after="0" w:line="287" w:lineRule="auto"/>
        <w:rPr>
          <w:sz w:val="20"/>
          <w:szCs w:val="20"/>
          <w:color w:val="auto"/>
        </w:rPr>
      </w:pPr>
      <w:r>
        <w:rPr>
          <w:rFonts w:ascii="Arial" w:cs="Arial" w:eastAsia="Arial" w:hAnsi="Arial"/>
          <w:sz w:val="18"/>
          <w:szCs w:val="18"/>
          <w:color w:val="auto"/>
        </w:rPr>
        <w:t>within Corporate and other and Regional selling locations as part of an overall allocation. These changes have no impact on the Company’s historical consolidated financial position or results of operations.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 xml:space="preserve">"Segment Reporting (Topic 280) Improvements to Reportable Segment Disclosures." </w:t>
      </w:r>
      <w:r>
        <w:rPr>
          <w:rFonts w:ascii="Arial" w:cs="Arial" w:eastAsia="Arial" w:hAnsi="Arial"/>
          <w:sz w:val="18"/>
          <w:szCs w:val="18"/>
          <w:color w:val="auto"/>
        </w:rPr>
        <w:t>This guidance requires disclosure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The standard is effective for fiscal years beginning after December 15, 2023, and interim periods within fiscal years beginning after December 15, 2024, with early adoption permitted. The standard is required to be applied on a retrospective basis to all periods presented in the consolidated financial statements. The Company is currently evaluating the impacts of the guidance on our disclosures in future periods.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2022, the FASB issued ASU 2022-04, "</w:t>
      </w:r>
      <w:r>
        <w:rPr>
          <w:rFonts w:ascii="Arial" w:cs="Arial" w:eastAsia="Arial" w:hAnsi="Arial"/>
          <w:sz w:val="18"/>
          <w:szCs w:val="18"/>
          <w:i w:val="1"/>
          <w:iCs w:val="1"/>
          <w:color w:val="auto"/>
        </w:rPr>
        <w:t>Liabilities-Supplier Finance Programs (Subtopic 405 -50):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Program Obligations.</w:t>
      </w:r>
      <w:r>
        <w:rPr>
          <w:rFonts w:ascii="Arial" w:cs="Arial" w:eastAsia="Arial" w:hAnsi="Arial"/>
          <w:sz w:val="18"/>
          <w:szCs w:val="18"/>
          <w:color w:val="auto"/>
        </w:rPr>
        <w:t>" This guidance requires disclosure of the key terms of outstanding supplier finance programs and a rollforward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related obligations. The standard does not affect the recognition, measurement, or financial statement presentation of supplier finance program obligations. The ASU became effective January 1, 2023, and the rollforward requirement became effective January 1, 2024. Refer to Note 11, "Current Liabilities" for the disclosures related to our adoption of the standard.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Evoqua Water Technologies Corp.</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24, 2023, the Company completed the acquisition of 100% of the issued and outstanding shares of Evoqua, a leader in providing water and wastewater treatment solutions, offering a broad portfolio of products and services to support industrial, municipal, and 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on May 24, 2023, legacy Evoqua stockholders owned approximately 25% and legacy Xylem shareholders owned approximately 75% of the combined company. The purchase price for purposes of the Merger consisted of an aggregate of $6,121 million of the Company’s common stock, $160 million in replacement equity awards, and $619 million to repay certain indebtedness of Evoqua (refer to Note 12, "Credit Facilities and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totaled $6,900 million, which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 of Purchase Consideration</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Xylem Common Stock issued to Evoqua stockholders (58,779,096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Estimated replacement equity awards</w:t>
            </w:r>
          </w:p>
        </w:tc>
        <w:tc>
          <w:tcPr>
            <w:tcW w:w="16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certain Evoqua indebtedness</w:t>
            </w:r>
          </w:p>
        </w:tc>
        <w:tc>
          <w:tcPr>
            <w:tcW w:w="160" w:type="dxa"/>
            <w:vAlign w:val="bottom"/>
            <w:tcBorders>
              <w:bottom w:val="single" w:sz="8" w:color="auto"/>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 The following table summarizes the preliminary acquisition date fair value of net tangible and intangible assets acquired, net of liabilities assumed from Evoqua: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Receivables(a)</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Other intangible assets,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Non-current assets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maturities of 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Other non-current accrued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liabilities held for sale</w:t>
            </w:r>
          </w:p>
        </w:tc>
        <w:tc>
          <w:tcPr>
            <w:tcW w:w="9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Including $322 million of receivables and $110 million of contract assets.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preliminary purchase price allocation is subject to further refinement and may require adjustments to arrive at the final purchase price allocation. The above fair values of assets acquired and liabilities assumed are preliminary and are based on the information that was available as of the reporting date. The fair values of the assets acquired and liabilities assumed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 of receivables acquired is $322 million, with the gross contractual amount being $329 million. The Company expects $7 million to be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 w:name="page11"/>
    <w:bookmarkEnd w:id="10"/>
    <w:p>
      <w:pPr>
        <w:ind w:right="120"/>
        <w:spacing w:after="0" w:line="252" w:lineRule="auto"/>
        <w:rPr>
          <w:sz w:val="20"/>
          <w:szCs w:val="20"/>
          <w:color w:val="auto"/>
        </w:rPr>
      </w:pPr>
      <w:r>
        <w:rPr>
          <w:rFonts w:ascii="Arial" w:cs="Arial" w:eastAsia="Arial" w:hAnsi="Arial"/>
          <w:sz w:val="18"/>
          <w:szCs w:val="18"/>
          <w:color w:val="auto"/>
        </w:rPr>
        <w:t>The amounts of revenue and income before taxes of Evoqua since the acquisition date included in the Consolidated Income Statement for the three months ended March 31, 2024 are $480 million and $6 million, respectively.The $4,798 million of goodwill recognized, which is not deductible for U.S. income tax purposes, is primarily attributable to synergies and economies of scale expected from combining the operations of Evoqua and Xylem as well as the assembled workforce of Evoqua.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Evoqua acquisition: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Useful Life (in years)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Useful Life Weighted</w:t>
            </w:r>
          </w:p>
        </w:tc>
        <w:tc>
          <w:tcPr>
            <w:tcW w:w="540" w:type="dxa"/>
            <w:vAlign w:val="bottom"/>
          </w:tcPr>
          <w:p>
            <w:pPr>
              <w:spacing w:after="0"/>
              <w:rPr>
                <w:sz w:val="19"/>
                <w:szCs w:val="19"/>
                <w:color w:val="auto"/>
              </w:rPr>
            </w:pPr>
          </w:p>
        </w:tc>
        <w:tc>
          <w:tcPr>
            <w:tcW w:w="2000" w:type="dxa"/>
            <w:vAlign w:val="bottom"/>
          </w:tcPr>
          <w:p>
            <w:pPr>
              <w:jc w:val="right"/>
              <w:ind w:right="73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vMerge w:val="continue"/>
          </w:tcPr>
          <w:p>
            <w:pPr>
              <w:spacing w:after="0"/>
              <w:rPr>
                <w:sz w:val="17"/>
                <w:szCs w:val="17"/>
                <w:color w:val="auto"/>
              </w:rPr>
            </w:pPr>
          </w:p>
        </w:tc>
        <w:tc>
          <w:tcPr>
            <w:tcW w:w="2840" w:type="dxa"/>
            <w:vAlign w:val="bottom"/>
            <w:tcBorders>
              <w:bottom w:val="single" w:sz="8" w:color="auto"/>
            </w:tcBorders>
            <w:vMerge w:val="continue"/>
          </w:tcPr>
          <w:p>
            <w:pPr>
              <w:spacing w:after="0"/>
              <w:rPr>
                <w:sz w:val="17"/>
                <w:szCs w:val="17"/>
                <w:color w:val="auto"/>
              </w:rPr>
            </w:pPr>
          </w:p>
        </w:tc>
        <w:tc>
          <w:tcPr>
            <w:tcW w:w="20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Average (in years)</w:t>
            </w:r>
          </w:p>
        </w:tc>
        <w:tc>
          <w:tcPr>
            <w:tcW w:w="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4 - 9</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7.1</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 relationships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6 - 20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Backlog</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1 - 10</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5.4</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2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1 - 13</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2.3</w:t>
            </w:r>
          </w:p>
        </w:tc>
        <w:tc>
          <w:tcPr>
            <w:tcW w:w="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15.4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preliminary estimate of the fair value of Evoqua’s identifiable intangible assets was determined primarily using the “income approach,” which requires a forecast of all of the expected future cash flows either through the use of the multi-period excess earnings method or the relief-from-royalty method. The fair value measurements were primarily based on significant inputs that are not observable in the market and thus represent a Level 3 measurement of the fair value hierarchy as defined in ASC 820, Fair Value Measurements (“ASC 820”). Intangible assets consisting of the Evoqua tradename, technology, customer relationships, backlog, and permits were valued using the multi-period excess earnings method (“MEEM”), the relief from royalty (“RFR”) method, or the with and without method, which are all forms of the income approach. Intangible assets related to Evoqua software were valued using the cost approach.</w:t>
      </w:r>
    </w:p>
    <w:p>
      <w:pPr>
        <w:spacing w:after="0" w:line="75" w:lineRule="exact"/>
        <w:rPr>
          <w:sz w:val="20"/>
          <w:szCs w:val="20"/>
          <w:color w:val="auto"/>
        </w:rPr>
      </w:pPr>
    </w:p>
    <w:p>
      <w:pPr>
        <w:ind w:left="660" w:right="58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and proprietary technology intangible assets were valued using the RFR method. The RFR method of valuation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8"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distributor relationships and backlog intangible assets were valued using the MEEM method. The MEEM method of valuation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4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Permits intangible asset was valued using the with and without method. The with and without method of valuation is an approach that considers the hypothetical impact to the projected cash flows of the business if the intangible asset was not put in place.</w:t>
      </w:r>
    </w:p>
    <w:p>
      <w:pPr>
        <w:spacing w:after="0" w:line="6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Software intangible asset was valued using the cost approach. The cost approach method of valuation is an approach that relies on estimating the replacement or reproduction costs new of assets, along with factors of physical deterioration, based on the principle that an asset would not be purchased for a price higher than the cost to replace it with an asset of comparable utility.</w:t>
      </w:r>
    </w:p>
    <w:p>
      <w:pPr>
        <w:spacing w:after="0" w:line="62" w:lineRule="exact"/>
        <w:rPr>
          <w:rFonts w:ascii="Arial" w:cs="Arial" w:eastAsia="Arial" w:hAnsi="Arial"/>
          <w:sz w:val="18"/>
          <w:szCs w:val="18"/>
          <w:color w:val="auto"/>
        </w:rPr>
      </w:pPr>
    </w:p>
    <w:p>
      <w:pPr>
        <w:ind w:left="660" w:right="40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and 707 thousand RSU awards (of which 330 thousand were converted PSUs.) The portion of the fair value related to pre-combination services of $160 million was included in the purchase price, and $56 million will be recognized over the remaining service periods. As of March 31, 2024, the future unrecognized expense related to the outstanding options and RSUs was approximately $1 million and $7 million, respectively. The future unrecognized expense related to options and RSUs will be recognized over a weighted-average service period of 1 year. SARs are immaterial.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7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9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r>
      <w:tr>
        <w:trPr>
          <w:trHeight w:val="203"/>
        </w:trPr>
        <w:tc>
          <w:tcPr>
            <w:tcW w:w="7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6"/>
              </w:rPr>
              <w:t>2023</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Smart Metering and Other</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Analytics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7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7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0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8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0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0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0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0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0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2024</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315</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(161)</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receivable balances, which are disclosed on the Condensed Consolidated Balance Sheets</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March 31, 2024, the aggregate amount of the transaction price allocated to performance obligations that are unsatisfied or partially unsatisfied for contracts with performance obligations, amount to $978 million, of which</w:t>
      </w:r>
    </w:p>
    <w:p>
      <w:pPr>
        <w:spacing w:after="0" w:line="1"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$463 million was contributed by the Evoqua acquisition.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2024, we incurred restructuring costs of $9 million. We incurred these charges primarily as a result of our acquisition of Evoqua. Approximately $5 million of the charges represented the reduction of headcount related to the integration of Evoqua for the three months ended March 31, 2024. Additionally, during the three months ended March 31, 2024, we incurred $4 million of charges related to our efforts to reposition our businesses to optimize our cost structure, improve our operational efficiency and effectiveness, strengthen our competitive positioning and better serve our customers.</w:t>
      </w:r>
    </w:p>
    <w:p>
      <w:pPr>
        <w:spacing w:after="0" w:line="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three months ended March 31, 2023, we incurred restructuring charges of $6 million. We incurred these charges primarily as a continuation of our efforts to reposition our European and North American businesses to optimize our cost structure and improve our operational efficiency and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2023</w:t>
            </w: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restructuring accruals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8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848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three months ended March 31, 2024 and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2023</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March 31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844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12" w:lineRule="exact"/>
        <w:rPr>
          <w:sz w:val="20"/>
          <w:szCs w:val="20"/>
          <w:color w:val="auto"/>
        </w:rPr>
      </w:pPr>
    </w:p>
    <w:p>
      <w:pPr>
        <w:ind w:left="340" w:right="180" w:hanging="332"/>
        <w:spacing w:after="0" w:line="304"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presents expected restructuring spend in 2024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Water Solutions</w:t>
            </w:r>
          </w:p>
        </w:tc>
        <w:tc>
          <w:tcPr>
            <w:tcW w:w="2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2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2024</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26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in 2023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60"/>
        <w:spacing w:after="0" w:line="375" w:lineRule="auto"/>
        <w:rPr>
          <w:sz w:val="20"/>
          <w:szCs w:val="20"/>
          <w:color w:val="auto"/>
        </w:rPr>
      </w:pPr>
      <w:r>
        <w:rPr>
          <w:rFonts w:ascii="Arial" w:cs="Arial" w:eastAsia="Arial" w:hAnsi="Arial"/>
          <w:sz w:val="18"/>
          <w:szCs w:val="18"/>
          <w:color w:val="auto"/>
        </w:rPr>
        <w:t xml:space="preserve">The actions commenced in 2024 consist primarily of severance charges. The actions are expected to continue through the end of 2024. </w:t>
      </w:r>
      <w:r>
        <w:rPr>
          <w:rFonts w:ascii="Arial" w:cs="Arial" w:eastAsia="Arial" w:hAnsi="Arial"/>
          <w:sz w:val="18"/>
          <w:szCs w:val="18"/>
          <w:i w:val="1"/>
          <w:iCs w:val="1"/>
          <w:color w:val="auto"/>
        </w:rPr>
        <w:t>Asset Impairment</w:t>
      </w:r>
    </w:p>
    <w:p>
      <w:pPr>
        <w:spacing w:after="0" w:line="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 Refer to Note 9, "Goodwill and Other Intangible Assets," for additional information.</w:t>
      </w:r>
    </w:p>
    <w:p>
      <w:pPr>
        <w:spacing w:after="0" w:line="4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and Control Solutions segment was impaired as a result of actions taken to prioritize strategic investments and we therefore recognized an impairment charge of $2 million. Refer to Note 9, "Goodwill and Other Intangible Assets,"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income tax provision for the three months ended March 31, 2024 was $43 million resulting in an effective tax rate of 21.8%, compared to a $27 million expense resulting in an effective tax rate of 21.7% for the same period in 2023. The effective tax rate for the three month period ended March 31, 2024 was higher than the U.S. federal statutory rate primarily due to earnings mix.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SEK833 million (approximately</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$78 million), consisting of the full tax assessment amount plus penalties and interest. Xylem has appealed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 defend our position through the appellate process. Both parties will have the ability to seek appeal of the Court’s decision to the Supreme Administrative Court of Sweden. There can be no assurance that the final determination by the authorities will not be materially different than our position. As of March 31, 2024, we do not have any unrecognized tax benefits related to this uncertain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8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2023</w:t>
            </w:r>
          </w:p>
        </w:tc>
      </w:tr>
      <w:tr>
        <w:trPr>
          <w:trHeight w:val="224"/>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854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241,826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180,371</w:t>
            </w:r>
          </w:p>
        </w:tc>
      </w:tr>
      <w:tr>
        <w:trPr>
          <w:trHeight w:val="229"/>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241,854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180,396</w:t>
            </w: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243,021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181,319</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bl>
    <w:p>
      <w:pPr>
        <w:spacing w:after="0" w:line="242" w:lineRule="exact"/>
        <w:rPr>
          <w:sz w:val="20"/>
          <w:szCs w:val="20"/>
          <w:color w:val="auto"/>
        </w:rPr>
      </w:pPr>
    </w:p>
    <w:p>
      <w:pPr>
        <w:ind w:left="340" w:right="180" w:hanging="332"/>
        <w:spacing w:after="0" w:line="286"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options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6"/>
                <w:szCs w:val="16"/>
                <w:color w:val="auto"/>
              </w:rPr>
              <w:t>Restricted stock units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 share units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800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000" w:type="dxa"/>
            <w:vAlign w:val="bottom"/>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the change in reportable segments disclosed in Note 1, "Background and Basis of Presentation," goodwill was reallocated amongst segments. This reallocation and changes in the carrying value of goodwill by reportable segment for the three months ended March 31, 2024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and</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Water Solutions</w:t>
            </w:r>
          </w:p>
        </w:tc>
        <w:tc>
          <w:tcPr>
            <w:tcW w:w="340" w:type="dxa"/>
            <w:vAlign w:val="bottom"/>
          </w:tcPr>
          <w:p>
            <w:pPr>
              <w:spacing w:after="0"/>
              <w:rPr>
                <w:sz w:val="14"/>
                <w:szCs w:val="14"/>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tcPr>
          <w:p>
            <w:pPr>
              <w:spacing w:after="0"/>
              <w:rPr>
                <w:sz w:val="16"/>
                <w:szCs w:val="16"/>
                <w:color w:val="auto"/>
              </w:rPr>
            </w:pPr>
          </w:p>
        </w:tc>
        <w:tc>
          <w:tcPr>
            <w:tcW w:w="1100" w:type="dxa"/>
            <w:vAlign w:val="bottom"/>
          </w:tcPr>
          <w:p>
            <w:pPr>
              <w:jc w:val="right"/>
              <w:ind w:right="93"/>
              <w:spacing w:after="0"/>
              <w:rPr>
                <w:sz w:val="20"/>
                <w:szCs w:val="20"/>
                <w:color w:val="auto"/>
              </w:rPr>
            </w:pPr>
            <w:r>
              <w:rPr>
                <w:rFonts w:ascii="Arial" w:cs="Arial" w:eastAsia="Arial" w:hAnsi="Arial"/>
                <w:sz w:val="14"/>
                <w:szCs w:val="14"/>
                <w:b w:val="1"/>
                <w:bCs w:val="1"/>
                <w:color w:val="auto"/>
              </w:rPr>
              <w:t>and Services</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2,519</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Reallocation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as of January 1, 2024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Activity in 2024</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b w:val="1"/>
                <w:bCs w:val="1"/>
                <w:color w:val="auto"/>
              </w:rPr>
              <w:t>Balance as of March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2,876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7,509</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of Evoqua at their fair value as of the date of acquisition, with the excess purchase consideration recorded to goodwill. We have preliminarily allocated goodwill to segments of the Company that are expected to benefit from the synergies of the acquisition. As the Company finalizes the estimation of the fair value of the assets acquired and liabilities assumed, additional adjustments to the amount of goodwill allocated to each segment may be necessary.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2023</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6"/>
        </w:trPr>
        <w:tc>
          <w:tcPr>
            <w:tcW w:w="3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2,161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1,663</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Amortization expense related to finite-lived intangible assets was $73 million and $32 million for the three-month periods ended March 31, 2024 and 2023,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and Control Solutions segment was impaired as a result of actions taken to prioritize strategic investments and we therefore recognized an impairment charge of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Australian Dollar, and Chinese Yuan. We had foreign exchange contracts with purchased notional amounts totaling $ 488 million and $29 million as of March 31, 2024 and December 31, 2023, respectively. As of March 31, 2024, our most significant foreign currency derivatives included contracts to sell U.S. Dollar and purchase Euro, purchase Swedish Krona and sell Euro, sell British Pound and purchase Euro, sell Canadian Dollar and purchase Euro, purchase Polish Zloty and sell Euro, sell Australian Dollar and purchase Euro, purchase U.S. Dollar and sell Canadian Dollar, purchase Canadian Dollar and sell U.S. Dollar, and purchase U.S. Dollar and sell Chinese Yuan. The purchased notional amounts associated with these currency derivatives are $ 178 million, $141 million, $61 million, $32 million, $28 million, $19 million, $18 million, $7 million, and $4 million, respectively. As of December 31, 2023, our most significant foreign currency derivatives included contracts to purchase U.S. Dollar and sell Chinese Yuan and to purchase U.S. Dollar and sell Canadian Dollar. The purchased notional amounts associated with these currency derivatives were $19 million and $10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$1,641 million and $1,691 million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20"/>
        <w:spacing w:after="0" w:line="268"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loss" ("OCL") within the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r>
      <w:tr>
        <w:trPr>
          <w:trHeight w:val="19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2023</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recognized in OCL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Amount of loss reclassified from OCL into Revenue</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reclassified from OCL into Cost of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recognized in OCL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8280" w:type="dxa"/>
            <w:vAlign w:val="bottom"/>
          </w:tcPr>
          <w:p>
            <w:pPr>
              <w:ind w:left="240"/>
              <w:spacing w:after="0"/>
              <w:rPr>
                <w:sz w:val="20"/>
                <w:szCs w:val="20"/>
                <w:color w:val="auto"/>
              </w:rPr>
            </w:pPr>
            <w:r>
              <w:rPr>
                <w:rFonts w:ascii="Arial" w:cs="Arial" w:eastAsia="Arial" w:hAnsi="Arial"/>
                <w:sz w:val="18"/>
                <w:szCs w:val="18"/>
                <w:color w:val="auto"/>
              </w:rPr>
              <w:t>Amount of income recognized in 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$3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no gains or losses on the net investment hedges are expected to be reclassified into earnings over their duration.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$262 million and $176 million as of March 31, 2024, and December 31, 2023,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each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b w:val="1"/>
                <w:bCs w:val="1"/>
                <w:color w:val="auto"/>
              </w:rPr>
              <w:t>2024</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r>
      <w:tr>
        <w:trPr>
          <w:trHeight w:val="257"/>
        </w:trPr>
        <w:tc>
          <w:tcPr>
            <w:tcW w:w="836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700" w:type="dxa"/>
            <w:vAlign w:val="bottom"/>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281</w:t>
            </w:r>
          </w:p>
        </w:tc>
      </w:tr>
      <w:tr>
        <w:trPr>
          <w:trHeight w:val="25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r>
      <w:tr>
        <w:trPr>
          <w:trHeight w:val="257"/>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March 31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2024 to 2032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80" w:hanging="332"/>
        <w:spacing w:after="0" w:line="260"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$478 million and $482 million as of March 31, 2024 and December 31, 2023, respectively. The fair value of our Senior Notes due 2028 was $449 million and $453 million as of March 31, 2024 and December 31, 2023, respectively. The fair value of our Senior Notes due 2031 was $422 million and $429 million as of March 31, 2024 and December 31, 2023, respectively. The fair value of our Senior Notes due 2046 was $344 million and $349 million as of March 31, 2024 and December 31, 2023, respectively.</w:t>
      </w:r>
    </w:p>
    <w:p>
      <w:pPr>
        <w:spacing w:after="0" w:line="83"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March 31, 2024,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March 31, 2024,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provided for an aggregate principal amount of up to $800 million (available in U.S. Dollars and in Euros), with increases of up to $200 million for a maximum aggregate principal amount of $ 1 billion at the request of Xylem and with the consent of the institutions providing such increased commitments. On March 1, 2023, Xylem terminated the 2019 Credit Facility among the Company, certain lenders and Citibank, N.A. as Administrative Agent as a result of signing the 2023 Five-Year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March 31, 2024, the 2023 Credit Facility was undrawn, and we are in compliance with all revolver covenants. The 2023 Credit Facility has availability of $1 billion, comprised of the $1 billion aggregate principal as of March 31,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9, 2023, the Company’s subsidiary, Xylem Europe GmbH (the “borrower”) entered into a twenty four-month €250 million (approximately $270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and future obligations of the borrower under the Term Loan Agreement. The net cash proceeds were used to repay a portion of Evoqua’s indebtedness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right="200"/>
        <w:spacing w:after="0" w:line="287" w:lineRule="auto"/>
        <w:rPr>
          <w:sz w:val="20"/>
          <w:szCs w:val="20"/>
          <w:color w:val="auto"/>
        </w:rPr>
      </w:pPr>
      <w:r>
        <w:rPr>
          <w:rFonts w:ascii="Arial" w:cs="Arial" w:eastAsia="Arial" w:hAnsi="Arial"/>
          <w:sz w:val="18"/>
          <w:szCs w:val="18"/>
          <w:color w:val="auto"/>
        </w:rPr>
        <w:t>On April 19, 2024 our Term Loan Facility was settled with cash on hand for a total of € 250 million (approximately $270 million). As of March 31, 2024, the Term Loan Facility is reported within current maturities of long term debt on the Consolidated Balance Sheet.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11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As a result of the Evoqua acquisition, the Company has secured financing agreements that require providing a security interest in specified equipment and, in some cases, the underlying contract and related receivables. As of March 31, 2024, the gross and net amounts of those assets are included on the Consolidated Balance Sheets as follows:</w:t>
      </w:r>
    </w:p>
    <w:p>
      <w:pPr>
        <w:spacing w:after="0" w:line="103"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March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March 31, 2024 and December 31, 2023, none of the Company's $600 million U.S. Dollar commercial paper program was outstanding, respectively. The net cash proceeds from issuance of commercial paper were used to repay a portion of Evoqua’s indebtedness pursuant to the Merger Agreement.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$540 million) which may be denominated in a variety of currencies. The maximum issuing balance may be increased in accordance with the Dealer Agreement. As of March 31, 2024 and December 31, 2023, none of the Company's Euro commercial paper program was outstanding.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Securitization Program</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 “Sale and Contribution Agreement”) among Evoqua Finance, as purchaser, EWT LLC, as initial servicer and as an originator, and Neptune Benson, Inc., an indirectly wholly-owned subsidiary of the Company, as an originator (together with EWT LLC, the “Originators”), and (iii) a 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p>
    <w:p>
      <w:pPr>
        <w:spacing w:after="0" w:line="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Receivables Securitization Program contains certain customary representations, warranties, affirmative covenants, and negative covenants, subject to certain cure periods in some cases, including the eligibility of the receivables being sold by the Originators and securing the loans made by the Receivables Financing Lenders, as well as customary reserve requirements, events of default, termination events, and servicer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8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2023</w:t>
            </w:r>
          </w:p>
        </w:tc>
      </w:tr>
      <w:tr>
        <w:trPr>
          <w:trHeight w:val="212"/>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9"/>
              </w:rPr>
              <w:t>(1)</w:t>
            </w:r>
          </w:p>
        </w:tc>
      </w:tr>
      <w:tr>
        <w:trPr>
          <w:trHeight w:val="223"/>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2</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center"/>
              <w:ind w:left="572"/>
              <w:spacing w:after="0"/>
              <w:rPr>
                <w:sz w:val="20"/>
                <w:szCs w:val="20"/>
                <w:color w:val="auto"/>
              </w:rPr>
            </w:pPr>
            <w:r>
              <w:rPr>
                <w:rFonts w:ascii="Arial" w:cs="Arial" w:eastAsia="Arial" w:hAnsi="Arial"/>
                <w:sz w:val="18"/>
                <w:szCs w:val="18"/>
                <w:color w:val="auto"/>
                <w:w w:val="99"/>
              </w:rPr>
              <w:t>(3)</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actuarial (gain) loss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9"/>
              </w:rPr>
              <w:t>(1)</w:t>
            </w:r>
          </w:p>
        </w:tc>
      </w:tr>
      <w:tr>
        <w:trPr>
          <w:trHeight w:val="230"/>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2</w:t>
            </w:r>
          </w:p>
        </w:tc>
      </w:tr>
      <w:tr>
        <w:trPr>
          <w:trHeight w:val="248"/>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45"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The total net periodic benefit cost for other post-retirement employee benefit plans was less than $1 million, including net credits recognized into "Other comprehensive income (loss)" of less than $1 million, for both the three months ended March 31, 2024 and 2023,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$4 million and $5 million to our defined benefit plans for the three months ended March 31, 2024 and 2023,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$28 million and $32 million are expected to be made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10,176</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$18 million and $12 million during the three months ended March 31, 2024 and 2023,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compensation expense related to our stock options, restricted stock units and performance share units was $11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 million and $25 million, respectively, at March 31, 2024 and is expected to be recognized over a weighted average period of 2.2, 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years, respectively. The amount of cash received from the exercise of stock options was $33 million and $7 million for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2024 and 2023, respectively.</w:t>
      </w:r>
    </w:p>
    <w:p>
      <w:pPr>
        <w:spacing w:after="0" w:line="9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On May 24, 2023, there were an additional 2.7 million shares registered for issuance. As of March 31, 2024, there were approximately 5.5 million shares of common stock available for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three months ended March 31, 2024</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Outstanding at March 31,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Options exercisable at March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Vested and expected to vest as of March 31,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three months ended March 31, 2024 was $46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2024 grants:</w:t>
      </w:r>
    </w:p>
    <w:tbl>
      <w:tblPr>
        <w:tblLayout w:type="fixed"/>
        <w:tblInd w:w="0" w:type="dxa"/>
        <w:tblCellMar>
          <w:top w:w="0" w:type="dxa"/>
          <w:left w:w="0" w:type="dxa"/>
          <w:bottom w:w="0" w:type="dxa"/>
          <w:right w:w="0" w:type="dxa"/>
        </w:tblCellMar>
      </w:tblP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2024</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ROIC and Adjusted EBITDA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ROIC and EBITDA grants for the three months ended March 31, 2024. The fair value of the adjusted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EBITDA performance share units is equal to the closing share price on the date of the grant: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3"/>
                <w:szCs w:val="13"/>
                <w:color w:val="auto"/>
              </w:rPr>
            </w:pPr>
          </w:p>
        </w:tc>
        <w:tc>
          <w:tcPr>
            <w:tcW w:w="15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8"/>
        <w:spacing w:after="0" w:line="304"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market condition achievement at the end of the performance period of such awards.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three months ended March 31, 2024:</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181.80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121.77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firstLine="8"/>
        <w:spacing w:after="0" w:line="286"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 decrease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2024 grants: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11240"/>
          </w:cols>
          <w:pgMar w:left="320" w:top="1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three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0"/>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340" w:type="dxa"/>
            <w:vAlign w:val="bottom"/>
          </w:tcPr>
          <w:p>
            <w:pPr>
              <w:jc w:val="center"/>
              <w:ind w:left="288"/>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3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29"/>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2024</w:t>
            </w:r>
          </w:p>
        </w:tc>
        <w:tc>
          <w:tcPr>
            <w:tcW w:w="13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the performance periods, the performance share units were awarded at a target of 100% with actual payout contingent upon the achievement of a pre-set, three-year adjusted ROIC performance target for ROIC performance share units, a third-year adjusted EBITDA performance target for adjusted EBITDA performance share units, a pre-set third year revenue target for Revenue performance share units and a relative TSR performance for TSR performance share units.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the three months ended March 31, 2024 and March 31, 2023, the Company repurchased approximately 0.1 million shares of common stock for approximately $15 million and less than 0.1 million shares of common stock for $8 million, respectively. Repurchases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months ended March 31, 2024 and March 31, 2023. There are up to $182 million in shares that may still be purchased under this plan as of March 31, 2024.</w:t>
      </w:r>
    </w:p>
    <w:p>
      <w:pPr>
        <w:spacing w:after="0" w:line="6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Aside from the aforementioned repurchase program, we repurchased approximately 0.1 million shares and less than 0.1 million shares for approximately $15 million and $8 million for the three months ended March 31, 2024 and 2023, respectively, in relation to settlement of employee tax withholding obligations due as a result of the vesting of restricted stock units.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AOCL for the three months ended March 31, 2024: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9" w:name="page30"/>
    <w:bookmarkEnd w:id="29"/>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AOCL for the three months ended March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actuarial loss on post-retirement benefit plans</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into other non-operating income, net</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$15 million and $18 million as of March 31, 2024 and December 31, 2023, respectively, for these general legal matters.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March 31, 2024 and December 31, 2023, the amount of surety bonds, bank guarantees, insurance letters of credit, stand-by letters of credit as well as revenue and customs guarantees was $733 million and $729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March 31, 2024 and December 31, 2023 for environmental matters.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defects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treatment equipment: filtration and separation, disinfection, wastewater solutions; anodes and electro chlorination technologies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1 in the 2023 Annual Report. The following table contains financial information for each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sale of business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1560" w:right="1600" w:hanging="1538"/>
        <w:spacing w:after="0" w:line="249" w:lineRule="auto"/>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 and related monetary policy by governments in response to inflation, and the strength of the residential and commercial real estate markets, on economic activity and our operations; geopolitical events, including the ongoing and possible escalation of the conflicts involving Russia and Ukraine, and the Middle East,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the benefits and synergies from our acquisition of Evoqua Water Technologies Corp.;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diverse and key talent, as well as competition for overall talent and labor; defects, security, warranty and liability claims, and recalls related to our products; uncertainty around restructuring and realignment actions and related costs and savings; our ability to execute strategic investments for growth, including related to acquisitions and divestitures; availability, regulation or interference with radio spectrum 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including those pertaining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2023 ("2023 Annual Report") and in subsequent filings we make with the Securities and Exchange Commission (“SEC”).</w:t>
      </w:r>
    </w:p>
    <w:p>
      <w:pPr>
        <w:spacing w:after="0" w:line="94"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34" w:name="page35"/>
    <w:bookmarkEnd w:id="34"/>
    <w:p>
      <w:pPr>
        <w:ind w:right="20"/>
        <w:spacing w:after="0" w:line="259" w:lineRule="auto"/>
        <w:rPr>
          <w:sz w:val="20"/>
          <w:szCs w:val="20"/>
          <w:color w:val="auto"/>
        </w:rPr>
      </w:pPr>
      <w:r>
        <w:rPr>
          <w:rFonts w:ascii="Arial" w:cs="Arial" w:eastAsia="Arial" w:hAnsi="Arial"/>
          <w:sz w:val="18"/>
          <w:szCs w:val="18"/>
          <w:i w:val="1"/>
          <w:iCs w:val="1"/>
          <w:color w:val="auto"/>
        </w:rPr>
        <w:t>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solutions settings. Our broad portfolio of solutions addresses customer needs of scarcity, resilience, and affordability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The Company announced a change to its reportable segments effective January 1, 2024, and as such, has recast prior period segment amounts to be on a comparative basis with the new segment reporting (refer to Note 1, "Background and Basis of Presentation").</w:t>
      </w:r>
    </w:p>
    <w:p>
      <w:pPr>
        <w:spacing w:after="0" w:line="77" w:lineRule="exact"/>
        <w:rPr>
          <w:sz w:val="20"/>
          <w:szCs w:val="20"/>
          <w:color w:val="auto"/>
        </w:rPr>
      </w:pPr>
    </w:p>
    <w:p>
      <w:pPr>
        <w:ind w:left="660" w:right="20" w:hanging="328"/>
        <w:spacing w:after="0" w:line="254" w:lineRule="auto"/>
        <w:tabs>
          <w:tab w:leader="none" w:pos="649" w:val="left"/>
        </w:tabs>
        <w:numPr>
          <w:ilvl w:val="0"/>
          <w:numId w:val="12"/>
        </w:numPr>
        <w:rPr>
          <w:rFonts w:ascii="Georgia" w:cs="Georgia" w:eastAsia="Georgia" w:hAnsi="Georgia"/>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wastewater solutions, anode and electrochlorination technology, for municipal and industrial applications. In the Water Infrastructure segment, we provide the majority of our sales directly to customers along with strong applications expertise, while the remaining amount is through distribution partners.</w:t>
      </w:r>
    </w:p>
    <w:p>
      <w:pPr>
        <w:spacing w:after="0" w:line="76" w:lineRule="exact"/>
        <w:rPr>
          <w:rFonts w:ascii="Georgia" w:cs="Georgia" w:eastAsia="Georgia" w:hAnsi="Georgia"/>
          <w:sz w:val="18"/>
          <w:szCs w:val="18"/>
          <w:color w:val="auto"/>
        </w:rPr>
      </w:pPr>
    </w:p>
    <w:p>
      <w:pPr>
        <w:ind w:left="660" w:right="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and remote monitoring and data management.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5" w:name="page36"/>
    <w:bookmarkEnd w:id="35"/>
    <w:p>
      <w:pPr>
        <w:ind w:left="660" w:right="200" w:hanging="328"/>
        <w:spacing w:after="0" w:line="225" w:lineRule="exact"/>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Evoqua Acquisition</w:t>
      </w:r>
    </w:p>
    <w:p>
      <w:pPr>
        <w:spacing w:after="0" w:line="115"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On May 24, 2023, Xylem completed the acquisition of Evoqua. Commencing from the acquisition date, Xylem’s financial statements include the assets, liabilities, operating results and cash flows of Evoqua. Refer to Note 3, "Acquisitions and Divestitures,"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Xylem reported revenue for the first quarter of 2024 of $2,033 million, an increase of 40.4% compared to $ 1,448 million reported in the first quarter of 2023. The revenue increase consisted of organic growth of 7.1% on continued strong execution and demand across most of our reportable segments. Revenue contributed by acquisitions and divestitures, net was $480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March 31, 2024 include the following:</w:t>
      </w:r>
    </w:p>
    <w:p>
      <w:pPr>
        <w:spacing w:after="0" w:line="11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Orders of $2,246 million, up 43.1% from $1,570 million in the prior year period, and up 3.4%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share of $0.63, up 16.7% compared to prior year ($0.90, up 13.9% versus prior year, on an adjusted basis).</w:t>
      </w:r>
    </w:p>
    <w:p>
      <w:pPr>
        <w:spacing w:after="0" w:line="117"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as a percent of revenue of 7.5%, up 70 basis points compared to 6.8% in the prior year. Adjusted EBITDA margin of 19.2%, up 290 basis points when compared to 16.3%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60"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amortization of acquired intangible assets, gain or loss from the sale of businesses, special charges and tax-related special items, as applicable. A reconciliation of adjusted net income and adjusted earnings per share is provided below.</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color w:val="auto"/>
              </w:rPr>
              <w:t>2023</w:t>
            </w:r>
          </w:p>
        </w:tc>
        <w:tc>
          <w:tcPr>
            <w:tcW w:w="660" w:type="dxa"/>
            <w:vAlign w:val="bottom"/>
            <w:tcBorders>
              <w:bottom w:val="single" w:sz="8" w:color="auto"/>
            </w:tcBorders>
          </w:tcPr>
          <w:p>
            <w:pPr>
              <w:spacing w:after="0"/>
              <w:rPr>
                <w:sz w:val="17"/>
                <w:szCs w:val="17"/>
                <w:color w:val="auto"/>
              </w:rPr>
            </w:pPr>
          </w:p>
        </w:tc>
      </w:tr>
      <w:tr>
        <w:trPr>
          <w:trHeight w:val="224"/>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center"/>
              <w:ind w:left="174"/>
              <w:spacing w:after="0"/>
              <w:rPr>
                <w:sz w:val="20"/>
                <w:szCs w:val="20"/>
                <w:color w:val="auto"/>
              </w:rPr>
            </w:pPr>
            <w:r>
              <w:rPr>
                <w:rFonts w:ascii="Arial" w:cs="Arial" w:eastAsia="Arial" w:hAnsi="Arial"/>
                <w:sz w:val="18"/>
                <w:szCs w:val="18"/>
                <w:b w:val="1"/>
                <w:bCs w:val="1"/>
                <w:color w:val="auto"/>
                <w:w w:val="96"/>
              </w:rPr>
              <w:t>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6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left="174"/>
              <w:spacing w:after="0"/>
              <w:rPr>
                <w:sz w:val="20"/>
                <w:szCs w:val="20"/>
                <w:color w:val="auto"/>
              </w:rPr>
            </w:pPr>
            <w:r>
              <w:rPr>
                <w:rFonts w:ascii="Arial" w:cs="Arial" w:eastAsia="Arial" w:hAnsi="Arial"/>
                <w:sz w:val="18"/>
                <w:szCs w:val="18"/>
                <w:b w:val="1"/>
                <w:bCs w:val="1"/>
                <w:color w:val="auto"/>
                <w:w w:val="96"/>
              </w:rPr>
              <w:t>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amortization</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74"/>
              <w:spacing w:after="0"/>
              <w:rPr>
                <w:sz w:val="20"/>
                <w:szCs w:val="20"/>
                <w:color w:val="auto"/>
              </w:rPr>
            </w:pPr>
            <w:r>
              <w:rPr>
                <w:rFonts w:ascii="Arial" w:cs="Arial" w:eastAsia="Arial" w:hAnsi="Arial"/>
                <w:sz w:val="18"/>
                <w:szCs w:val="18"/>
                <w:b w:val="1"/>
                <w:bCs w:val="1"/>
                <w:color w:val="auto"/>
                <w:w w:val="96"/>
              </w:rPr>
              <w:t>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Special charges (a)</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left="174"/>
              <w:spacing w:after="0"/>
              <w:rPr>
                <w:sz w:val="20"/>
                <w:szCs w:val="20"/>
                <w:color w:val="auto"/>
              </w:rPr>
            </w:pPr>
            <w:r>
              <w:rPr>
                <w:rFonts w:ascii="Arial" w:cs="Arial" w:eastAsia="Arial" w:hAnsi="Arial"/>
                <w:sz w:val="18"/>
                <w:szCs w:val="18"/>
                <w:b w:val="1"/>
                <w:bCs w:val="1"/>
                <w:color w:val="auto"/>
                <w:w w:val="96"/>
              </w:rPr>
              <w:t>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54"/>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(Gain) loss from sale of business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left="174"/>
              <w:spacing w:after="0"/>
              <w:rPr>
                <w:sz w:val="20"/>
                <w:szCs w:val="20"/>
                <w:color w:val="auto"/>
              </w:rPr>
            </w:pPr>
            <w:r>
              <w:rPr>
                <w:rFonts w:ascii="Arial" w:cs="Arial" w:eastAsia="Arial" w:hAnsi="Arial"/>
                <w:sz w:val="18"/>
                <w:szCs w:val="18"/>
                <w:b w:val="1"/>
                <w:bCs w:val="1"/>
                <w:color w:val="auto"/>
                <w:w w:val="96"/>
              </w:rPr>
              <w:t>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(b)</w:t>
            </w:r>
          </w:p>
        </w:tc>
        <w:tc>
          <w:tcPr>
            <w:tcW w:w="3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b w:val="1"/>
                <w:bCs w:val="1"/>
                <w:color w:val="auto"/>
                <w:w w:val="96"/>
              </w:rPr>
              <w:t>0.90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1"/>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80" w:right="200" w:hanging="6"/>
        <w:spacing w:after="0" w:line="271" w:lineRule="auto"/>
        <w:tabs>
          <w:tab w:leader="none" w:pos="9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special charges for the three months ended March 31, 2024 and 2023 consist primarily of acquisition and integration costs related to the Evoqua transaction.</w:t>
      </w:r>
    </w:p>
    <w:p>
      <w:pPr>
        <w:spacing w:after="0" w:line="5" w:lineRule="exact"/>
        <w:rPr>
          <w:rFonts w:ascii="Arial" w:cs="Arial" w:eastAsia="Arial" w:hAnsi="Arial"/>
          <w:sz w:val="18"/>
          <w:szCs w:val="18"/>
          <w:color w:val="auto"/>
        </w:rPr>
      </w:pPr>
    </w:p>
    <w:p>
      <w:pPr>
        <w:ind w:left="680" w:right="400" w:hanging="6"/>
        <w:spacing w:after="0" w:line="271" w:lineRule="auto"/>
        <w:tabs>
          <w:tab w:leader="none" w:pos="9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left="328" w:right="620" w:hanging="328"/>
        <w:spacing w:after="0" w:line="28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w:t>
      </w:r>
    </w:p>
    <w:p>
      <w:pPr>
        <w:spacing w:after="0" w:line="44" w:lineRule="exact"/>
        <w:rPr>
          <w:rFonts w:ascii="Arial" w:cs="Arial" w:eastAsia="Arial" w:hAnsi="Arial"/>
          <w:sz w:val="18"/>
          <w:szCs w:val="18"/>
          <w:color w:val="auto"/>
        </w:rPr>
      </w:pPr>
    </w:p>
    <w:p>
      <w:pPr>
        <w:ind w:left="328" w:right="220" w:hanging="328"/>
        <w:spacing w:after="0" w:line="26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and special charges, as applicable; and "adjusted operating margin" defined as adjusted operating income divided by total revenue.</w:t>
      </w:r>
    </w:p>
    <w:p>
      <w:pPr>
        <w:spacing w:after="0" w:line="62" w:lineRule="exact"/>
        <w:rPr>
          <w:rFonts w:ascii="Arial" w:cs="Arial" w:eastAsia="Arial" w:hAnsi="Arial"/>
          <w:sz w:val="18"/>
          <w:szCs w:val="18"/>
          <w:color w:val="auto"/>
        </w:rPr>
      </w:pPr>
    </w:p>
    <w:p>
      <w:pPr>
        <w:ind w:left="328" w:right="80" w:hanging="328"/>
        <w:spacing w:after="0" w:line="26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62" w:lineRule="exact"/>
        <w:rPr>
          <w:rFonts w:ascii="Arial" w:cs="Arial" w:eastAsia="Arial" w:hAnsi="Arial"/>
          <w:sz w:val="18"/>
          <w:szCs w:val="18"/>
          <w:color w:val="auto"/>
        </w:rPr>
      </w:pPr>
    </w:p>
    <w:p>
      <w:pPr>
        <w:ind w:left="328" w:right="340" w:hanging="328"/>
        <w:spacing w:after="0" w:line="28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color w:val="auto"/>
        </w:rPr>
      </w:pPr>
    </w:p>
    <w:p>
      <w:pPr>
        <w:ind w:left="328" w:hanging="328"/>
        <w:spacing w:after="0" w:line="287" w:lineRule="auto"/>
        <w:tabs>
          <w:tab w:leader="none" w:pos="317" w:val="left"/>
        </w:tabs>
        <w:numPr>
          <w:ilvl w:val="0"/>
          <w:numId w:val="17"/>
        </w:numPr>
        <w:rPr>
          <w:rFonts w:ascii="Arial" w:cs="Arial" w:eastAsia="Arial" w:hAnsi="Arial"/>
          <w:sz w:val="16"/>
          <w:szCs w:val="16"/>
          <w:color w:val="auto"/>
        </w:rPr>
      </w:pPr>
      <w:r>
        <w:rPr>
          <w:rFonts w:ascii="Arial" w:cs="Arial" w:eastAsia="Arial" w:hAnsi="Arial"/>
          <w:sz w:val="18"/>
          <w:szCs w:val="18"/>
          <w:color w:val="auto"/>
        </w:rPr>
        <w:t>“special charges" defined as non-recurring costs incurred by the Company, such as acquisition and integration related costs and non-cash impairment charges.</w:t>
      </w:r>
    </w:p>
    <w:p>
      <w:pPr>
        <w:spacing w:after="0" w:line="44" w:lineRule="exact"/>
        <w:rPr>
          <w:rFonts w:ascii="Arial" w:cs="Arial" w:eastAsia="Arial" w:hAnsi="Arial"/>
          <w:sz w:val="16"/>
          <w:szCs w:val="16"/>
          <w:color w:val="auto"/>
        </w:rPr>
      </w:pPr>
    </w:p>
    <w:p>
      <w:pPr>
        <w:ind w:left="328" w:right="500" w:hanging="328"/>
        <w:spacing w:after="0" w:line="28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328" w:right="20" w:hanging="328"/>
        <w:spacing w:after="0" w:line="26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r>
      <w:tr>
        <w:trPr>
          <w:trHeight w:val="203"/>
        </w:trPr>
        <w:tc>
          <w:tcPr>
            <w:tcW w:w="67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r>
      <w:tr>
        <w:trPr>
          <w:trHeight w:val="197"/>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w w:val="96"/>
              </w:rPr>
              <w:t>2023</w:t>
            </w:r>
          </w:p>
        </w:tc>
      </w:tr>
      <w:tr>
        <w:trPr>
          <w:trHeight w:val="224"/>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9"/>
              </w:rPr>
              <w:t>(19)</w:t>
            </w: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center"/>
              <w:ind w:left="513"/>
              <w:spacing w:after="0"/>
              <w:rPr>
                <w:sz w:val="20"/>
                <w:szCs w:val="20"/>
                <w:color w:val="auto"/>
              </w:rPr>
            </w:pPr>
            <w:r>
              <w:rPr>
                <w:rFonts w:ascii="Arial" w:cs="Arial" w:eastAsia="Arial" w:hAnsi="Arial"/>
                <w:sz w:val="18"/>
                <w:szCs w:val="18"/>
                <w:color w:val="auto"/>
                <w:w w:val="99"/>
              </w:rPr>
              <w:t>(49)</w:t>
            </w: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in excess of tax provision for R&amp;D law change adoption</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9"/>
              </w:rPr>
              <w:t>33</w:t>
            </w:r>
          </w:p>
        </w:tc>
      </w:tr>
      <w:tr>
        <w:trPr>
          <w:trHeight w:val="223"/>
        </w:trPr>
        <w:tc>
          <w:tcPr>
            <w:tcW w:w="6760" w:type="dxa"/>
            <w:vAlign w:val="bottom"/>
          </w:tcPr>
          <w:p>
            <w:pPr>
              <w:ind w:left="340"/>
              <w:spacing w:after="0"/>
              <w:rPr>
                <w:sz w:val="20"/>
                <w:szCs w:val="20"/>
                <w:color w:val="auto"/>
              </w:rPr>
            </w:pPr>
            <w:r>
              <w:rPr>
                <w:rFonts w:ascii="Arial" w:cs="Arial" w:eastAsia="Arial" w:hAnsi="Arial"/>
                <w:sz w:val="18"/>
                <w:szCs w:val="18"/>
                <w:b w:val="1"/>
                <w:bCs w:val="1"/>
                <w:color w:val="auto"/>
              </w:rPr>
              <w:t>Free cash flow</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center"/>
              <w:ind w:left="513"/>
              <w:spacing w:after="0"/>
              <w:rPr>
                <w:sz w:val="20"/>
                <w:szCs w:val="20"/>
                <w:color w:val="auto"/>
              </w:rPr>
            </w:pPr>
            <w:r>
              <w:rPr>
                <w:rFonts w:ascii="Arial" w:cs="Arial" w:eastAsia="Arial" w:hAnsi="Arial"/>
                <w:sz w:val="18"/>
                <w:szCs w:val="18"/>
                <w:color w:val="auto"/>
                <w:w w:val="99"/>
              </w:rPr>
              <w:t>(35)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9"/>
              </w:rPr>
              <w:t>(37)</w:t>
            </w:r>
          </w:p>
        </w:tc>
      </w:tr>
      <w:tr>
        <w:trPr>
          <w:trHeight w:val="247"/>
        </w:trPr>
        <w:tc>
          <w:tcPr>
            <w:tcW w:w="6760" w:type="dxa"/>
            <w:vAlign w:val="bottom"/>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left="513"/>
              <w:spacing w:after="0"/>
              <w:rPr>
                <w:sz w:val="20"/>
                <w:szCs w:val="20"/>
                <w:color w:val="auto"/>
              </w:rPr>
            </w:pPr>
            <w:r>
              <w:rPr>
                <w:rFonts w:ascii="Arial" w:cs="Arial" w:eastAsia="Arial" w:hAnsi="Arial"/>
                <w:sz w:val="18"/>
                <w:szCs w:val="18"/>
                <w:color w:val="auto"/>
                <w:w w:val="99"/>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92"/>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20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197"/>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60" w:type="dxa"/>
            <w:vAlign w:val="bottom"/>
            <w:tcBorders>
              <w:bottom w:val="single" w:sz="8" w:color="auto"/>
            </w:tcBorders>
          </w:tcPr>
          <w:p>
            <w:pPr>
              <w:spacing w:after="0"/>
              <w:rPr>
                <w:sz w:val="17"/>
                <w:szCs w:val="17"/>
                <w:color w:val="auto"/>
              </w:rPr>
            </w:pPr>
          </w:p>
        </w:tc>
      </w:tr>
      <w:tr>
        <w:trPr>
          <w:trHeight w:val="224"/>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(70) bp</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(200) bp</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asset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(36.0) %</w:t>
            </w:r>
          </w:p>
        </w:tc>
      </w:tr>
      <w:tr>
        <w:trPr>
          <w:trHeight w:val="229"/>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operating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(240) bp</w:t>
            </w:r>
          </w:p>
        </w:tc>
      </w:tr>
      <w:tr>
        <w:trPr>
          <w:trHeight w:val="229"/>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bp</w:t>
            </w:r>
          </w:p>
        </w:tc>
      </w:tr>
      <w:tr>
        <w:trPr>
          <w:trHeight w:val="229"/>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non-operating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(Loss) on sale of businesses</w:t>
            </w:r>
          </w:p>
        </w:tc>
        <w:tc>
          <w:tcPr>
            <w:tcW w:w="30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Tax rate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bp</w:t>
            </w:r>
          </w:p>
        </w:tc>
      </w:tr>
      <w:tr>
        <w:trPr>
          <w:trHeight w:val="229"/>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generated during the three months ended March 31, 2024 was $2,033 million, reflecting an increase of $ 585 million, or 40.4%, compared to the prior year. On a constant currency basis, revenue grew 40.3% for the three months ended March 31, 2024. Revenue growth contributed by acquisitions and divestitures, net was $480 million for the three months ended March 31, 2024 and organic revenue increased $103 million, or 7.1% for the three months ended March 31, 2024, with foreign currency translation having a favorable impact on revenue of $2 million. The increases reflect strong organic growth across all of our major geographic regions, led by the U.S.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months ended March 31,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60"/>
              <w:spacing w:after="0"/>
              <w:rPr>
                <w:sz w:val="20"/>
                <w:szCs w:val="20"/>
                <w:color w:val="auto"/>
              </w:rPr>
            </w:pPr>
            <w:r>
              <w:rPr>
                <w:rFonts w:ascii="Arial" w:cs="Arial" w:eastAsia="Arial" w:hAnsi="Arial"/>
                <w:sz w:val="14"/>
                <w:szCs w:val="14"/>
                <w:color w:val="auto"/>
              </w:rPr>
              <w:t>$ Change</w:t>
            </w:r>
          </w:p>
        </w:tc>
        <w:tc>
          <w:tcPr>
            <w:tcW w:w="980" w:type="dxa"/>
            <w:vAlign w:val="bottom"/>
          </w:tcPr>
          <w:p>
            <w:pPr>
              <w:ind w:left="120"/>
              <w:spacing w:after="0"/>
              <w:rPr>
                <w:sz w:val="20"/>
                <w:szCs w:val="20"/>
                <w:color w:val="auto"/>
              </w:rPr>
            </w:pPr>
            <w:r>
              <w:rPr>
                <w:rFonts w:ascii="Arial" w:cs="Arial" w:eastAsia="Arial" w:hAnsi="Arial"/>
                <w:sz w:val="14"/>
                <w:szCs w:val="14"/>
                <w:color w:val="auto"/>
              </w:rPr>
              <w:t>%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800" w:type="dxa"/>
            <w:vAlign w:val="bottom"/>
          </w:tcPr>
          <w:p>
            <w:pPr>
              <w:ind w:left="1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92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960" w:type="dxa"/>
            <w:vAlign w:val="bottom"/>
          </w:tcPr>
          <w:p>
            <w:pPr>
              <w:jc w:val="right"/>
              <w:spacing w:after="0"/>
              <w:rPr>
                <w:sz w:val="20"/>
                <w:szCs w:val="20"/>
                <w:color w:val="auto"/>
              </w:rPr>
            </w:pPr>
            <w:r>
              <w:rPr>
                <w:rFonts w:ascii="Arial" w:cs="Arial" w:eastAsia="Arial" w:hAnsi="Arial"/>
                <w:sz w:val="18"/>
                <w:szCs w:val="18"/>
                <w:color w:val="auto"/>
              </w:rPr>
              <w:t>22.0 %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96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171.0 %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360" w:hanging="332"/>
        <w:spacing w:after="0" w:line="28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British Pound and the Euro, offset by the weakening in the Chinese Yuan and the Chilean Peso.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Water Infrastructure revenue increased $164 million, or 40.0%, for the first quarter of 2024 (39.8% increase on a constant currency basis) as compared to the prior year. Revenue growth for the quarter contributed by acquisitions was $137 million, with the remainder of the increase coming from organic revenue growth of $26 million, or 6.3%, and $1 million of favorable impacts from foreign currency translation. The transport application experienced $14 million of organic revenue growth, driven by backlog execution and timing of projects in western Europe and increased volumes in the U.S. Organic revenue for the treatment applications grew by $12 million, led by increased revenue from capital projects in the emerging markets and strength in the U.S. and western Europe.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Applied Water revenue decreased $17 million, or 3.8%, for the first quarter of 2024 (4.0% decrease on a constant currency basis) as compared to the prior year. Revenue was positively impacted by $1 million of foreign currency translation, with the change at constant currency coming entirely from an organic decline of $18 million. Organic weakness was driven by declines in both the building solutions and industrial applications. Within building solutions, organic revenue declined $13 million as a result of softness in the U.S. and western Europe while organic revenue from the emerging markets was flat as compared to the prior year. Industrial water had organic revenue declines of $5 million in the quarter, primarily in the U.S. due to decreased demand as compared to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Measurement and Control Solutions revenue increased $84 million, or 22.2%, for the first quarter of 2024 (22.0% increase on a constant currency basis) as compared to the prior year. Revenue was positively impacted by $1 million of foreign currency translation, with the change at constant currency coming entirely from organic growth of $83 million, or 22.0%. Organic revenue growth during the quarter was driven by $86 million in the smart metering and other applications, primarily in the U.S. due to increased sales volume. This growth was partially offset by a $3 million organic decline in analytics, primarily due to decreased sales volume.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Water Solutions and Services revenue increased $354 million, or 171.0%, for the first quarter of 2024 (171.5% increase on a constant currency basis) as compared to the prior year. Revenue growth for the quarter contributed by acquisitions was $343 million, with the remainder of the increase coming from organic revenue growth of $12 million, or 5.8%, and $1 million of unfavorable impacts from foreign currency translation. Organic revenue growth was primarily from strength in the dewatering application in the U.S. and the emerging markets due to increased volumes and favorable price realization.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first quarter of 2024 were $2,246 million, an increase of $676 million, or 43.1%, over the prior year (43.0% increase on a constant currency basis). Orders contributed by acquisitions were $621 million in the three months ended March 31, 2024. Order intake benefited from $1 million of foreign currency translation for the three months ended March 31, 2024.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40" w:name="page41"/>
    <w:bookmarkEnd w:id="40"/>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the three months ended March 31,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Water Infrastructure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80" w:type="dxa"/>
            <w:vAlign w:val="bottom"/>
          </w:tcPr>
          <w:p>
            <w:pPr>
              <w:ind w:left="360"/>
              <w:spacing w:after="0"/>
              <w:rPr>
                <w:sz w:val="20"/>
                <w:szCs w:val="20"/>
                <w:color w:val="auto"/>
              </w:rPr>
            </w:pPr>
            <w:r>
              <w:rPr>
                <w:rFonts w:ascii="Arial" w:cs="Arial" w:eastAsia="Arial" w:hAnsi="Arial"/>
                <w:sz w:val="14"/>
                <w:szCs w:val="14"/>
                <w:b w:val="1"/>
                <w:bCs w:val="1"/>
                <w:color w:val="auto"/>
              </w:rPr>
              <w:t>Measurement and</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880" w:type="dxa"/>
            <w:vAlign w:val="bottom"/>
          </w:tcPr>
          <w:p>
            <w:pPr>
              <w:ind w:left="360"/>
              <w:spacing w:after="0"/>
              <w:rPr>
                <w:sz w:val="20"/>
                <w:szCs w:val="20"/>
                <w:color w:val="auto"/>
              </w:rPr>
            </w:pPr>
            <w:r>
              <w:rPr>
                <w:rFonts w:ascii="Arial" w:cs="Arial" w:eastAsia="Arial" w:hAnsi="Arial"/>
                <w:sz w:val="14"/>
                <w:szCs w:val="14"/>
                <w:b w:val="1"/>
                <w:bCs w:val="1"/>
                <w:color w:val="auto"/>
              </w:rPr>
              <w:t>Control Solutions</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2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980" w:type="dxa"/>
            <w:vAlign w:val="bottom"/>
          </w:tcPr>
          <w:p>
            <w:pPr>
              <w:ind w:left="120"/>
              <w:spacing w:after="0"/>
              <w:rPr>
                <w:sz w:val="20"/>
                <w:szCs w:val="20"/>
                <w:color w:val="auto"/>
              </w:rPr>
            </w:pPr>
            <w:r>
              <w:rPr>
                <w:rFonts w:ascii="Arial" w:cs="Arial" w:eastAsia="Arial" w:hAnsi="Arial"/>
                <w:sz w:val="14"/>
                <w:szCs w:val="14"/>
                <w:color w:val="auto"/>
              </w:rPr>
              <w:t>%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Orders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90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9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98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9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360" w:type="dxa"/>
            <w:vAlign w:val="bottom"/>
            <w:gridSpan w:val="3"/>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9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40.1 %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227.5 %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Orders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2,246</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60" w:hanging="332"/>
        <w:spacing w:after="0" w:line="28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British Pound and the Euro, offset by the weakening in the Chinese Yuan and the Chilean Peso.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customer to customer based on their requirements. Annual or multi-year contracts are subject to rescheduling and cancellation by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long-term nature of the contracts. As such, beginning total backlog, plus orders, minus revenues, will not equal ending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due to contract adjustments, foreign currency fluctuations, and other factors. Typically, capital projects require longer lead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cycles and deployment schedules and delays occur from time to time. Total backlog was $5,272 million at March 31, 2024,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$1,529 million or 40.8%, as compared to March 31, 2023 backlog of $3,743 million, with $1,417 million of the increase coming from acquired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Backlog increased $184 million or 3.6%, as compared to December 31, 2023 backlog of $5,088 million, driven by the order intake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contract wins in the current period outpacing revenue. We anticipate that approximately 45% of the backlog at March 31, 2024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recognized as revenue in the remainder of 2024. There were no significant order cancellations during the quarter.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Gross margin as a percentage of revenue decreased 70 basis points to 37.0% for the three months ended March 31, 2024, as compared to 37.7% for the comparative 2023 period. The gross margin decrease for the quarter included 100 basis points from increases in special charges and acquired intangible asset amortization as compared to the prior year. Additionally, gross margin decline included 330 basis points of unfavorable operational impacts, driven by 110 basis points of inflation, 100 basis points of unfavorable impacts from the Evoqua acquisition and 40 basis points of increased spending on strategic investments. The gross margin decrease was partially offset by 360 basis points of favorable operational impacts driven by 180 basis points of productivity savings, 80 basis points of favorable mix, and 70 basis points of price realization.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months ended March 31, 2024 and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19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shd w:val="clear" w:color="auto" w:fill="CCEEFF"/>
          </w:tcPr>
          <w:p>
            <w:pPr>
              <w:spacing w:after="0"/>
              <w:rPr>
                <w:sz w:val="17"/>
                <w:szCs w:val="17"/>
                <w:color w:val="auto"/>
              </w:rPr>
            </w:pP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474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(110) bp</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(80) bp</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asset impairment charges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3"/>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r>
      <w:tr>
        <w:trPr>
          <w:trHeight w:val="247"/>
        </w:trPr>
        <w:tc>
          <w:tcPr>
            <w:tcW w:w="728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(200) bp</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SG&amp;A expenses increased by $120 million to $474 million, or 23.3% of revenue, in the first quarter of 2024, as compared to $354 million, or 24.4% of revenue, in the comparable 2023 period. Increases in SG&amp;A in the first quarter of 2024 as compared to the prior year primarily consisted of $91 million of additional operational SG&amp;A from the acquisition of Evoqua, inflation of $11 million, and increased spending on strategic investments of $7 million. These increases to SG&amp;A expenses were partially offset by $12 million of productivity savings and decreased realignment costs and special charges of $8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R&amp;D expense was $ 59 million, or 2.9% of revenue, in the first quarter of 2024, as compared to $53 million, or 3.7% of revenue in the first quarter of 2023 The R&amp;D spend has remained fairly consistent year over year.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From time to time, the Company will incur costs related to restructuring actions to optimize our cost base and more strategically position itself.</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Actions commenced in 2024 and 2023 consist primarily of severance charges. We currently expect to incur between $30 and $40 million in restructuring costs for the full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w:t>
      </w:r>
    </w:p>
    <w:p>
      <w:pPr>
        <w:spacing w:after="0" w:line="117" w:lineRule="exact"/>
        <w:rPr>
          <w:sz w:val="20"/>
          <w:szCs w:val="20"/>
          <w:color w:val="auto"/>
        </w:rPr>
      </w:pPr>
    </w:p>
    <w:p>
      <w:pPr>
        <w:ind w:right="600"/>
        <w:spacing w:after="0" w:line="279" w:lineRule="auto"/>
        <w:rPr>
          <w:sz w:val="20"/>
          <w:szCs w:val="20"/>
          <w:color w:val="auto"/>
        </w:rPr>
      </w:pPr>
      <w:r>
        <w:rPr>
          <w:rFonts w:ascii="Arial" w:cs="Arial" w:eastAsia="Arial" w:hAnsi="Arial"/>
          <w:sz w:val="18"/>
          <w:szCs w:val="18"/>
          <w:color w:val="auto"/>
        </w:rPr>
        <w:t>The following is a roll-forward for the three months ended March 31, 2024 and 2023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60" w:type="dxa"/>
            <w:vAlign w:val="bottom"/>
            <w:gridSpan w:val="2"/>
          </w:tcPr>
          <w:p>
            <w:pPr>
              <w:ind w:left="9100"/>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2023</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8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Planned reductions - March 31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8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$209 million (operating margin of 10.3%) during the first quarter of 2024, an increase of $78 million, or 59.5%, when compared to operating income of $131 million (operating margin of 9.0%) during the prior year. Operating margin increased 130 basis points, which included net unfavorable impacts of 40 basis points from increases in acquired intangible asset amortization and restructuring and realignment costs, partially offset by decreases special charges as compared to the prior year. Additionally, operating margin expansion included 570 basis points of favorable operational impacts driven by 250 basis points of productivity savings, 100 basis points of price realization, 100 basis points of increased volumes, and 80 basis points of favorable mix. These favorable impacts were partially offset by 400 basis points of unfavorable operational impacts, driven by a 180 basis point increase due to inflation, 100 basis points of increased spending on strategic investments, and 30 basis points of increased inventory management costs. Excluding acquired intangible asset amortization, restructuring and realignment costs, and special charges, adjusted operating income was $294 million (adjusted operating margin of 14.5%) for the first quarter of 2024 as compared to adjusted operating income of $185 million (adjusted operating margin of 12.8%) during the comparable quarter in the prior year.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$391 million (adjusted EBITDA margin of 19.2%) during the first quarter of 2024, an increase of $155 million, or</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65.7%, when compared to adjusted EBITDA of $236 million (adjusted EBITDA margin of 16.3%) during the comparable quarter in the prior year, an increase to adjusted EBITDA margin of 290 basis points. Adjusted EBITDA margin was impacted by the same offsetting factors impacting the adjusted operating margin; however, adjusted EBITDA margin also benefited 100 basis points from the exclusion of incremental depreciation and amortization.</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7" w:right="379" w:bottom="1440" w:gutter="0" w:footer="0" w:header="0"/>
        </w:sectPr>
      </w:pPr>
    </w:p>
    <w:bookmarkStart w:id="43" w:name="page44"/>
    <w:bookmarkEnd w:id="43"/>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7"/>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color w:val="auto"/>
              </w:rPr>
              <w:t>Change</w:t>
            </w:r>
          </w:p>
        </w:tc>
      </w:tr>
      <w:tr>
        <w:trPr>
          <w:trHeight w:val="19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30.4</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i w:val="1"/>
                <w:iCs w:val="1"/>
                <w:color w:val="auto"/>
              </w:rPr>
              <w:t>(70) bp</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133.3</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1,800.0</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980" w:type="dxa"/>
            <w:vAlign w:val="bottom"/>
          </w:tcPr>
          <w:p>
            <w:pPr>
              <w:spacing w:after="0"/>
              <w:rPr>
                <w:sz w:val="18"/>
                <w:szCs w:val="18"/>
                <w:color w:val="auto"/>
              </w:rPr>
            </w:pPr>
          </w:p>
        </w:tc>
      </w:tr>
      <w:tr>
        <w:trPr>
          <w:trHeight w:val="209"/>
        </w:trPr>
        <w:tc>
          <w:tcPr>
            <w:tcW w:w="66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980" w:type="dxa"/>
            <w:vAlign w:val="bottom"/>
            <w:tcBorders>
              <w:top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12.2 %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310</w:t>
            </w:r>
          </w:p>
        </w:tc>
        <w:tc>
          <w:tcPr>
            <w:tcW w:w="980" w:type="dxa"/>
            <w:vAlign w:val="bottom"/>
          </w:tcPr>
          <w:p>
            <w:pPr>
              <w:jc w:val="right"/>
              <w:ind w:right="699"/>
              <w:spacing w:after="0"/>
              <w:rPr>
                <w:sz w:val="20"/>
                <w:szCs w:val="20"/>
                <w:color w:val="auto"/>
              </w:rPr>
            </w:pPr>
            <w:r>
              <w:rPr>
                <w:rFonts w:ascii="Arial" w:cs="Arial" w:eastAsia="Arial" w:hAnsi="Arial"/>
                <w:sz w:val="16"/>
                <w:szCs w:val="16"/>
                <w:i w:val="1"/>
                <w:iCs w:val="1"/>
                <w:color w:val="auto"/>
              </w:rPr>
              <w:t>bp</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739"/>
              <w:spacing w:after="0"/>
              <w:rPr>
                <w:sz w:val="20"/>
                <w:szCs w:val="20"/>
                <w:color w:val="auto"/>
              </w:rPr>
            </w:pPr>
            <w:r>
              <w:rPr>
                <w:rFonts w:ascii="Arial" w:cs="Arial" w:eastAsia="Arial" w:hAnsi="Arial"/>
                <w:sz w:val="16"/>
                <w:szCs w:val="16"/>
                <w:color w:val="auto"/>
              </w:rPr>
              <w:t>(26.5) %</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i w:val="1"/>
                <w:iCs w:val="1"/>
                <w:color w:val="auto"/>
              </w:rPr>
              <w:t>(430) bp</w:t>
            </w:r>
          </w:p>
        </w:tc>
      </w:tr>
      <w:tr>
        <w:trPr>
          <w:trHeight w:val="216"/>
        </w:trPr>
        <w:tc>
          <w:tcPr>
            <w:tcW w:w="66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jc w:val="right"/>
              <w:ind w:right="739"/>
              <w:spacing w:after="0"/>
              <w:rPr>
                <w:sz w:val="20"/>
                <w:szCs w:val="20"/>
                <w:color w:val="auto"/>
              </w:rPr>
            </w:pPr>
            <w:r>
              <w:rPr>
                <w:rFonts w:ascii="Arial" w:cs="Arial" w:eastAsia="Arial" w:hAnsi="Arial"/>
                <w:sz w:val="16"/>
                <w:szCs w:val="16"/>
                <w:color w:val="auto"/>
              </w:rPr>
              <w:t>(33.3) %</w:t>
            </w:r>
          </w:p>
        </w:tc>
      </w:tr>
      <w:tr>
        <w:trPr>
          <w:trHeight w:val="209"/>
        </w:trPr>
        <w:tc>
          <w:tcPr>
            <w:tcW w:w="6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(26.7) %</w:t>
            </w:r>
          </w:p>
        </w:tc>
      </w:tr>
      <w:tr>
        <w:trPr>
          <w:trHeight w:val="216"/>
        </w:trPr>
        <w:tc>
          <w:tcPr>
            <w:tcW w:w="660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14.4 %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19.0 %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699"/>
              <w:spacing w:after="0"/>
              <w:rPr>
                <w:sz w:val="20"/>
                <w:szCs w:val="20"/>
                <w:color w:val="auto"/>
              </w:rPr>
            </w:pPr>
            <w:r>
              <w:rPr>
                <w:rFonts w:ascii="Arial" w:cs="Arial" w:eastAsia="Arial" w:hAnsi="Arial"/>
                <w:sz w:val="16"/>
                <w:szCs w:val="16"/>
                <w:i w:val="1"/>
                <w:iCs w:val="1"/>
                <w:color w:val="auto"/>
              </w:rPr>
              <w:t>(460) bp</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&amp; Control Solutions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169.2</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830</w:t>
            </w:r>
          </w:p>
        </w:tc>
        <w:tc>
          <w:tcPr>
            <w:tcW w:w="980" w:type="dxa"/>
            <w:vAlign w:val="bottom"/>
            <w:shd w:val="clear" w:color="auto" w:fill="CCEEFF"/>
          </w:tcPr>
          <w:p>
            <w:pPr>
              <w:jc w:val="right"/>
              <w:ind w:right="699"/>
              <w:spacing w:after="0"/>
              <w:rPr>
                <w:sz w:val="20"/>
                <w:szCs w:val="20"/>
                <w:color w:val="auto"/>
              </w:rPr>
            </w:pPr>
            <w:r>
              <w:rPr>
                <w:rFonts w:ascii="Arial" w:cs="Arial" w:eastAsia="Arial" w:hAnsi="Arial"/>
                <w:sz w:val="16"/>
                <w:szCs w:val="16"/>
                <w:i w:val="1"/>
                <w:iCs w:val="1"/>
                <w:color w:val="auto"/>
              </w:rPr>
              <w:t>bp</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739"/>
              <w:spacing w:after="0"/>
              <w:rPr>
                <w:sz w:val="20"/>
                <w:szCs w:val="20"/>
                <w:color w:val="auto"/>
              </w:rPr>
            </w:pPr>
            <w:r>
              <w:rPr>
                <w:rFonts w:ascii="Arial" w:cs="Arial" w:eastAsia="Arial" w:hAnsi="Arial"/>
                <w:sz w:val="16"/>
                <w:szCs w:val="16"/>
                <w:color w:val="auto"/>
              </w:rPr>
              <w:t>(60.0) %</w:t>
            </w:r>
          </w:p>
        </w:tc>
      </w:tr>
      <w:tr>
        <w:trPr>
          <w:trHeight w:val="216"/>
        </w:trPr>
        <w:tc>
          <w:tcPr>
            <w:tcW w:w="6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739"/>
              <w:spacing w:after="0"/>
              <w:rPr>
                <w:sz w:val="20"/>
                <w:szCs w:val="20"/>
                <w:color w:val="auto"/>
              </w:rPr>
            </w:pPr>
            <w:r>
              <w:rPr>
                <w:rFonts w:ascii="Arial" w:cs="Arial" w:eastAsia="Arial" w:hAnsi="Arial"/>
                <w:sz w:val="16"/>
                <w:szCs w:val="16"/>
                <w:color w:val="auto"/>
              </w:rPr>
              <w:t>(100.0) %</w:t>
            </w:r>
          </w:p>
        </w:tc>
      </w:tr>
      <w:tr>
        <w:trPr>
          <w:trHeight w:val="209"/>
        </w:trPr>
        <w:tc>
          <w:tcPr>
            <w:tcW w:w="66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980" w:type="dxa"/>
            <w:vAlign w:val="bottom"/>
            <w:tcBorders>
              <w:top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12.4 %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620</w:t>
            </w:r>
          </w:p>
        </w:tc>
        <w:tc>
          <w:tcPr>
            <w:tcW w:w="980" w:type="dxa"/>
            <w:vAlign w:val="bottom"/>
          </w:tcPr>
          <w:p>
            <w:pPr>
              <w:jc w:val="right"/>
              <w:ind w:right="699"/>
              <w:spacing w:after="0"/>
              <w:rPr>
                <w:sz w:val="20"/>
                <w:szCs w:val="20"/>
                <w:color w:val="auto"/>
              </w:rPr>
            </w:pPr>
            <w:r>
              <w:rPr>
                <w:rFonts w:ascii="Arial" w:cs="Arial" w:eastAsia="Arial" w:hAnsi="Arial"/>
                <w:sz w:val="16"/>
                <w:szCs w:val="16"/>
                <w:i w:val="1"/>
                <w:iCs w:val="1"/>
                <w:color w:val="auto"/>
              </w:rPr>
              <w:t>bp</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177.8</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8.9 %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w:t>
            </w:r>
          </w:p>
        </w:tc>
        <w:tc>
          <w:tcPr>
            <w:tcW w:w="980" w:type="dxa"/>
            <w:vAlign w:val="bottom"/>
            <w:shd w:val="clear" w:color="auto" w:fill="CCEEFF"/>
          </w:tcPr>
          <w:p>
            <w:pPr>
              <w:jc w:val="right"/>
              <w:ind w:right="699"/>
              <w:spacing w:after="0"/>
              <w:rPr>
                <w:sz w:val="20"/>
                <w:szCs w:val="20"/>
                <w:color w:val="auto"/>
              </w:rPr>
            </w:pPr>
            <w:r>
              <w:rPr>
                <w:rFonts w:ascii="Arial" w:cs="Arial" w:eastAsia="Arial" w:hAnsi="Arial"/>
                <w:sz w:val="16"/>
                <w:szCs w:val="16"/>
                <w:i w:val="1"/>
                <w:iCs w:val="1"/>
                <w:color w:val="auto"/>
              </w:rPr>
              <w:t>bp</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980" w:type="dxa"/>
            <w:vAlign w:val="bottom"/>
          </w:tcPr>
          <w:p>
            <w:pPr>
              <w:spacing w:after="0"/>
              <w:rPr>
                <w:sz w:val="18"/>
                <w:szCs w:val="18"/>
                <w:color w:val="auto"/>
              </w:rPr>
            </w:pPr>
          </w:p>
        </w:tc>
      </w:tr>
      <w:tr>
        <w:trPr>
          <w:trHeight w:val="216"/>
        </w:trPr>
        <w:tc>
          <w:tcPr>
            <w:tcW w:w="6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980" w:type="dxa"/>
            <w:vAlign w:val="bottom"/>
          </w:tcPr>
          <w:p>
            <w:pPr>
              <w:spacing w:after="0"/>
              <w:rPr>
                <w:sz w:val="18"/>
                <w:szCs w:val="18"/>
                <w:color w:val="auto"/>
              </w:rPr>
            </w:pPr>
          </w:p>
        </w:tc>
      </w:tr>
      <w:tr>
        <w:trPr>
          <w:trHeight w:val="210"/>
        </w:trPr>
        <w:tc>
          <w:tcPr>
            <w:tcW w:w="66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980" w:type="dxa"/>
            <w:vAlign w:val="bottom"/>
            <w:tcBorders>
              <w:top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14.8 %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470</w:t>
            </w:r>
          </w:p>
        </w:tc>
        <w:tc>
          <w:tcPr>
            <w:tcW w:w="980" w:type="dxa"/>
            <w:vAlign w:val="bottom"/>
          </w:tcPr>
          <w:p>
            <w:pPr>
              <w:jc w:val="right"/>
              <w:ind w:right="699"/>
              <w:spacing w:after="0"/>
              <w:rPr>
                <w:sz w:val="20"/>
                <w:szCs w:val="20"/>
                <w:color w:val="auto"/>
              </w:rPr>
            </w:pPr>
            <w:r>
              <w:rPr>
                <w:rFonts w:ascii="Arial" w:cs="Arial" w:eastAsia="Arial" w:hAnsi="Arial"/>
                <w:sz w:val="16"/>
                <w:szCs w:val="16"/>
                <w:color w:val="auto"/>
              </w:rPr>
              <w:t>bp</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739"/>
              <w:spacing w:after="0"/>
              <w:rPr>
                <w:sz w:val="20"/>
                <w:szCs w:val="20"/>
                <w:color w:val="auto"/>
              </w:rPr>
            </w:pPr>
            <w:r>
              <w:rPr>
                <w:rFonts w:ascii="Arial" w:cs="Arial" w:eastAsia="Arial" w:hAnsi="Arial"/>
                <w:sz w:val="16"/>
                <w:szCs w:val="16"/>
                <w:color w:val="auto"/>
              </w:rPr>
              <w:t>(23.8) %</w:t>
            </w:r>
          </w:p>
        </w:tc>
      </w:tr>
      <w:tr>
        <w:trPr>
          <w:trHeight w:val="216"/>
        </w:trPr>
        <w:tc>
          <w:tcPr>
            <w:tcW w:w="6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9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(78.3)</w:t>
            </w:r>
          </w:p>
        </w:tc>
        <w:tc>
          <w:tcPr>
            <w:tcW w:w="98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Adjusted operating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140"/>
              <w:spacing w:after="0"/>
              <w:rPr>
                <w:sz w:val="20"/>
                <w:szCs w:val="20"/>
                <w:color w:val="auto"/>
              </w:rPr>
            </w:pPr>
            <w:r>
              <w:rPr>
                <w:rFonts w:ascii="Arial" w:cs="Arial" w:eastAsia="Arial" w:hAnsi="Arial"/>
                <w:sz w:val="16"/>
                <w:szCs w:val="16"/>
                <w:b w:val="1"/>
                <w:bCs w:val="1"/>
                <w:color w:val="auto"/>
              </w:rPr>
              <w:t>Total Xylem</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9.0 %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130</w:t>
            </w:r>
          </w:p>
        </w:tc>
        <w:tc>
          <w:tcPr>
            <w:tcW w:w="980" w:type="dxa"/>
            <w:vAlign w:val="bottom"/>
          </w:tcPr>
          <w:p>
            <w:pPr>
              <w:jc w:val="right"/>
              <w:ind w:right="699"/>
              <w:spacing w:after="0"/>
              <w:rPr>
                <w:sz w:val="20"/>
                <w:szCs w:val="20"/>
                <w:color w:val="auto"/>
              </w:rPr>
            </w:pPr>
            <w:r>
              <w:rPr>
                <w:rFonts w:ascii="Arial" w:cs="Arial" w:eastAsia="Arial" w:hAnsi="Arial"/>
                <w:sz w:val="16"/>
                <w:szCs w:val="16"/>
                <w:i w:val="1"/>
                <w:iCs w:val="1"/>
                <w:color w:val="auto"/>
              </w:rPr>
              <w:t>bp</w:t>
            </w:r>
          </w:p>
        </w:tc>
      </w:tr>
      <w:tr>
        <w:trPr>
          <w:trHeight w:val="216"/>
        </w:trPr>
        <w:tc>
          <w:tcPr>
            <w:tcW w:w="6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200.0</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(36.0) %</w:t>
            </w:r>
          </w:p>
        </w:tc>
      </w:tr>
      <w:tr>
        <w:trPr>
          <w:trHeight w:val="210"/>
        </w:trPr>
        <w:tc>
          <w:tcPr>
            <w:tcW w:w="6600" w:type="dxa"/>
            <w:vAlign w:val="bottom"/>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58.9</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w w:val="98"/>
              </w:rPr>
              <w:t>%</w:t>
            </w:r>
          </w:p>
        </w:tc>
      </w:tr>
      <w:tr>
        <w:trPr>
          <w:trHeight w:val="216"/>
        </w:trPr>
        <w:tc>
          <w:tcPr>
            <w:tcW w:w="6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170</w:t>
            </w:r>
          </w:p>
        </w:tc>
        <w:tc>
          <w:tcPr>
            <w:tcW w:w="980" w:type="dxa"/>
            <w:vAlign w:val="bottom"/>
            <w:shd w:val="clear" w:color="auto" w:fill="CCEEFF"/>
          </w:tcPr>
          <w:p>
            <w:pPr>
              <w:jc w:val="right"/>
              <w:ind w:right="699"/>
              <w:spacing w:after="0"/>
              <w:rPr>
                <w:sz w:val="20"/>
                <w:szCs w:val="20"/>
                <w:color w:val="auto"/>
              </w:rPr>
            </w:pPr>
            <w:r>
              <w:rPr>
                <w:rFonts w:ascii="Arial" w:cs="Arial" w:eastAsia="Arial" w:hAnsi="Arial"/>
                <w:sz w:val="16"/>
                <w:szCs w:val="16"/>
                <w:i w:val="1"/>
                <w:iCs w:val="1"/>
                <w:color w:val="auto"/>
              </w:rPr>
              <w:t>bp</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Three Months Ended</w:t>
      </w:r>
    </w:p>
    <w:p>
      <w:pPr>
        <w:spacing w:after="0" w:line="40"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sale of businesses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236</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color w:val="auto"/>
              </w:rPr>
              <w:t>290</w:t>
            </w:r>
          </w:p>
        </w:tc>
        <w:tc>
          <w:tcPr>
            <w:tcW w:w="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21"/>
        </w:trPr>
        <w:tc>
          <w:tcPr>
            <w:tcW w:w="7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16.3%</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March 31, 2024</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90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8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900" w:type="dxa"/>
            <w:vAlign w:val="bottom"/>
          </w:tcPr>
          <w:p>
            <w:pPr>
              <w:jc w:val="right"/>
              <w:ind w:right="5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10.5 %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14.0 %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8.9 %</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on sale of</w:t>
            </w:r>
          </w:p>
        </w:tc>
        <w:tc>
          <w:tcPr>
            <w:tcW w:w="14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40" w:type="dxa"/>
            <w:vAlign w:val="bottom"/>
            <w:shd w:val="clear" w:color="auto" w:fill="CCEEFF"/>
          </w:tcPr>
          <w:p>
            <w:pPr>
              <w:spacing w:after="0"/>
              <w:rPr>
                <w:sz w:val="21"/>
                <w:szCs w:val="21"/>
                <w:color w:val="auto"/>
              </w:rPr>
            </w:pPr>
          </w:p>
        </w:tc>
        <w:tc>
          <w:tcPr>
            <w:tcW w:w="20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income (expense),</w:t>
            </w:r>
          </w:p>
        </w:tc>
        <w:tc>
          <w:tcPr>
            <w:tcW w:w="140" w:type="dxa"/>
            <w:vAlign w:val="bottom"/>
          </w:tcPr>
          <w:p>
            <w:pPr>
              <w:spacing w:after="0"/>
              <w:rPr>
                <w:sz w:val="15"/>
                <w:szCs w:val="15"/>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&amp;</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14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102</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17.8 %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March 31, 2023</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6"/>
                <w:szCs w:val="16"/>
                <w:color w:val="auto"/>
              </w:rPr>
            </w:pPr>
          </w:p>
        </w:tc>
        <w:tc>
          <w:tcPr>
            <w:tcW w:w="1920" w:type="dxa"/>
            <w:vAlign w:val="bottom"/>
            <w:gridSpan w:val="2"/>
          </w:tcPr>
          <w:p>
            <w:pPr>
              <w:jc w:val="center"/>
              <w:ind w:right="440"/>
              <w:spacing w:after="0" w:line="189"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6"/>
                <w:szCs w:val="16"/>
                <w:color w:val="auto"/>
              </w:rPr>
            </w:pPr>
          </w:p>
        </w:tc>
        <w:tc>
          <w:tcPr>
            <w:tcW w:w="198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6"/>
                <w:szCs w:val="16"/>
                <w:color w:val="auto"/>
              </w:rPr>
            </w:pPr>
          </w:p>
        </w:tc>
        <w:tc>
          <w:tcPr>
            <w:tcW w:w="194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2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0"/>
                <w:szCs w:val="20"/>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11.2 %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18.3 %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8.7 %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4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Other non-operating</w:t>
            </w: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income (expense),</w:t>
            </w:r>
          </w:p>
        </w:tc>
        <w:tc>
          <w:tcPr>
            <w:tcW w:w="16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160" w:type="dxa"/>
            <w:vAlign w:val="bottom"/>
            <w:shd w:val="clear" w:color="auto" w:fill="CCEEFF"/>
          </w:tcPr>
          <w:p>
            <w:pPr>
              <w:spacing w:after="0"/>
              <w:rPr>
                <w:sz w:val="19"/>
                <w:szCs w:val="19"/>
                <w:color w:val="auto"/>
              </w:rPr>
            </w:pPr>
          </w:p>
        </w:tc>
        <w:tc>
          <w:tcPr>
            <w:tcW w:w="2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88</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16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60</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92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20.3 %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0"/>
        </w:trPr>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ind w:right="1051"/>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tbl>
      <w:tblPr>
        <w:tblLayout w:type="fixed"/>
        <w:tblInd w:w="16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2024 versus 2023</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88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2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880" w:type="dxa"/>
            <w:vAlign w:val="bottom"/>
          </w:tcPr>
          <w:p>
            <w:pPr>
              <w:jc w:val="right"/>
              <w:ind w:right="50"/>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20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Borders>
              <w:top w:val="single" w:sz="8" w:color="CCEEFF"/>
            </w:tcBorders>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 bps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(430) bps</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830 bps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 bps</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12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excluding interest</w:t>
            </w: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 bps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 bps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 bps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 bps</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Operating income for our Water Infrastructure segment was $60 million (operating margin of 10.5%) during the first quarter of 2024, an increase of $14 million, or 30.4%, when compared to operating income of $46 million (operating margin of 11.2%) during the prior year, or a total decrease of 70 basis points basis points. Operating margin declines included unfavorable impacts of 380 basis points from increases in acquired intangible asset amortization, restructuring and realignment costs and special charges as compared to the prior year. Additionally, operating margin declines included 390 basis points of unfavorable operational impacts, driven by 180 basis points of inflation, 90 basis points of increased spending on strategic investments, and 20 basis points of increased inventory management costs. Margin declines were offset by 700 basis points from favorable operating impacts consisting of 240 basis points of productivity savings, 230 basis points of favorable mix, 100 basis points of increased volume, 70 basis points of favorable foreign currency exchange impacts and 60 basis points of price realization. Excluding amortization of acquired intangibles, restructuring and realignment cost and special charges, adjusted operating income was $88 million (adjusted operating margin of 15.3%) for the first quarter of 2024 as compared to adjusted operating income of $50 million (adjusted operating margin of 12.2%) for the first quarter of 2023.</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Adjusted EBITDA was $102 million (adjusted EBITDA margin of 17.8%) for the first quarter of 2024, an increase of $42 million, or 70.0%, when compared to adjusted EBITDA of $60 million (adjusted EBITDA margin of 14.6%) during the prior year. Adjusted EBITDA was impacted by the same offsetting factors impacting the adjusted operating margin.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for our Applied Water segment was $61 million (operating margin of 14.0%) during the first quarter of 2024, decrease of $22 million, or 26.5%, when compared to operating income of $83 million (operating margin of 18.3%) during the prior year, or a total decrease of 430 basis points. Operating margin declines included favorable impacts of 30 basis points from a decrease in restructuring and realignment costs as compared to the prior year. Additionally, operating margin declines included 820 basis points from unfavorable operational impacts, driven by 270 basis points of unfavorable mix, 230 basis points of inflation, 150 basis points of volume decline, 60 basis points of unfavorable foreign currency exchange impacts, and 50 basis points of inventory management costs. The decline in margin was partially offset by favorable operational impacts of 360 basis points driven by 340 basis points of productivity savings. Excluding restructuring and realignment costs, adjusted operating income was $63 million (adjusted operating margin of 14.4%) for the first quarter of 2024 as compared to adjusted operating income of $86 million (adjusted operating margin of 19.0%) for the first quarter of 2023.</w:t>
      </w:r>
    </w:p>
    <w:p>
      <w:pPr>
        <w:spacing w:after="0" w:line="7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EBITDA was $72 million (adjusted EBITDA margin of 16.5%) for the first quarter of 2024, a decrease of $20 million, or 21.7%, when compared to adjusted EBITDA of $92 million (adjusted EBITDA margin of 20.3%) during the prior year. The decrease in adjusted EBITDA margin was primarily due to the same factors impacting the decrease in adjusted operating margin; however, adjusted EBITDA margin was not negatively impacted by the relative impact of share-based compensation,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Measurement and Control Solutions segment was $70 million (operating margin of 15.2%) during the first quarter of 2024, an increase of $44 million, or 169.2%, when compared to operating income of $26 million (operating margin of 6.9%) during the prior year, or a total increase of 830 basis points. Operating margin expansion included favorable impacts of 210 basis points from restructuring and realignment costs, special charges, and acquired intangible asset amortization as compared to the prior year. Additionally, operating margin expansion included 1,120 basis points of favorable operational impacts, consisting of 380 basis points of productivity savings, 370 basis points of increased volume, 260 basis points of price realization, and 90 basis points of favorable mix. Margin expansion was partially offset by negative operational impacts of 500 basis points driven by 240 basis points of inflation, 90 basis points of increased inventory management costs, and 60 basis points of increased spending on strategic investments. Excluding acquired intangible asset amortization, restructuring and realignment costs and special charges, adjusted operating income was $86 million (adjusted operating margin of 18.6%) for the first quarter of 2024 as compared to adjusted operating income of $47 million (adjusted operating margin of 12.4%) for the first quarter of 2023.</w:t>
      </w:r>
    </w:p>
    <w:p>
      <w:pPr>
        <w:spacing w:after="0" w:line="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Adjusted EBITDA was $105 million (adjusted EBITDA margin of 22.7%) for the first quarter of 2024, an increase of $40 million, or 61.5%, when compared to adjusted EBITDA of $65 million (adjusted EBITDA margin of 17.2%) during the prior year. The increase in adjusted EBITDA margin was due to the same factors as those impacting the increase in adjusted operating margin; however, adjusted EBITDA margin did not benefit from the relative impact of share-based compensation expense, other non-operating expense and depreciation and software amortization.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for our Water Solutions and Services segment was $50 million (operating margin of 8.9%) during the first quarter of 2024, an increase of $32 million, or 177.8%, when compared to operating income of $18 million (operating margin of 8.7%) during the prior year, or a total increase of 20 basis points. Operating margin expansion included unfavorable impacts of 450 basis points from acquired intangible asset amortization, special charges, and restructuring and realignment costs as compared to the prior year. Additionally, operating margin expansion included 850 basis points of favorable operational impacts, consisting of 380 basis points of accretive margin from the Evoqua acquisition, 170 basis points of favorable mix, 130 basis points of increased volume, 70 basis points of productivity savings and 70 basis points of price realization. Margin expansion was offset by negative operational impacts of 380 basis points driven by 160 basis points of increased spending on strategic investments, 70 basis points of inflation, and 70 basis points of increased employee related costs. Excluding acquired intangible asset amortization, special charges, and restructuring and realignment costs, adjusted operating income was $83 million (adjusted operating margin of 14.8%) for the first quarter of 2024 as compared to adjusted operating income of $21 million (adjusted operating margin of 10.1%) for the first quarter of 2023.</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7" w:right="359" w:bottom="1440" w:gutter="0" w:footer="0" w:header="0"/>
        </w:sectPr>
      </w:pPr>
    </w:p>
    <w:bookmarkStart w:id="48" w:name="page49"/>
    <w:bookmarkEnd w:id="48"/>
    <w:p>
      <w:pPr>
        <w:ind w:right="260"/>
        <w:spacing w:after="0" w:line="262" w:lineRule="auto"/>
        <w:rPr>
          <w:sz w:val="20"/>
          <w:szCs w:val="20"/>
          <w:color w:val="auto"/>
        </w:rPr>
      </w:pPr>
      <w:r>
        <w:rPr>
          <w:rFonts w:ascii="Arial" w:cs="Arial" w:eastAsia="Arial" w:hAnsi="Arial"/>
          <w:sz w:val="18"/>
          <w:szCs w:val="18"/>
          <w:color w:val="auto"/>
        </w:rPr>
        <w:t>Adjusted EBITDA was $125 million (adjusted EBITDA margin of 22.3%) for the first quarter of 2024, an increase of $93 million, or 290.6%, when compared to adjusted EBITDA of $32 million (adjusted EBITDA margin of 15.5%) during the prior year. The increase in adjusted EBITDA margin was due to the same factors as those impacting the increase in adjusted operating margin; however, adjusted EBITDA margin was not negatively impacted by the relative impact of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loss for corporate and other decreased $10 million, or 24%, during the first quarter of 2024 compared to the prior year period. The decrease in operating loss was primarily due to decreased special charges related to integration costs resulting from the acquisition of Evoqua. Excluding special charges and restructuring and realignment costs, adjusted operating loss for corporate and other increased $7 million, or 36.8%, for the three months ended March 31, 2024 driven primarily by increased spending on strategic investments and higher employee related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Interest expense was $14 million for the three months ended March 31, 2024, compared to $9 million for the comparable prior year period. The increase in interest expense was primarily driven by a term loan entered into in May 2023 for use in funding the acquisition of Evoqua and securitization and equipment financing facilities assumed as part of our acquisition of Evoqua. Partially offsetting these items was a reduction of interest expense generated by cross currency swaps. See Note 10, “Derivative Financial Instruments” and Note 12, "Credit Facilities and Debt," of our condensed consolidated financial statements for a description of our net investment hedges and credit facilities and long-term debt,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income tax provision for the three months ended March 31, 2024 was $43 million resulting in an effective tax rate of 21.8%, compared to $27 million of expense resulting in an effective tax rate of 21.7% for the same period in 2023. The effective tax rate for the three month period ended March 31, 2024 was slightly higher than the effective tax rate for the same period in 2023, primarily due to earnings mix.</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center"/>
              <w:ind w:left="673"/>
              <w:spacing w:after="0"/>
              <w:rPr>
                <w:sz w:val="20"/>
                <w:szCs w:val="20"/>
                <w:color w:val="auto"/>
              </w:rPr>
            </w:pPr>
            <w:r>
              <w:rPr>
                <w:rFonts w:ascii="Arial" w:cs="Arial" w:eastAsia="Arial" w:hAnsi="Arial"/>
                <w:sz w:val="18"/>
                <w:szCs w:val="18"/>
                <w:b w:val="1"/>
                <w:bCs w:val="1"/>
                <w:color w:val="auto"/>
                <w:w w:val="99"/>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center"/>
              <w:ind w:left="673"/>
              <w:spacing w:after="0"/>
              <w:rPr>
                <w:sz w:val="20"/>
                <w:szCs w:val="20"/>
                <w:color w:val="auto"/>
              </w:rPr>
            </w:pPr>
            <w:r>
              <w:rPr>
                <w:rFonts w:ascii="Arial" w:cs="Arial" w:eastAsia="Arial" w:hAnsi="Arial"/>
                <w:sz w:val="18"/>
                <w:szCs w:val="18"/>
                <w:b w:val="1"/>
                <w:bCs w:val="1"/>
                <w:color w:val="auto"/>
                <w:w w:val="99"/>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73"/>
              <w:spacing w:after="0"/>
              <w:rPr>
                <w:sz w:val="20"/>
                <w:szCs w:val="20"/>
                <w:color w:val="auto"/>
              </w:rPr>
            </w:pPr>
            <w:r>
              <w:rPr>
                <w:rFonts w:ascii="Arial" w:cs="Arial" w:eastAsia="Arial" w:hAnsi="Arial"/>
                <w:sz w:val="18"/>
                <w:szCs w:val="18"/>
                <w:b w:val="1"/>
                <w:bCs w:val="1"/>
                <w:color w:val="auto"/>
                <w:w w:val="99"/>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73"/>
              <w:spacing w:after="0"/>
              <w:rPr>
                <w:sz w:val="20"/>
                <w:szCs w:val="20"/>
                <w:color w:val="auto"/>
              </w:rPr>
            </w:pPr>
            <w:r>
              <w:rPr>
                <w:rFonts w:ascii="Arial" w:cs="Arial" w:eastAsia="Arial" w:hAnsi="Arial"/>
                <w:sz w:val="18"/>
                <w:szCs w:val="18"/>
                <w:b w:val="1"/>
                <w:bCs w:val="1"/>
                <w:color w:val="auto"/>
                <w:w w:val="99"/>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center"/>
              <w:ind w:left="673"/>
              <w:spacing w:after="0"/>
              <w:rPr>
                <w:sz w:val="20"/>
                <w:szCs w:val="20"/>
                <w:color w:val="auto"/>
              </w:rPr>
            </w:pPr>
            <w:r>
              <w:rPr>
                <w:rFonts w:ascii="Arial" w:cs="Arial" w:eastAsia="Arial" w:hAnsi="Arial"/>
                <w:sz w:val="18"/>
                <w:szCs w:val="18"/>
                <w:b w:val="1"/>
                <w:bCs w:val="1"/>
                <w:color w:val="auto"/>
                <w:w w:val="9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is primarily due to weakening of the Euro, Chilean Peso and the Canadian Dollar.</w:t>
      </w:r>
    </w:p>
    <w:p>
      <w:pPr>
        <w:spacing w:after="0" w:line="110" w:lineRule="exact"/>
        <w:rPr>
          <w:rFonts w:ascii="Arial" w:cs="Arial" w:eastAsia="Arial" w:hAnsi="Arial"/>
          <w:sz w:val="16"/>
          <w:szCs w:val="16"/>
          <w:color w:val="auto"/>
        </w:rPr>
      </w:pPr>
    </w:p>
    <w:p>
      <w:pPr>
        <w:ind w:right="8660"/>
        <w:spacing w:after="0" w:line="374"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Cash generated by operating activities was $89 million for the three months ended March 31, 2024 as compared to cash used in operating activities of $19 million in the comparable prior year period. The increase in cash provided was primarily driven by higher cash earnings and lower tax payments. Higher payments for employee benefit costs and increased prepaid expenses partially offset these items.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Cash used in investing activities was $51 million for the three months ended March 31, 2024 as compared to $37 million in the comparable prior year period. The increase in cash used reflects higher capital expenditures in the current period partially offset by proceeds from the sale of a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used by financing activities was $82 million for the three months ended March 31, 2024 as compared to cash used of $63 million in the comparable prior year period. The increase in cash used reflects higher dividend payments, increased purchases of common stock and the repayment of debt. Proceeds from the exercise of employee stock options partially offset these items.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7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$1.9 billion, consisting of $947 million of cash and $1 billion of available credit facilities as disclosed in Note 12, "Credit Facilities and Debt", of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2023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2023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Outlook</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updating our total revenue growth to be in the range of 15% to 16%, and organic revenue growth to be in the range of 4% to 6% in 2024. Our outlook reflects our current visibility and expectations based on the current market environment and other factors and is largely consistent with the outlook provided in our 2023 Annual Report. Our ability to meet our expectations is subject to a number of risks, including, but not limited to, those described in "Item 1A. Risk Factors" in our 2023 Annual Report.</w:t>
      </w:r>
    </w:p>
    <w:p>
      <w:pPr>
        <w:spacing w:after="0" w:line="6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2023 Annual Report.</w:t>
      </w:r>
    </w:p>
    <w:p>
      <w:pPr>
        <w:spacing w:after="0" w:line="200" w:lineRule="exact"/>
        <w:rPr>
          <w:sz w:val="20"/>
          <w:szCs w:val="20"/>
          <w:color w:val="auto"/>
        </w:rPr>
      </w:pPr>
    </w:p>
    <w:p>
      <w:pPr>
        <w:spacing w:after="0" w:line="34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Evoqua previously disclosed in its public filings that the United States Attorney’s Office for the District of Massachusetts was investigating whether financial misstatements were made in Evoqua’s public filings and earnings announcements. Xylem previously disclosed in our 2023</w:t>
      </w:r>
    </w:p>
    <w:p>
      <w:pPr>
        <w:spacing w:after="0"/>
        <w:rPr>
          <w:sz w:val="20"/>
          <w:szCs w:val="20"/>
          <w:color w:val="auto"/>
        </w:rPr>
      </w:pPr>
      <w:r>
        <w:rPr>
          <w:rFonts w:ascii="Arial" w:cs="Arial" w:eastAsia="Arial" w:hAnsi="Arial"/>
          <w:sz w:val="18"/>
          <w:szCs w:val="18"/>
          <w:color w:val="auto"/>
        </w:rPr>
        <w:t>Annual Report that the investigation was moved to the United States Attorney’s Office for the District of Rhode Island. The Company is</w:t>
      </w:r>
    </w:p>
    <w:p>
      <w:pPr>
        <w:spacing w:after="0" w:line="5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continuing to cooperate with the investigation and cannot predict its outcome. We currently believe that it will not have a material adverse effect on our business, financial condition, results of operations, or prospects.</w:t>
      </w:r>
    </w:p>
    <w:p>
      <w:pPr>
        <w:spacing w:after="0" w:line="4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Note 18, "Commitments and Contingencies," to the condensed consolidated financial statements for further information and any updates.</w:t>
      </w:r>
    </w:p>
    <w:p>
      <w:pPr>
        <w:spacing w:after="0" w:line="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2023 Annual Report.</w:t>
      </w:r>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March 31, 2024:</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9"/>
        </w:trPr>
        <w:tc>
          <w:tcPr>
            <w:tcW w:w="276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1/1/24 - 1/31/24</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2/1/24 - 2/29/24</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3/1/24 - 3/31/24</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61"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March 31, 2024. There are up to $182 million in shares that may still be purchased under this plan as of March 31, 2024.</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line="1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quarter ended March 31, 2024, no director or Section 16 officer adopted or terminated any Rule 10b5-1 trading arrangements or non-Rule 10b5-1 trading arrangements (in each case, as defined in Item 408(a) of Regulation S-K).</w:t>
      </w:r>
    </w:p>
    <w:p>
      <w:pPr>
        <w:spacing w:after="0" w:line="2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XYLEM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rPr>
              <w:t>Exhibit</w:t>
            </w:r>
          </w:p>
        </w:tc>
        <w:tc>
          <w:tcPr>
            <w:tcW w:w="516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Description</w:t>
            </w:r>
          </w:p>
        </w:tc>
        <w:tc>
          <w:tcPr>
            <w:tcW w:w="530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Number</w:t>
            </w:r>
          </w:p>
        </w:tc>
        <w:tc>
          <w:tcPr>
            <w:tcW w:w="5160" w:type="dxa"/>
            <w:vAlign w:val="bottom"/>
            <w:tcBorders>
              <w:bottom w:val="single" w:sz="8" w:color="auto"/>
            </w:tcBorders>
            <w:vMerge w:val="continue"/>
          </w:tcPr>
          <w:p>
            <w:pPr>
              <w:spacing w:after="0"/>
              <w:rPr>
                <w:sz w:val="16"/>
                <w:szCs w:val="16"/>
                <w:color w:val="auto"/>
              </w:rPr>
            </w:pPr>
          </w:p>
        </w:tc>
        <w:tc>
          <w:tcPr>
            <w:tcW w:w="5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gridSpan w:val="4"/>
          </w:tcPr>
          <w:p>
            <w:pPr>
              <w:jc w:val="center"/>
              <w:ind w:left="172"/>
              <w:spacing w:after="0"/>
              <w:rPr>
                <w:rFonts w:ascii="Arial" w:cs="Arial" w:eastAsia="Arial" w:hAnsi="Arial"/>
                <w:sz w:val="18"/>
                <w:szCs w:val="18"/>
                <w:color w:val="0000FF"/>
              </w:rPr>
            </w:pPr>
            <w:hyperlink r:id="rId6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Fourth Amended and Restated Articles of Incorporation of</w:t>
            </w:r>
          </w:p>
        </w:tc>
        <w:tc>
          <w:tcPr>
            <w:tcW w:w="5300" w:type="dxa"/>
            <w:vAlign w:val="bottom"/>
          </w:tcPr>
          <w:p>
            <w:pPr>
              <w:ind w:left="4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Xylem Inc.</w:t>
            </w:r>
          </w:p>
        </w:tc>
        <w:tc>
          <w:tcPr>
            <w:tcW w:w="5300" w:type="dxa"/>
            <w:vAlign w:val="bottom"/>
          </w:tcPr>
          <w:p>
            <w:pPr>
              <w:ind w:left="4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rFonts w:ascii="Arial" w:cs="Arial" w:eastAsia="Arial" w:hAnsi="Arial"/>
                <w:sz w:val="18"/>
                <w:szCs w:val="18"/>
                <w:color w:val="0000FF"/>
              </w:rPr>
            </w:pPr>
            <w:hyperlink r:id="rId6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Fifth Amended and Restated By-laws of Xylem Inc.</w:t>
            </w:r>
          </w:p>
        </w:tc>
        <w:tc>
          <w:tcPr>
            <w:tcW w:w="5300" w:type="dxa"/>
            <w:vAlign w:val="bottom"/>
          </w:tcPr>
          <w:p>
            <w:pPr>
              <w:ind w:left="4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w w:val="99"/>
              </w:rPr>
              <w:t>filed on November 15, 2022 (CIK No. 1524472, File No. 1-35229).</w:t>
            </w:r>
          </w:p>
        </w:tc>
        <w:tc>
          <w:tcPr>
            <w:tcW w:w="0" w:type="dxa"/>
            <w:vAlign w:val="bottom"/>
          </w:tcPr>
          <w:p>
            <w:pPr>
              <w:spacing w:after="0"/>
              <w:rPr>
                <w:sz w:val="1"/>
                <w:szCs w:val="1"/>
                <w:color w:val="auto"/>
              </w:rPr>
            </w:pPr>
          </w:p>
        </w:tc>
      </w:tr>
      <w:tr>
        <w:trPr>
          <w:trHeight w:val="247"/>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180" w:type="dxa"/>
            <w:vAlign w:val="bottom"/>
          </w:tcPr>
          <w:p>
            <w:pPr>
              <w:spacing w:after="0"/>
              <w:rPr>
                <w:sz w:val="21"/>
                <w:szCs w:val="21"/>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Letter Agreement between Xylem Inc. and Franz Cerwinka</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180" w:type="dxa"/>
            <w:vAlign w:val="bottom"/>
          </w:tcPr>
          <w:p>
            <w:pPr>
              <w:spacing w:after="0"/>
              <w:rPr>
                <w:sz w:val="22"/>
                <w:szCs w:val="22"/>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Form of 2011 Omnibus Incentive Plan Non-Qualified Stock</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Option Grant Agreement (2024).</w:t>
            </w:r>
          </w:p>
        </w:tc>
        <w:tc>
          <w:tcPr>
            <w:tcW w:w="5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p>
        </w:tc>
        <w:tc>
          <w:tcPr>
            <w:tcW w:w="180" w:type="dxa"/>
            <w:vAlign w:val="bottom"/>
          </w:tcPr>
          <w:p>
            <w:pPr>
              <w:spacing w:after="0"/>
              <w:rPr>
                <w:sz w:val="22"/>
                <w:szCs w:val="22"/>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Form of 2011 Omnibus Incentive Plan Non-Qualified Stock</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Option Grant Agreement for Senior Leadership Team (2024)</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Form of 2011 Omnibus Incentive Plan Performance Share</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Unit Grant Agreement (2024)</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Form of 2011 Omnibus Incentive Plan Performance Share</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Unit Grant Agreement for Senior Leadership Team (2024)</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Form of 2011 Omnibus Incentive Plan Restricted Stock Unit</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Agreement (2024)</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p>
        </w:tc>
        <w:tc>
          <w:tcPr>
            <w:tcW w:w="180" w:type="dxa"/>
            <w:vAlign w:val="bottom"/>
          </w:tcPr>
          <w:p>
            <w:pPr>
              <w:spacing w:after="0"/>
              <w:rPr>
                <w:sz w:val="20"/>
                <w:szCs w:val="20"/>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  Form of 2011 Omnibus Incentive Plan Restricted Stock Unit</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Agreement for Senior Leadership Team (2024)</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Certification pursuant to Rule 13a-14(a)/15d-14(a) of the</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160" w:type="dxa"/>
            <w:vAlign w:val="bottom"/>
          </w:tcPr>
          <w:p>
            <w:pPr>
              <w:ind w:left="32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Certification pursuant to Rule 13a-14(a)/15d-14(a) of the</w:t>
            </w:r>
          </w:p>
        </w:tc>
        <w:tc>
          <w:tcPr>
            <w:tcW w:w="53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160" w:type="dxa"/>
            <w:vAlign w:val="bottom"/>
          </w:tcPr>
          <w:p>
            <w:pPr>
              <w:ind w:left="32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18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160" w:type="dxa"/>
            <w:vAlign w:val="bottom"/>
          </w:tcPr>
          <w:p>
            <w:pPr>
              <w:ind w:left="320"/>
              <w:spacing w:after="0" w:line="157" w:lineRule="exact"/>
              <w:rPr>
                <w:sz w:val="20"/>
                <w:szCs w:val="20"/>
                <w:color w:val="auto"/>
              </w:rPr>
            </w:pPr>
            <w:r>
              <w:rPr>
                <w:rFonts w:ascii="Arial" w:cs="Arial" w:eastAsia="Arial" w:hAnsi="Arial"/>
                <w:sz w:val="18"/>
                <w:szCs w:val="18"/>
                <w:color w:val="auto"/>
              </w:rPr>
              <w:t>pursuant to Section 906 of the Sarbanes-Oxley Act of 2002</w:t>
            </w:r>
          </w:p>
        </w:tc>
        <w:tc>
          <w:tcPr>
            <w:tcW w:w="5300" w:type="dxa"/>
            <w:vAlign w:val="bottom"/>
          </w:tcPr>
          <w:p>
            <w:pPr>
              <w:ind w:left="40"/>
              <w:spacing w:after="0" w:line="157"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300" w:type="dxa"/>
            <w:vAlign w:val="bottom"/>
          </w:tcPr>
          <w:p>
            <w:pPr>
              <w:ind w:left="40"/>
              <w:spacing w:after="0" w:line="181" w:lineRule="exact"/>
              <w:rPr>
                <w:sz w:val="20"/>
                <w:szCs w:val="20"/>
                <w:color w:val="auto"/>
              </w:rPr>
            </w:pPr>
            <w:r>
              <w:rPr>
                <w:rFonts w:ascii="Arial" w:cs="Arial" w:eastAsia="Arial" w:hAnsi="Arial"/>
                <w:sz w:val="18"/>
                <w:szCs w:val="18"/>
                <w:color w:val="auto"/>
              </w:rPr>
              <w:t>be filed for purposes of Section 18 of the Securities Exchange Act</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300" w:type="dxa"/>
            <w:vAlign w:val="bottom"/>
          </w:tcPr>
          <w:p>
            <w:pPr>
              <w:ind w:left="40"/>
              <w:spacing w:after="0" w:line="176" w:lineRule="exact"/>
              <w:rPr>
                <w:sz w:val="20"/>
                <w:szCs w:val="20"/>
                <w:color w:val="auto"/>
              </w:rPr>
            </w:pPr>
            <w:r>
              <w:rPr>
                <w:rFonts w:ascii="Arial" w:cs="Arial" w:eastAsia="Arial" w:hAnsi="Arial"/>
                <w:sz w:val="18"/>
                <w:szCs w:val="18"/>
                <w:color w:val="auto"/>
              </w:rPr>
              <w:t>of 1934 or incorporated by reference into any filing under the</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300" w:type="dxa"/>
            <w:vAlign w:val="bottom"/>
          </w:tcPr>
          <w:p>
            <w:pPr>
              <w:ind w:left="40"/>
              <w:spacing w:after="0" w:line="183"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r>
        <w:trPr>
          <w:trHeight w:val="233"/>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p>
        </w:tc>
        <w:tc>
          <w:tcPr>
            <w:tcW w:w="18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tcPr>
          <w:p>
            <w:pPr>
              <w:ind w:left="320"/>
              <w:spacing w:after="0" w:line="175" w:lineRule="exact"/>
              <w:rPr>
                <w:sz w:val="20"/>
                <w:szCs w:val="20"/>
                <w:color w:val="auto"/>
              </w:rPr>
            </w:pPr>
            <w:r>
              <w:rPr>
                <w:rFonts w:ascii="Arial" w:cs="Arial" w:eastAsia="Arial" w:hAnsi="Arial"/>
                <w:sz w:val="18"/>
                <w:szCs w:val="18"/>
                <w:color w:val="auto"/>
              </w:rPr>
              <w:t>pursuant to Section 906 of the Sarbanes-Oxley Act of 2002</w:t>
            </w:r>
          </w:p>
        </w:tc>
        <w:tc>
          <w:tcPr>
            <w:tcW w:w="5300" w:type="dxa"/>
            <w:vAlign w:val="bottom"/>
          </w:tcPr>
          <w:p>
            <w:pPr>
              <w:ind w:left="40"/>
              <w:spacing w:after="0" w:line="175"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bl>
    <w:p>
      <w:pPr>
        <w:ind w:left="5980"/>
        <w:spacing w:after="0" w:line="203" w:lineRule="auto"/>
        <w:rPr>
          <w:sz w:val="20"/>
          <w:szCs w:val="20"/>
          <w:color w:val="auto"/>
        </w:rPr>
      </w:pPr>
      <w:r>
        <w:rPr>
          <w:rFonts w:ascii="Arial" w:cs="Arial" w:eastAsia="Arial" w:hAnsi="Arial"/>
          <w:sz w:val="18"/>
          <w:szCs w:val="18"/>
          <w:color w:val="auto"/>
        </w:rPr>
        <w:t>be filed for purposes of Section 18 of the Securities Exchange Act</w:t>
      </w:r>
    </w:p>
    <w:p>
      <w:pPr>
        <w:ind w:left="5980"/>
        <w:spacing w:after="0" w:line="203" w:lineRule="auto"/>
        <w:rPr>
          <w:sz w:val="20"/>
          <w:szCs w:val="20"/>
          <w:color w:val="auto"/>
        </w:rPr>
      </w:pPr>
      <w:r>
        <w:rPr>
          <w:rFonts w:ascii="Arial" w:cs="Arial" w:eastAsia="Arial" w:hAnsi="Arial"/>
          <w:sz w:val="18"/>
          <w:szCs w:val="18"/>
          <w:color w:val="auto"/>
        </w:rPr>
        <w:t>of 1934 or incorporated by reference into any filing under the</w:t>
      </w:r>
    </w:p>
    <w:p>
      <w:pPr>
        <w:ind w:left="5980"/>
        <w:spacing w:after="0" w:line="220" w:lineRule="auto"/>
        <w:rPr>
          <w:sz w:val="20"/>
          <w:szCs w:val="20"/>
          <w:color w:val="auto"/>
        </w:rPr>
      </w:pPr>
      <w:r>
        <w:rPr>
          <w:rFonts w:ascii="Arial" w:cs="Arial" w:eastAsia="Arial" w:hAnsi="Arial"/>
          <w:sz w:val="18"/>
          <w:szCs w:val="18"/>
          <w:color w:val="auto"/>
        </w:rPr>
        <w:t>Securities Act of 1933 or the Securities Exchange Act of 1934,</w:t>
      </w:r>
    </w:p>
    <w:p>
      <w:pPr>
        <w:ind w:left="5980"/>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760" w:type="dxa"/>
            <w:vAlign w:val="bottom"/>
          </w:tcPr>
          <w:p>
            <w:pPr>
              <w:jc w:val="center"/>
              <w:ind w:right="1168"/>
              <w:spacing w:after="0"/>
              <w:rPr>
                <w:sz w:val="20"/>
                <w:szCs w:val="20"/>
                <w:color w:val="auto"/>
              </w:rPr>
            </w:pPr>
            <w:r>
              <w:rPr>
                <w:rFonts w:ascii="Arial" w:cs="Arial" w:eastAsia="Arial" w:hAnsi="Arial"/>
                <w:sz w:val="14"/>
                <w:szCs w:val="14"/>
                <w:b w:val="1"/>
                <w:bCs w:val="1"/>
                <w:color w:val="auto"/>
              </w:rPr>
              <w:t>Exhibit</w:t>
            </w:r>
          </w:p>
        </w:tc>
        <w:tc>
          <w:tcPr>
            <w:tcW w:w="420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2780" w:type="dxa"/>
            <w:vAlign w:val="bottom"/>
            <w:vMerge w:val="restart"/>
          </w:tcPr>
          <w:p>
            <w:pPr>
              <w:ind w:left="218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760" w:type="dxa"/>
            <w:vAlign w:val="bottom"/>
          </w:tcPr>
          <w:p>
            <w:pPr>
              <w:jc w:val="center"/>
              <w:ind w:right="1148"/>
              <w:spacing w:after="0"/>
              <w:rPr>
                <w:sz w:val="20"/>
                <w:szCs w:val="20"/>
                <w:color w:val="auto"/>
              </w:rPr>
            </w:pPr>
            <w:r>
              <w:rPr>
                <w:rFonts w:ascii="Arial" w:cs="Arial" w:eastAsia="Arial" w:hAnsi="Arial"/>
                <w:sz w:val="14"/>
                <w:szCs w:val="14"/>
                <w:b w:val="1"/>
                <w:bCs w:val="1"/>
                <w:color w:val="auto"/>
              </w:rPr>
              <w:t>Number</w:t>
            </w:r>
          </w:p>
        </w:tc>
        <w:tc>
          <w:tcPr>
            <w:tcW w:w="420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-6985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480" w:top="928" w:right="459" w:bottom="1440" w:gutter="0" w:footer="0" w:header="0"/>
        </w:sectPr>
      </w:pPr>
    </w:p>
    <w:p>
      <w:pPr>
        <w:ind w:left="940" w:right="200" w:hanging="890"/>
        <w:spacing w:after="0" w:line="232" w:lineRule="auto"/>
        <w:tabs>
          <w:tab w:leader="none" w:pos="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March 31,</w:t>
      </w:r>
    </w:p>
    <w:p>
      <w:pPr>
        <w:spacing w:after="0" w:line="1" w:lineRule="exact"/>
        <w:rPr>
          <w:sz w:val="20"/>
          <w:szCs w:val="20"/>
          <w:color w:val="auto"/>
        </w:rPr>
      </w:pPr>
    </w:p>
    <w:p>
      <w:pPr>
        <w:ind w:left="940" w:right="420"/>
        <w:spacing w:after="0" w:line="221" w:lineRule="auto"/>
        <w:rPr>
          <w:sz w:val="20"/>
          <w:szCs w:val="20"/>
          <w:color w:val="auto"/>
        </w:rPr>
      </w:pPr>
      <w:r>
        <w:rPr>
          <w:rFonts w:ascii="Arial" w:cs="Arial" w:eastAsia="Arial" w:hAnsi="Arial"/>
          <w:sz w:val="17"/>
          <w:szCs w:val="17"/>
          <w:color w:val="auto"/>
        </w:rPr>
        <w:t>2024, formatted in Inline Extensible Business Reporting Language (Inline XBRL): (i) Condensed Consolidated Income Statements, (ii) Condensed Consolidated</w:t>
      </w:r>
    </w:p>
    <w:p>
      <w:pPr>
        <w:ind w:left="940" w:right="60"/>
        <w:spacing w:after="0" w:line="221" w:lineRule="auto"/>
        <w:rPr>
          <w:sz w:val="20"/>
          <w:szCs w:val="20"/>
          <w:color w:val="auto"/>
        </w:rPr>
      </w:pPr>
      <w:r>
        <w:rPr>
          <w:rFonts w:ascii="Arial" w:cs="Arial" w:eastAsia="Arial" w:hAnsi="Arial"/>
          <w:sz w:val="17"/>
          <w:szCs w:val="17"/>
          <w:color w:val="auto"/>
        </w:rPr>
        <w:t>Statements of Comprehensive Income, (iii) Condensed Consolidated Balance Sheets, (iv) Condensed Consolidated Statements of Cash Flows and (v) Notes to Condensed</w:t>
      </w:r>
    </w:p>
    <w:p>
      <w:pPr>
        <w:ind w:left="940"/>
        <w:spacing w:after="0"/>
        <w:rPr>
          <w:sz w:val="20"/>
          <w:szCs w:val="20"/>
          <w:color w:val="auto"/>
        </w:rPr>
      </w:pPr>
      <w:r>
        <w:rPr>
          <w:rFonts w:ascii="Arial" w:cs="Arial" w:eastAsia="Arial" w:hAnsi="Arial"/>
          <w:sz w:val="18"/>
          <w:szCs w:val="18"/>
          <w:color w:val="auto"/>
        </w:rPr>
        <w:t>Consolidated Financial Statements</w:t>
      </w:r>
    </w:p>
    <w:p>
      <w:pPr>
        <w:spacing w:after="0" w:line="45"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ind w:left="940"/>
        <w:spacing w:after="0" w:line="232" w:lineRule="auto"/>
        <w:rPr>
          <w:sz w:val="20"/>
          <w:szCs w:val="20"/>
          <w:color w:val="auto"/>
        </w:rPr>
      </w:pPr>
      <w:r>
        <w:rPr>
          <w:rFonts w:ascii="Arial" w:cs="Arial" w:eastAsia="Arial" w:hAnsi="Arial"/>
          <w:sz w:val="17"/>
          <w:szCs w:val="17"/>
          <w:color w:val="auto"/>
        </w:rPr>
        <w:t>10-Q for the period ended March 31, 2024 formatted in Inline</w:t>
      </w:r>
    </w:p>
    <w:p>
      <w:pPr>
        <w:ind w:left="940"/>
        <w:spacing w:after="0"/>
        <w:rPr>
          <w:sz w:val="20"/>
          <w:szCs w:val="20"/>
          <w:color w:val="auto"/>
        </w:rPr>
      </w:pPr>
      <w:r>
        <w:rPr>
          <w:rFonts w:ascii="Arial" w:cs="Arial" w:eastAsia="Arial" w:hAnsi="Arial"/>
          <w:sz w:val="18"/>
          <w:szCs w:val="18"/>
          <w:color w:val="auto"/>
        </w:rPr>
        <w:t>XBRL and contained in Exhibit 101.0.</w:t>
      </w:r>
    </w:p>
    <w:p>
      <w:pPr>
        <w:spacing w:after="0" w:line="59" w:lineRule="exact"/>
        <w:rPr>
          <w:sz w:val="20"/>
          <w:szCs w:val="20"/>
          <w:color w:val="auto"/>
        </w:rPr>
      </w:pPr>
    </w:p>
    <w:p>
      <w:pPr>
        <w:ind w:left="940" w:right="960" w:hanging="8"/>
        <w:spacing w:after="0"/>
        <w:tabs>
          <w:tab w:leader="none" w:pos="10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ectPr>
          <w:pgSz w:w="11900" w:h="16838" w:orient="portrait"/>
          <w:cols w:equalWidth="0" w:num="2">
            <w:col w:w="5780" w:space="60"/>
            <w:col w:w="5120"/>
          </w:cols>
          <w:pgMar w:left="480" w:top="928" w:right="459" w:bottom="1440" w:gutter="0" w:footer="0" w:header="0"/>
          <w:type w:val="continuous"/>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Geri-Michelle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May 2,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1093" w:right="4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1220470</wp:posOffset>
            </wp:positionV>
            <wp:extent cx="1405890" cy="565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Xylem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International Drive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Rye Brook, NY 10573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18"/>
          <w:szCs w:val="18"/>
          <w:color w:val="auto"/>
        </w:rPr>
        <w:t>April 21, 2020</w:t>
      </w:r>
    </w:p>
    <w:p>
      <w:pPr>
        <w:spacing w:after="0" w:line="221" w:lineRule="auto"/>
        <w:rPr>
          <w:sz w:val="20"/>
          <w:szCs w:val="20"/>
          <w:color w:val="auto"/>
        </w:rPr>
      </w:pPr>
      <w:r>
        <w:rPr>
          <w:rFonts w:ascii="Calibri" w:cs="Calibri" w:eastAsia="Calibri" w:hAnsi="Calibri"/>
          <w:sz w:val="18"/>
          <w:szCs w:val="18"/>
          <w:color w:val="auto"/>
        </w:rPr>
        <w:t>Franz Cerwinka</w:t>
      </w:r>
    </w:p>
    <w:p>
      <w:pPr>
        <w:spacing w:after="0" w:line="221" w:lineRule="auto"/>
        <w:rPr>
          <w:sz w:val="20"/>
          <w:szCs w:val="20"/>
          <w:color w:val="auto"/>
        </w:rPr>
      </w:pPr>
      <w:r>
        <w:rPr>
          <w:rFonts w:ascii="Calibri" w:cs="Calibri" w:eastAsia="Calibri" w:hAnsi="Calibri"/>
          <w:sz w:val="18"/>
          <w:szCs w:val="18"/>
          <w:color w:val="auto"/>
        </w:rPr>
        <w:t>[Address on fle with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color w:val="auto"/>
        </w:rPr>
        <w:t>Dear Franz,</w:t>
      </w:r>
    </w:p>
    <w:p>
      <w:pPr>
        <w:spacing w:after="0" w:line="231" w:lineRule="exact"/>
        <w:rPr>
          <w:sz w:val="20"/>
          <w:szCs w:val="20"/>
          <w:color w:val="auto"/>
        </w:rPr>
      </w:pPr>
    </w:p>
    <w:p>
      <w:pPr>
        <w:ind w:right="60"/>
        <w:spacing w:after="0" w:line="223" w:lineRule="auto"/>
        <w:rPr>
          <w:sz w:val="20"/>
          <w:szCs w:val="20"/>
          <w:color w:val="auto"/>
        </w:rPr>
      </w:pPr>
      <w:r>
        <w:rPr>
          <w:rFonts w:ascii="Calibri" w:cs="Calibri" w:eastAsia="Calibri" w:hAnsi="Calibri"/>
          <w:sz w:val="18"/>
          <w:szCs w:val="18"/>
          <w:color w:val="auto"/>
        </w:rPr>
        <w:t>We are pleased to present you with this ofer of employment with Xylem Inc. for the positon of Senior Vice President &amp; President, Emerging Markets reportng directly to Patrick Decker, Xylem’s President and Chief Executve Ofcer and efectve as of your frst day of employment. You will be employed by Xylem Inc. in our headquarters locaton in Rye Brook, NY and you will be seconded to be on assignment for Xylem Water Solutons, Singapore Pte. Ltd in Singapore. Specifcs for the Singapore assignment are provided in Addendum A. Your frst day of employment is expected to be on a mutually agreed date, not later than July 1, 2020. This ofer of employment, including the fact that you will be joining Xylem, is confdental untl the earlier of (1) Xylem Inc.’s public announcement of you joining the company, (2) your frst day of employment.</w:t>
      </w:r>
    </w:p>
    <w:p>
      <w:pPr>
        <w:spacing w:after="0" w:line="287" w:lineRule="exact"/>
        <w:rPr>
          <w:sz w:val="20"/>
          <w:szCs w:val="20"/>
          <w:color w:val="auto"/>
        </w:rPr>
      </w:pPr>
    </w:p>
    <w:p>
      <w:pPr>
        <w:ind w:left="660" w:right="80" w:hanging="328"/>
        <w:spacing w:after="0" w:line="212" w:lineRule="auto"/>
        <w:tabs>
          <w:tab w:leader="none" w:pos="655" w:val="left"/>
        </w:tabs>
        <w:numPr>
          <w:ilvl w:val="0"/>
          <w:numId w:val="23"/>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Base Salary</w:t>
      </w:r>
      <w:r>
        <w:rPr>
          <w:rFonts w:ascii="Calibri" w:cs="Calibri" w:eastAsia="Calibri" w:hAnsi="Calibri"/>
          <w:sz w:val="18"/>
          <w:szCs w:val="18"/>
          <w:color w:val="auto"/>
        </w:rPr>
        <w:t>: You will be compensated on a bi-weekly basis in the amount of $19,615.38 which is equivalent to $510,000 annually. Annual merit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increases are normally scheduled for March of each year and are at the discreton of the Leadership Development and Compensaton Commitee of the Board (“LDCC”). You will be able to partcipate in the merit increase program beginning in 2021. This positon is considered Exempt and not enttled to overtme compensaton as provided by Federal Law.</w:t>
      </w:r>
    </w:p>
    <w:p>
      <w:pPr>
        <w:spacing w:after="0" w:line="286" w:lineRule="exact"/>
        <w:rPr>
          <w:rFonts w:ascii="Arial" w:cs="Arial" w:eastAsia="Arial" w:hAnsi="Arial"/>
          <w:sz w:val="22"/>
          <w:szCs w:val="22"/>
          <w:color w:val="auto"/>
        </w:rPr>
      </w:pPr>
    </w:p>
    <w:p>
      <w:pPr>
        <w:ind w:left="660" w:right="80" w:hanging="328"/>
        <w:spacing w:after="0" w:line="215" w:lineRule="auto"/>
        <w:tabs>
          <w:tab w:leader="none" w:pos="655" w:val="left"/>
        </w:tabs>
        <w:numPr>
          <w:ilvl w:val="0"/>
          <w:numId w:val="23"/>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Incentve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 will be eligible for partcipaton in the Annual Incentve Plan (AIP) beginning with performance year 2020 according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approved parameters of the plan and provided targets are met and approved by the LDCC. Your incentve target is 65% of base salary. For 2020, you will be eligible for the full year annual incentve; approved bonus awards are typically paid in March for performance from the previous calendar year.</w:t>
      </w:r>
    </w:p>
    <w:p>
      <w:pPr>
        <w:spacing w:after="0" w:line="250"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Annual Long-Term Incentve Plan</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You will be eligible to partcipate in the Xylem Long-Term Incentve Plan (LTIP) and will have</w:t>
      </w:r>
    </w:p>
    <w:p>
      <w:pPr>
        <w:spacing w:after="0" w:line="14" w:lineRule="exact"/>
        <w:rPr>
          <w:sz w:val="20"/>
          <w:szCs w:val="20"/>
          <w:color w:val="auto"/>
        </w:rPr>
      </w:pPr>
    </w:p>
    <w:p>
      <w:pPr>
        <w:ind w:left="660"/>
        <w:spacing w:after="0" w:line="213" w:lineRule="auto"/>
        <w:rPr>
          <w:sz w:val="20"/>
          <w:szCs w:val="20"/>
          <w:color w:val="auto"/>
        </w:rPr>
      </w:pPr>
      <w:r>
        <w:rPr>
          <w:rFonts w:ascii="Calibri" w:cs="Calibri" w:eastAsia="Calibri" w:hAnsi="Calibri"/>
          <w:sz w:val="22"/>
          <w:szCs w:val="22"/>
          <w:color w:val="auto"/>
        </w:rPr>
        <w:t>an annual target award of $600,000 to be provided as 50% Performance Share Units (PSUs), 25% Restricted Stock Units (RSUs) and 25% Stock Optons. RSUs and Stock Optons vest one-third afer each year and the PSUs vest 100% afer three years and payable based on the Company’s performance. Subsequent annual grants may vary based on individual performance and market compettveness and are subject to approval by the LDCC.</w:t>
      </w:r>
    </w:p>
    <w:p>
      <w:pPr>
        <w:sectPr>
          <w:pgSz w:w="11900" w:h="16838" w:orient="portrait"/>
          <w:cols w:equalWidth="0" w:num="1">
            <w:col w:w="11220"/>
          </w:cols>
          <w:pgMar w:left="320" w:top="1440" w:right="359" w:bottom="1440" w:gutter="0" w:footer="0" w:header="0"/>
        </w:sectPr>
      </w:pPr>
    </w:p>
    <w:bookmarkStart w:id="57" w:name="page58"/>
    <w:bookmarkEnd w:id="57"/>
    <w:p>
      <w:pPr>
        <w:ind w:right="120" w:firstLine="324"/>
        <w:spacing w:after="0" w:line="225" w:lineRule="auto"/>
        <w:rPr>
          <w:sz w:val="20"/>
          <w:szCs w:val="20"/>
          <w:color w:val="auto"/>
        </w:rPr>
      </w:pPr>
      <w:r>
        <w:rPr>
          <w:rFonts w:ascii="Calibri" w:cs="Calibri" w:eastAsia="Calibri" w:hAnsi="Calibri"/>
          <w:sz w:val="18"/>
          <w:szCs w:val="18"/>
          <w:color w:val="auto"/>
        </w:rPr>
        <w:t>Your frst annual LTIP award will be made efectve on the date of hire. In the event the date of hire is within a trading restricton period (e.g. insider black-out period), the RSU grant will be made on the frst day following the lapse of the trading restricton. The vestng terms, performance targets and grant agreement will be consistent as other senior executves’ most recent annual LTIP award granted on February 27, 2020.</w:t>
      </w:r>
    </w:p>
    <w:p>
      <w:pPr>
        <w:spacing w:after="0" w:line="287" w:lineRule="exact"/>
        <w:rPr>
          <w:sz w:val="20"/>
          <w:szCs w:val="20"/>
          <w:color w:val="auto"/>
        </w:rPr>
      </w:pPr>
    </w:p>
    <w:p>
      <w:pPr>
        <w:jc w:val="both"/>
        <w:ind w:left="660" w:hanging="328"/>
        <w:spacing w:after="0" w:line="215" w:lineRule="auto"/>
        <w:tabs>
          <w:tab w:leader="none" w:pos="655" w:val="left"/>
        </w:tabs>
        <w:numPr>
          <w:ilvl w:val="0"/>
          <w:numId w:val="24"/>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Sign-On RSU Grant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 will also be eligible for a one-tme special sign-on RSU grant of $550,000. The sign-on RSUs will be made efectve on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date of hire. In the event the date of hire is within a trading restricton period (e.g. insider black-out period), the RSU grant will be made on the frst day following the lapse of the trading restricton. The vestng schedule for the sign-on RSUs will provide that, subject to your contnued employment, one-third of the sign-on RSUs vests on each anniversary of the grant date.</w:t>
      </w:r>
    </w:p>
    <w:p>
      <w:pPr>
        <w:spacing w:after="0" w:line="274" w:lineRule="exact"/>
        <w:rPr>
          <w:rFonts w:ascii="Arial" w:cs="Arial" w:eastAsia="Arial" w:hAnsi="Arial"/>
          <w:sz w:val="22"/>
          <w:szCs w:val="22"/>
          <w:color w:val="auto"/>
        </w:rPr>
      </w:pPr>
    </w:p>
    <w:p>
      <w:pPr>
        <w:ind w:left="660" w:right="20" w:hanging="328"/>
        <w:spacing w:after="0" w:line="211" w:lineRule="auto"/>
        <w:tabs>
          <w:tab w:leader="none" w:pos="655" w:val="left"/>
        </w:tabs>
        <w:numPr>
          <w:ilvl w:val="0"/>
          <w:numId w:val="24"/>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Relocaton and Internatonal Assignment Support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 (and your family) will be relocated to Singapore and provided additonal assignment support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with housing, home leave and tax support (Addendum A provides specifc details).</w:t>
      </w:r>
    </w:p>
    <w:p>
      <w:pPr>
        <w:spacing w:after="0" w:line="284" w:lineRule="exact"/>
        <w:rPr>
          <w:rFonts w:ascii="Arial" w:cs="Arial" w:eastAsia="Arial" w:hAnsi="Arial"/>
          <w:sz w:val="22"/>
          <w:szCs w:val="22"/>
          <w:color w:val="auto"/>
        </w:rPr>
      </w:pPr>
    </w:p>
    <w:p>
      <w:pPr>
        <w:jc w:val="both"/>
        <w:ind w:left="660" w:hanging="328"/>
        <w:spacing w:after="0" w:line="230" w:lineRule="auto"/>
        <w:tabs>
          <w:tab w:leader="none" w:pos="655" w:val="left"/>
        </w:tabs>
        <w:numPr>
          <w:ilvl w:val="0"/>
          <w:numId w:val="24"/>
        </w:numPr>
        <w:rPr>
          <w:rFonts w:ascii="Arial" w:cs="Arial" w:eastAsia="Arial" w:hAnsi="Arial"/>
          <w:sz w:val="21"/>
          <w:szCs w:val="21"/>
          <w:color w:val="auto"/>
        </w:rPr>
      </w:pPr>
      <w:r>
        <w:rPr>
          <w:rFonts w:ascii="Calibri" w:cs="Calibri" w:eastAsia="Calibri" w:hAnsi="Calibri"/>
          <w:sz w:val="17"/>
          <w:szCs w:val="17"/>
          <w:b w:val="1"/>
          <w:bCs w:val="1"/>
          <w:u w:val="single" w:color="auto"/>
          <w:color w:val="auto"/>
        </w:rPr>
        <w:t>Beneft Plans</w:t>
      </w:r>
      <w:r>
        <w:rPr>
          <w:rFonts w:ascii="Calibri" w:cs="Calibri" w:eastAsia="Calibri" w:hAnsi="Calibri"/>
          <w:sz w:val="17"/>
          <w:szCs w:val="17"/>
          <w:color w:val="auto"/>
        </w:rPr>
        <w:t>: A complete benefts package will be made available to you and your eligible dependents, which includes immediate enrollment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medical plans and subject to any enrollment waitng periods as defned by certain life insurance coverage plans. You will also be required to bring in the original birth certfcate(s) for your dependent children (if applicable) and your marriage certfcate (if applicable) if you wish to cover your dependents under any Xylem sponsored beneft program (i.e., health insurance). A benefts summary is atached for your reference. You will be scheduled for a comprehensive beneft orientaton during your frst week of employment. While you are on assignment in Singapore, you and your enrolled eligible dependents will be eligible for a special global medical and dental coverage instead of the U.S. medical and dental coverages.</w:t>
      </w:r>
    </w:p>
    <w:p>
      <w:pPr>
        <w:spacing w:after="0" w:line="285" w:lineRule="exact"/>
        <w:rPr>
          <w:rFonts w:ascii="Arial" w:cs="Arial" w:eastAsia="Arial" w:hAnsi="Arial"/>
          <w:sz w:val="21"/>
          <w:szCs w:val="21"/>
          <w:color w:val="auto"/>
        </w:rPr>
      </w:pPr>
    </w:p>
    <w:p>
      <w:pPr>
        <w:jc w:val="both"/>
        <w:ind w:left="660" w:hanging="328"/>
        <w:spacing w:after="0" w:line="230" w:lineRule="auto"/>
        <w:tabs>
          <w:tab w:leader="none" w:pos="655" w:val="left"/>
        </w:tabs>
        <w:numPr>
          <w:ilvl w:val="0"/>
          <w:numId w:val="24"/>
        </w:numPr>
        <w:rPr>
          <w:rFonts w:ascii="Arial" w:cs="Arial" w:eastAsia="Arial" w:hAnsi="Arial"/>
          <w:sz w:val="20"/>
          <w:szCs w:val="20"/>
          <w:color w:val="auto"/>
        </w:rPr>
      </w:pPr>
      <w:r>
        <w:rPr>
          <w:rFonts w:ascii="Calibri" w:cs="Calibri" w:eastAsia="Calibri" w:hAnsi="Calibri"/>
          <w:sz w:val="17"/>
          <w:szCs w:val="17"/>
          <w:b w:val="1"/>
          <w:bCs w:val="1"/>
          <w:u w:val="single" w:color="auto"/>
          <w:color w:val="auto"/>
        </w:rPr>
        <w:t>Paid Time Of (PTO</w:t>
      </w:r>
      <w:r>
        <w:rPr>
          <w:rFonts w:ascii="Calibri" w:cs="Calibri" w:eastAsia="Calibri" w:hAnsi="Calibri"/>
          <w:sz w:val="17"/>
          <w:szCs w:val="17"/>
          <w:u w:val="single" w:color="auto"/>
          <w:color w:val="auto"/>
        </w:rPr>
        <w:t>)</w:t>
      </w:r>
      <w:r>
        <w:rPr>
          <w:rFonts w:ascii="Calibri" w:cs="Calibri" w:eastAsia="Calibri" w:hAnsi="Calibri"/>
          <w:sz w:val="17"/>
          <w:szCs w:val="17"/>
          <w:color w:val="auto"/>
        </w:rPr>
        <w:t>: Xylem provides Paid Time of (PTO) to benefts-eligible employees to enable tme of from work for rest and relaxaton and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balance their lives. Paid Time Of provides a single bank of hours employees can use for sick, vacaton and/or other personal reasons. You will accrue paid tme of at the bi-weekly accrual rate of 7.08 hours per pay period (equivalent to 23 days annually) beginning on your date of hire and is based on total eligible hours worked and/or utlized during each pay period. Below is the PTO accrual schedule for completed years of service. </w:t>
      </w:r>
      <w:r>
        <w:rPr>
          <w:rFonts w:ascii="Calibri" w:cs="Calibri" w:eastAsia="Calibri" w:hAnsi="Calibri"/>
          <w:sz w:val="13"/>
          <w:szCs w:val="13"/>
          <w:b w:val="1"/>
          <w:bCs w:val="1"/>
          <w:color w:val="FFFFFF"/>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663440" cy="797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4663440" cy="7975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shd w:val="clear" w:color="auto" w:fill="009A44"/>
          </w:tcPr>
          <w:p>
            <w:pPr>
              <w:ind w:left="40"/>
              <w:spacing w:after="0"/>
              <w:rPr>
                <w:sz w:val="20"/>
                <w:szCs w:val="20"/>
                <w:color w:val="auto"/>
              </w:rPr>
            </w:pPr>
            <w:r>
              <w:rPr>
                <w:rFonts w:ascii="Calibri" w:cs="Calibri" w:eastAsia="Calibri" w:hAnsi="Calibri"/>
                <w:sz w:val="14"/>
                <w:szCs w:val="14"/>
                <w:b w:val="1"/>
                <w:bCs w:val="1"/>
                <w:color w:val="FFFFFF"/>
              </w:rPr>
              <w:t>Completed</w:t>
            </w:r>
          </w:p>
        </w:tc>
        <w:tc>
          <w:tcPr>
            <w:tcW w:w="1640" w:type="dxa"/>
            <w:vAlign w:val="bottom"/>
            <w:shd w:val="clear" w:color="auto" w:fill="009A44"/>
          </w:tcPr>
          <w:p>
            <w:pPr>
              <w:jc w:val="center"/>
              <w:spacing w:after="0"/>
              <w:rPr>
                <w:sz w:val="20"/>
                <w:szCs w:val="20"/>
                <w:color w:val="auto"/>
              </w:rPr>
            </w:pPr>
            <w:r>
              <w:rPr>
                <w:rFonts w:ascii="Calibri" w:cs="Calibri" w:eastAsia="Calibri" w:hAnsi="Calibri"/>
                <w:sz w:val="14"/>
                <w:szCs w:val="14"/>
                <w:b w:val="1"/>
                <w:bCs w:val="1"/>
                <w:color w:val="FFFFFF"/>
              </w:rPr>
              <w:t>Bi-Weekly</w:t>
            </w:r>
          </w:p>
        </w:tc>
        <w:tc>
          <w:tcPr>
            <w:tcW w:w="2280" w:type="dxa"/>
            <w:vAlign w:val="bottom"/>
            <w:shd w:val="clear" w:color="auto" w:fill="009A44"/>
          </w:tcPr>
          <w:p>
            <w:pPr>
              <w:jc w:val="center"/>
              <w:ind w:left="8"/>
              <w:spacing w:after="0"/>
              <w:rPr>
                <w:sz w:val="20"/>
                <w:szCs w:val="20"/>
                <w:color w:val="auto"/>
              </w:rPr>
            </w:pPr>
            <w:r>
              <w:rPr>
                <w:rFonts w:ascii="Calibri" w:cs="Calibri" w:eastAsia="Calibri" w:hAnsi="Calibri"/>
                <w:sz w:val="14"/>
                <w:szCs w:val="14"/>
                <w:b w:val="1"/>
                <w:bCs w:val="1"/>
                <w:color w:val="FFFFFF"/>
              </w:rPr>
              <w:t>Equivalent Days Annually</w:t>
            </w:r>
          </w:p>
        </w:tc>
        <w:tc>
          <w:tcPr>
            <w:tcW w:w="1100" w:type="dxa"/>
            <w:vAlign w:val="bottom"/>
            <w:shd w:val="clear" w:color="auto" w:fill="009A44"/>
          </w:tcPr>
          <w:p>
            <w:pPr>
              <w:jc w:val="center"/>
              <w:spacing w:after="0"/>
              <w:rPr>
                <w:sz w:val="20"/>
                <w:szCs w:val="20"/>
                <w:color w:val="auto"/>
              </w:rPr>
            </w:pPr>
            <w:r>
              <w:rPr>
                <w:rFonts w:ascii="Calibri" w:cs="Calibri" w:eastAsia="Calibri" w:hAnsi="Calibri"/>
                <w:sz w:val="14"/>
                <w:szCs w:val="14"/>
                <w:b w:val="1"/>
                <w:bCs w:val="1"/>
                <w:color w:val="FFFFFF"/>
              </w:rPr>
              <w:t>Hourly</w:t>
            </w:r>
          </w:p>
        </w:tc>
      </w:tr>
      <w:tr>
        <w:trPr>
          <w:trHeight w:val="162"/>
        </w:trPr>
        <w:tc>
          <w:tcPr>
            <w:tcW w:w="2320" w:type="dxa"/>
            <w:vAlign w:val="bottom"/>
            <w:shd w:val="clear" w:color="auto" w:fill="009A44"/>
          </w:tcPr>
          <w:p>
            <w:pPr>
              <w:ind w:left="40"/>
              <w:spacing w:after="0" w:line="162" w:lineRule="exact"/>
              <w:rPr>
                <w:sz w:val="20"/>
                <w:szCs w:val="20"/>
                <w:color w:val="auto"/>
              </w:rPr>
            </w:pPr>
            <w:r>
              <w:rPr>
                <w:rFonts w:ascii="Calibri" w:cs="Calibri" w:eastAsia="Calibri" w:hAnsi="Calibri"/>
                <w:sz w:val="14"/>
                <w:szCs w:val="14"/>
                <w:b w:val="1"/>
                <w:bCs w:val="1"/>
                <w:color w:val="FFFFFF"/>
              </w:rPr>
              <w:t>Years o</w:t>
            </w:r>
          </w:p>
        </w:tc>
        <w:tc>
          <w:tcPr>
            <w:tcW w:w="1640" w:type="dxa"/>
            <w:vAlign w:val="bottom"/>
            <w:shd w:val="clear" w:color="auto" w:fill="009A44"/>
          </w:tcPr>
          <w:p>
            <w:pPr>
              <w:jc w:val="center"/>
              <w:spacing w:after="0" w:line="162" w:lineRule="exact"/>
              <w:rPr>
                <w:sz w:val="20"/>
                <w:szCs w:val="20"/>
                <w:color w:val="auto"/>
              </w:rPr>
            </w:pPr>
            <w:r>
              <w:rPr>
                <w:rFonts w:ascii="Calibri" w:cs="Calibri" w:eastAsia="Calibri" w:hAnsi="Calibri"/>
                <w:sz w:val="14"/>
                <w:szCs w:val="14"/>
                <w:b w:val="1"/>
                <w:bCs w:val="1"/>
                <w:color w:val="FFFFFF"/>
              </w:rPr>
              <w:t>Accrual Rate</w:t>
            </w:r>
          </w:p>
        </w:tc>
        <w:tc>
          <w:tcPr>
            <w:tcW w:w="2280" w:type="dxa"/>
            <w:vAlign w:val="bottom"/>
            <w:shd w:val="clear" w:color="auto" w:fill="009A44"/>
          </w:tcPr>
          <w:p>
            <w:pPr>
              <w:jc w:val="center"/>
              <w:ind w:left="8"/>
              <w:spacing w:after="0" w:line="162" w:lineRule="exact"/>
              <w:rPr>
                <w:sz w:val="20"/>
                <w:szCs w:val="20"/>
                <w:color w:val="auto"/>
              </w:rPr>
            </w:pPr>
            <w:r>
              <w:rPr>
                <w:rFonts w:ascii="Calibri" w:cs="Calibri" w:eastAsia="Calibri" w:hAnsi="Calibri"/>
                <w:sz w:val="14"/>
                <w:szCs w:val="14"/>
                <w:b w:val="1"/>
                <w:bCs w:val="1"/>
                <w:color w:val="FFFFFF"/>
              </w:rPr>
              <w:t>(Full-Time)</w:t>
            </w:r>
          </w:p>
        </w:tc>
        <w:tc>
          <w:tcPr>
            <w:tcW w:w="1100" w:type="dxa"/>
            <w:vAlign w:val="bottom"/>
            <w:shd w:val="clear" w:color="auto" w:fill="009A44"/>
          </w:tcPr>
          <w:p>
            <w:pPr>
              <w:jc w:val="center"/>
              <w:spacing w:after="0" w:line="162" w:lineRule="exact"/>
              <w:rPr>
                <w:sz w:val="20"/>
                <w:szCs w:val="20"/>
                <w:color w:val="auto"/>
              </w:rPr>
            </w:pPr>
            <w:r>
              <w:rPr>
                <w:rFonts w:ascii="Calibri" w:cs="Calibri" w:eastAsia="Calibri" w:hAnsi="Calibri"/>
                <w:sz w:val="14"/>
                <w:szCs w:val="14"/>
                <w:b w:val="1"/>
                <w:bCs w:val="1"/>
                <w:color w:val="FFFFFF"/>
              </w:rPr>
              <w:t>Accrual</w:t>
            </w:r>
          </w:p>
        </w:tc>
      </w:tr>
      <w:tr>
        <w:trPr>
          <w:trHeight w:val="170"/>
        </w:trPr>
        <w:tc>
          <w:tcPr>
            <w:tcW w:w="2320" w:type="dxa"/>
            <w:vAlign w:val="bottom"/>
            <w:shd w:val="clear" w:color="auto" w:fill="009A44"/>
          </w:tcPr>
          <w:p>
            <w:pPr>
              <w:ind w:left="40"/>
              <w:spacing w:after="0"/>
              <w:rPr>
                <w:sz w:val="20"/>
                <w:szCs w:val="20"/>
                <w:color w:val="auto"/>
              </w:rPr>
            </w:pPr>
            <w:r>
              <w:rPr>
                <w:rFonts w:ascii="Calibri" w:cs="Calibri" w:eastAsia="Calibri" w:hAnsi="Calibri"/>
                <w:sz w:val="14"/>
                <w:szCs w:val="14"/>
                <w:b w:val="1"/>
                <w:bCs w:val="1"/>
                <w:color w:val="FFFFFF"/>
              </w:rPr>
              <w:t>Service</w:t>
            </w:r>
          </w:p>
        </w:tc>
        <w:tc>
          <w:tcPr>
            <w:tcW w:w="1640" w:type="dxa"/>
            <w:vAlign w:val="bottom"/>
            <w:shd w:val="clear" w:color="auto" w:fill="009A44"/>
          </w:tcPr>
          <w:p>
            <w:pPr>
              <w:jc w:val="center"/>
              <w:spacing w:after="0"/>
              <w:rPr>
                <w:sz w:val="20"/>
                <w:szCs w:val="20"/>
                <w:color w:val="auto"/>
              </w:rPr>
            </w:pPr>
            <w:r>
              <w:rPr>
                <w:rFonts w:ascii="Calibri" w:cs="Calibri" w:eastAsia="Calibri" w:hAnsi="Calibri"/>
                <w:sz w:val="14"/>
                <w:szCs w:val="14"/>
                <w:b w:val="1"/>
                <w:bCs w:val="1"/>
                <w:color w:val="FFFFFF"/>
              </w:rPr>
              <w:t>(Full-Time)</w:t>
            </w:r>
          </w:p>
        </w:tc>
        <w:tc>
          <w:tcPr>
            <w:tcW w:w="2280" w:type="dxa"/>
            <w:vAlign w:val="bottom"/>
            <w:shd w:val="clear" w:color="auto" w:fill="009A44"/>
          </w:tcPr>
          <w:p>
            <w:pPr>
              <w:spacing w:after="0"/>
              <w:rPr>
                <w:sz w:val="14"/>
                <w:szCs w:val="14"/>
                <w:color w:val="auto"/>
              </w:rPr>
            </w:pPr>
          </w:p>
        </w:tc>
        <w:tc>
          <w:tcPr>
            <w:tcW w:w="1100" w:type="dxa"/>
            <w:vAlign w:val="bottom"/>
            <w:shd w:val="clear" w:color="auto" w:fill="009A44"/>
          </w:tcPr>
          <w:p>
            <w:pPr>
              <w:jc w:val="center"/>
              <w:spacing w:after="0"/>
              <w:rPr>
                <w:sz w:val="20"/>
                <w:szCs w:val="20"/>
                <w:color w:val="auto"/>
              </w:rPr>
            </w:pPr>
            <w:r>
              <w:rPr>
                <w:rFonts w:ascii="Calibri" w:cs="Calibri" w:eastAsia="Calibri" w:hAnsi="Calibri"/>
                <w:sz w:val="14"/>
                <w:szCs w:val="14"/>
                <w:b w:val="1"/>
                <w:bCs w:val="1"/>
                <w:color w:val="FFFFFF"/>
                <w:w w:val="98"/>
              </w:rPr>
              <w:t>Rates</w:t>
            </w:r>
          </w:p>
        </w:tc>
      </w:tr>
      <w:tr>
        <w:trPr>
          <w:trHeight w:val="60"/>
        </w:trPr>
        <w:tc>
          <w:tcPr>
            <w:tcW w:w="2320" w:type="dxa"/>
            <w:vAlign w:val="bottom"/>
            <w:shd w:val="clear" w:color="auto" w:fill="009A44"/>
          </w:tcPr>
          <w:p>
            <w:pPr>
              <w:spacing w:after="0"/>
              <w:rPr>
                <w:sz w:val="5"/>
                <w:szCs w:val="5"/>
                <w:color w:val="auto"/>
              </w:rPr>
            </w:pPr>
          </w:p>
        </w:tc>
        <w:tc>
          <w:tcPr>
            <w:tcW w:w="1640" w:type="dxa"/>
            <w:vAlign w:val="bottom"/>
            <w:shd w:val="clear" w:color="auto" w:fill="009A44"/>
          </w:tcPr>
          <w:p>
            <w:pPr>
              <w:spacing w:after="0"/>
              <w:rPr>
                <w:sz w:val="5"/>
                <w:szCs w:val="5"/>
                <w:color w:val="auto"/>
              </w:rPr>
            </w:pPr>
          </w:p>
        </w:tc>
        <w:tc>
          <w:tcPr>
            <w:tcW w:w="2280" w:type="dxa"/>
            <w:vAlign w:val="bottom"/>
            <w:shd w:val="clear" w:color="auto" w:fill="009A44"/>
          </w:tcPr>
          <w:p>
            <w:pPr>
              <w:spacing w:after="0"/>
              <w:rPr>
                <w:sz w:val="5"/>
                <w:szCs w:val="5"/>
                <w:color w:val="auto"/>
              </w:rPr>
            </w:pPr>
          </w:p>
        </w:tc>
        <w:tc>
          <w:tcPr>
            <w:tcW w:w="1100" w:type="dxa"/>
            <w:vAlign w:val="bottom"/>
            <w:shd w:val="clear" w:color="auto" w:fill="009A44"/>
          </w:tcPr>
          <w:p>
            <w:pPr>
              <w:spacing w:after="0"/>
              <w:rPr>
                <w:sz w:val="5"/>
                <w:szCs w:val="5"/>
                <w:color w:val="auto"/>
              </w:rPr>
            </w:pPr>
          </w:p>
        </w:tc>
      </w:tr>
      <w:tr>
        <w:trPr>
          <w:trHeight w:val="209"/>
        </w:trPr>
        <w:tc>
          <w:tcPr>
            <w:tcW w:w="2320" w:type="dxa"/>
            <w:vAlign w:val="bottom"/>
            <w:tcBorders>
              <w:bottom w:val="single" w:sz="8" w:color="009A44"/>
            </w:tcBorders>
            <w:shd w:val="clear" w:color="auto" w:fill="009A44"/>
          </w:tcPr>
          <w:p>
            <w:pPr>
              <w:ind w:left="40"/>
              <w:spacing w:after="0"/>
              <w:rPr>
                <w:sz w:val="20"/>
                <w:szCs w:val="20"/>
                <w:color w:val="auto"/>
              </w:rPr>
            </w:pPr>
            <w:r>
              <w:rPr>
                <w:rFonts w:ascii="Calibri" w:cs="Calibri" w:eastAsia="Calibri" w:hAnsi="Calibri"/>
                <w:sz w:val="14"/>
                <w:szCs w:val="14"/>
                <w:b w:val="1"/>
                <w:bCs w:val="1"/>
                <w:color w:val="FFFFFF"/>
              </w:rPr>
              <w:t>Senior Exec. New Hire</w:t>
            </w:r>
          </w:p>
        </w:tc>
        <w:tc>
          <w:tcPr>
            <w:tcW w:w="1640" w:type="dxa"/>
            <w:vAlign w:val="bottom"/>
            <w:tcBorders>
              <w:bottom w:val="single" w:sz="8" w:color="CBDECF"/>
            </w:tcBorders>
            <w:shd w:val="clear" w:color="auto" w:fill="CBDECF"/>
          </w:tcPr>
          <w:p>
            <w:pPr>
              <w:jc w:val="center"/>
              <w:spacing w:after="0"/>
              <w:rPr>
                <w:sz w:val="20"/>
                <w:szCs w:val="20"/>
                <w:color w:val="auto"/>
              </w:rPr>
            </w:pPr>
            <w:r>
              <w:rPr>
                <w:rFonts w:ascii="Calibri" w:cs="Calibri" w:eastAsia="Calibri" w:hAnsi="Calibri"/>
                <w:sz w:val="14"/>
                <w:szCs w:val="14"/>
                <w:color w:val="auto"/>
                <w:w w:val="99"/>
              </w:rPr>
              <w:t>7.08 hours</w:t>
            </w:r>
          </w:p>
        </w:tc>
        <w:tc>
          <w:tcPr>
            <w:tcW w:w="2280" w:type="dxa"/>
            <w:vAlign w:val="bottom"/>
            <w:tcBorders>
              <w:bottom w:val="single" w:sz="8" w:color="CBDECF"/>
            </w:tcBorders>
            <w:shd w:val="clear" w:color="auto" w:fill="CBDECF"/>
          </w:tcPr>
          <w:p>
            <w:pPr>
              <w:jc w:val="center"/>
              <w:spacing w:after="0"/>
              <w:rPr>
                <w:sz w:val="20"/>
                <w:szCs w:val="20"/>
                <w:color w:val="auto"/>
              </w:rPr>
            </w:pPr>
            <w:r>
              <w:rPr>
                <w:rFonts w:ascii="Calibri" w:cs="Calibri" w:eastAsia="Calibri" w:hAnsi="Calibri"/>
                <w:sz w:val="14"/>
                <w:szCs w:val="14"/>
                <w:color w:val="auto"/>
              </w:rPr>
              <w:t>23 days (184 hours)</w:t>
            </w:r>
          </w:p>
        </w:tc>
        <w:tc>
          <w:tcPr>
            <w:tcW w:w="1100" w:type="dxa"/>
            <w:vAlign w:val="bottom"/>
            <w:tcBorders>
              <w:bottom w:val="single" w:sz="8" w:color="CBDECF"/>
            </w:tcBorders>
            <w:shd w:val="clear" w:color="auto" w:fill="CBDECF"/>
          </w:tcPr>
          <w:p>
            <w:pPr>
              <w:jc w:val="center"/>
              <w:spacing w:after="0"/>
              <w:rPr>
                <w:sz w:val="20"/>
                <w:szCs w:val="20"/>
                <w:color w:val="auto"/>
              </w:rPr>
            </w:pPr>
            <w:r>
              <w:rPr>
                <w:rFonts w:ascii="Calibri" w:cs="Calibri" w:eastAsia="Calibri" w:hAnsi="Calibri"/>
                <w:sz w:val="14"/>
                <w:szCs w:val="14"/>
                <w:color w:val="auto"/>
                <w:w w:val="96"/>
              </w:rPr>
              <w:t>.089</w:t>
            </w:r>
          </w:p>
        </w:tc>
      </w:tr>
      <w:tr>
        <w:trPr>
          <w:trHeight w:val="210"/>
        </w:trPr>
        <w:tc>
          <w:tcPr>
            <w:tcW w:w="2320" w:type="dxa"/>
            <w:vAlign w:val="bottom"/>
            <w:tcBorders>
              <w:bottom w:val="single" w:sz="8" w:color="009A44"/>
            </w:tcBorders>
            <w:shd w:val="clear" w:color="auto" w:fill="009A44"/>
          </w:tcPr>
          <w:p>
            <w:pPr>
              <w:ind w:left="2160"/>
              <w:spacing w:after="0"/>
              <w:rPr>
                <w:sz w:val="20"/>
                <w:szCs w:val="20"/>
                <w:color w:val="auto"/>
              </w:rPr>
            </w:pPr>
            <w:r>
              <w:rPr>
                <w:rFonts w:ascii="Calibri" w:cs="Calibri" w:eastAsia="Calibri" w:hAnsi="Calibri"/>
                <w:sz w:val="14"/>
                <w:szCs w:val="14"/>
                <w:b w:val="1"/>
                <w:bCs w:val="1"/>
                <w:color w:val="FFFFFF"/>
                <w:w w:val="98"/>
              </w:rPr>
              <w:t>15</w:t>
            </w:r>
          </w:p>
        </w:tc>
        <w:tc>
          <w:tcPr>
            <w:tcW w:w="1640" w:type="dxa"/>
            <w:vAlign w:val="bottom"/>
            <w:tcBorders>
              <w:bottom w:val="single" w:sz="8" w:color="E7EFE9"/>
            </w:tcBorders>
            <w:shd w:val="clear" w:color="auto" w:fill="E7EFE9"/>
          </w:tcPr>
          <w:p>
            <w:pPr>
              <w:jc w:val="center"/>
              <w:spacing w:after="0"/>
              <w:rPr>
                <w:sz w:val="20"/>
                <w:szCs w:val="20"/>
                <w:color w:val="auto"/>
              </w:rPr>
            </w:pPr>
            <w:r>
              <w:rPr>
                <w:rFonts w:ascii="Calibri" w:cs="Calibri" w:eastAsia="Calibri" w:hAnsi="Calibri"/>
                <w:sz w:val="14"/>
                <w:szCs w:val="14"/>
                <w:color w:val="auto"/>
                <w:w w:val="99"/>
              </w:rPr>
              <w:t>7.70 hours</w:t>
            </w:r>
          </w:p>
        </w:tc>
        <w:tc>
          <w:tcPr>
            <w:tcW w:w="2280" w:type="dxa"/>
            <w:vAlign w:val="bottom"/>
            <w:tcBorders>
              <w:bottom w:val="single" w:sz="8" w:color="E7EFE9"/>
            </w:tcBorders>
            <w:shd w:val="clear" w:color="auto" w:fill="E7EFE9"/>
          </w:tcPr>
          <w:p>
            <w:pPr>
              <w:jc w:val="center"/>
              <w:spacing w:after="0"/>
              <w:rPr>
                <w:sz w:val="20"/>
                <w:szCs w:val="20"/>
                <w:color w:val="auto"/>
              </w:rPr>
            </w:pPr>
            <w:r>
              <w:rPr>
                <w:rFonts w:ascii="Calibri" w:cs="Calibri" w:eastAsia="Calibri" w:hAnsi="Calibri"/>
                <w:sz w:val="14"/>
                <w:szCs w:val="14"/>
                <w:color w:val="auto"/>
              </w:rPr>
              <w:t>25 days (200 hours)</w:t>
            </w:r>
          </w:p>
        </w:tc>
        <w:tc>
          <w:tcPr>
            <w:tcW w:w="1100" w:type="dxa"/>
            <w:vAlign w:val="bottom"/>
            <w:tcBorders>
              <w:bottom w:val="single" w:sz="8" w:color="E7EFE9"/>
            </w:tcBorders>
            <w:shd w:val="clear" w:color="auto" w:fill="E7EFE9"/>
          </w:tcPr>
          <w:p>
            <w:pPr>
              <w:jc w:val="center"/>
              <w:spacing w:after="0"/>
              <w:rPr>
                <w:sz w:val="20"/>
                <w:szCs w:val="20"/>
                <w:color w:val="auto"/>
              </w:rPr>
            </w:pPr>
            <w:r>
              <w:rPr>
                <w:rFonts w:ascii="Calibri" w:cs="Calibri" w:eastAsia="Calibri" w:hAnsi="Calibri"/>
                <w:sz w:val="14"/>
                <w:szCs w:val="14"/>
                <w:color w:val="auto"/>
                <w:w w:val="96"/>
              </w:rPr>
              <w:t>.097</w:t>
            </w:r>
          </w:p>
        </w:tc>
      </w:tr>
      <w:tr>
        <w:trPr>
          <w:trHeight w:val="183"/>
        </w:trPr>
        <w:tc>
          <w:tcPr>
            <w:tcW w:w="2320" w:type="dxa"/>
            <w:vAlign w:val="bottom"/>
            <w:shd w:val="clear" w:color="auto" w:fill="009A44"/>
          </w:tcPr>
          <w:p>
            <w:pPr>
              <w:ind w:left="2160"/>
              <w:spacing w:after="0"/>
              <w:rPr>
                <w:sz w:val="20"/>
                <w:szCs w:val="20"/>
                <w:color w:val="auto"/>
              </w:rPr>
            </w:pPr>
            <w:r>
              <w:rPr>
                <w:rFonts w:ascii="Calibri" w:cs="Calibri" w:eastAsia="Calibri" w:hAnsi="Calibri"/>
                <w:sz w:val="14"/>
                <w:szCs w:val="14"/>
                <w:b w:val="1"/>
                <w:bCs w:val="1"/>
                <w:color w:val="FFFFFF"/>
                <w:w w:val="98"/>
              </w:rPr>
              <w:t>25</w:t>
            </w:r>
          </w:p>
        </w:tc>
        <w:tc>
          <w:tcPr>
            <w:tcW w:w="1640" w:type="dxa"/>
            <w:vAlign w:val="bottom"/>
            <w:shd w:val="clear" w:color="auto" w:fill="CBDECF"/>
          </w:tcPr>
          <w:p>
            <w:pPr>
              <w:jc w:val="center"/>
              <w:spacing w:after="0"/>
              <w:rPr>
                <w:sz w:val="20"/>
                <w:szCs w:val="20"/>
                <w:color w:val="auto"/>
              </w:rPr>
            </w:pPr>
            <w:r>
              <w:rPr>
                <w:rFonts w:ascii="Calibri" w:cs="Calibri" w:eastAsia="Calibri" w:hAnsi="Calibri"/>
                <w:sz w:val="14"/>
                <w:szCs w:val="14"/>
                <w:color w:val="auto"/>
                <w:w w:val="99"/>
              </w:rPr>
              <w:t>9.24 hours</w:t>
            </w:r>
          </w:p>
        </w:tc>
        <w:tc>
          <w:tcPr>
            <w:tcW w:w="2280" w:type="dxa"/>
            <w:vAlign w:val="bottom"/>
            <w:shd w:val="clear" w:color="auto" w:fill="CBDECF"/>
          </w:tcPr>
          <w:p>
            <w:pPr>
              <w:jc w:val="center"/>
              <w:spacing w:after="0"/>
              <w:rPr>
                <w:sz w:val="20"/>
                <w:szCs w:val="20"/>
                <w:color w:val="auto"/>
              </w:rPr>
            </w:pPr>
            <w:r>
              <w:rPr>
                <w:rFonts w:ascii="Calibri" w:cs="Calibri" w:eastAsia="Calibri" w:hAnsi="Calibri"/>
                <w:sz w:val="14"/>
                <w:szCs w:val="14"/>
                <w:color w:val="auto"/>
              </w:rPr>
              <w:t>30 days (240 hours)</w:t>
            </w:r>
          </w:p>
        </w:tc>
        <w:tc>
          <w:tcPr>
            <w:tcW w:w="1100" w:type="dxa"/>
            <w:vAlign w:val="bottom"/>
            <w:shd w:val="clear" w:color="auto" w:fill="CBDECF"/>
          </w:tcPr>
          <w:p>
            <w:pPr>
              <w:jc w:val="center"/>
              <w:spacing w:after="0"/>
              <w:rPr>
                <w:sz w:val="20"/>
                <w:szCs w:val="20"/>
                <w:color w:val="auto"/>
              </w:rPr>
            </w:pPr>
            <w:r>
              <w:rPr>
                <w:rFonts w:ascii="Calibri" w:cs="Calibri" w:eastAsia="Calibri" w:hAnsi="Calibri"/>
                <w:sz w:val="14"/>
                <w:szCs w:val="14"/>
                <w:color w:val="auto"/>
                <w:w w:val="96"/>
              </w:rPr>
              <w:t>.116</w:t>
            </w:r>
          </w:p>
        </w:tc>
      </w:tr>
      <w:tr>
        <w:trPr>
          <w:trHeight w:val="47"/>
        </w:trPr>
        <w:tc>
          <w:tcPr>
            <w:tcW w:w="2320" w:type="dxa"/>
            <w:vAlign w:val="bottom"/>
            <w:shd w:val="clear" w:color="auto" w:fill="009A44"/>
          </w:tcPr>
          <w:p>
            <w:pPr>
              <w:spacing w:after="0"/>
              <w:rPr>
                <w:sz w:val="4"/>
                <w:szCs w:val="4"/>
                <w:color w:val="auto"/>
              </w:rPr>
            </w:pPr>
          </w:p>
        </w:tc>
        <w:tc>
          <w:tcPr>
            <w:tcW w:w="1640" w:type="dxa"/>
            <w:vAlign w:val="bottom"/>
            <w:shd w:val="clear" w:color="auto" w:fill="CBDECF"/>
          </w:tcPr>
          <w:p>
            <w:pPr>
              <w:spacing w:after="0"/>
              <w:rPr>
                <w:sz w:val="4"/>
                <w:szCs w:val="4"/>
                <w:color w:val="auto"/>
              </w:rPr>
            </w:pPr>
          </w:p>
        </w:tc>
        <w:tc>
          <w:tcPr>
            <w:tcW w:w="2280" w:type="dxa"/>
            <w:vAlign w:val="bottom"/>
            <w:shd w:val="clear" w:color="auto" w:fill="CBDECF"/>
          </w:tcPr>
          <w:p>
            <w:pPr>
              <w:spacing w:after="0"/>
              <w:rPr>
                <w:sz w:val="4"/>
                <w:szCs w:val="4"/>
                <w:color w:val="auto"/>
              </w:rPr>
            </w:pPr>
          </w:p>
        </w:tc>
        <w:tc>
          <w:tcPr>
            <w:tcW w:w="1100" w:type="dxa"/>
            <w:vAlign w:val="bottom"/>
            <w:shd w:val="clear" w:color="auto" w:fill="CBDECF"/>
          </w:tcPr>
          <w:p>
            <w:pPr>
              <w:spacing w:after="0"/>
              <w:rPr>
                <w:sz w:val="4"/>
                <w:szCs w:val="4"/>
                <w:color w:val="auto"/>
              </w:rPr>
            </w:pPr>
          </w:p>
        </w:tc>
      </w:tr>
    </w:tbl>
    <w:p>
      <w:pPr>
        <w:spacing w:after="0" w:line="356" w:lineRule="exact"/>
        <w:rPr>
          <w:sz w:val="20"/>
          <w:szCs w:val="20"/>
          <w:color w:val="auto"/>
        </w:rPr>
      </w:pPr>
    </w:p>
    <w:p>
      <w:pPr>
        <w:ind w:left="660" w:hanging="328"/>
        <w:spacing w:after="0" w:line="211" w:lineRule="auto"/>
        <w:tabs>
          <w:tab w:leader="none" w:pos="655" w:val="left"/>
        </w:tabs>
        <w:numPr>
          <w:ilvl w:val="0"/>
          <w:numId w:val="25"/>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Holidays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Xylem recognizes twelve paid holidays per calendar year for eligible employees. Some of these are foatng holidays, which may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assigned and are pro-rated based upon date of hire.</w:t>
      </w:r>
    </w:p>
    <w:p>
      <w:pPr>
        <w:spacing w:after="0" w:line="231" w:lineRule="exact"/>
        <w:rPr>
          <w:sz w:val="20"/>
          <w:szCs w:val="20"/>
          <w:color w:val="auto"/>
        </w:rPr>
      </w:pPr>
    </w:p>
    <w:p>
      <w:pPr>
        <w:ind w:right="20"/>
        <w:spacing w:after="0" w:line="223" w:lineRule="auto"/>
        <w:rPr>
          <w:sz w:val="20"/>
          <w:szCs w:val="20"/>
          <w:color w:val="auto"/>
        </w:rPr>
      </w:pPr>
      <w:r>
        <w:rPr>
          <w:rFonts w:ascii="Calibri" w:cs="Calibri" w:eastAsia="Calibri" w:hAnsi="Calibri"/>
          <w:sz w:val="18"/>
          <w:szCs w:val="18"/>
          <w:color w:val="auto"/>
        </w:rPr>
        <w:t>As with all new hires, this ofer is contngent on the verifcaton of credentals and other informaton, including the completon of a criminal history check and, if applicable a credit history check. Your employment is also contngent upon satsfactory completon of a customary directors and ofcers questonnaire. Lastly, typically your employment would also be dependent upon a satsfactory pre-employment drug screening, yet in light of the current COVID-19 circumstances, we are suspending the drug screening requirement. We will require presentaton of documentaton verifying your identty and legal ability to work in the United States (I-9). A form describing the verifcaton requirements and informaton needed for documentaton is enclosed. The informaton must be provided within three (3) days of your hire date.</w:t>
      </w:r>
    </w:p>
    <w:p>
      <w:pPr>
        <w:spacing w:after="0" w:line="233" w:lineRule="exact"/>
        <w:rPr>
          <w:sz w:val="20"/>
          <w:szCs w:val="20"/>
          <w:color w:val="auto"/>
        </w:rPr>
      </w:pPr>
    </w:p>
    <w:p>
      <w:pPr>
        <w:ind w:right="320"/>
        <w:spacing w:after="0" w:line="220" w:lineRule="auto"/>
        <w:rPr>
          <w:sz w:val="20"/>
          <w:szCs w:val="20"/>
          <w:color w:val="auto"/>
        </w:rPr>
      </w:pPr>
      <w:r>
        <w:rPr>
          <w:rFonts w:ascii="Calibri" w:cs="Calibri" w:eastAsia="Calibri" w:hAnsi="Calibri"/>
          <w:sz w:val="18"/>
          <w:szCs w:val="18"/>
          <w:color w:val="auto"/>
        </w:rPr>
        <w:t>Additonally, this ofer is contngent on your not having entered into a signed agreement with a previous employer that contains a non-competton clause that might afect your ability to accept employment with Xylem. If you have</w:t>
      </w:r>
    </w:p>
    <w:p>
      <w:pPr>
        <w:sectPr>
          <w:pgSz w:w="11900" w:h="16838" w:orient="portrait"/>
          <w:cols w:equalWidth="0" w:num="1">
            <w:col w:w="11240"/>
          </w:cols>
          <w:pgMar w:left="320" w:top="1400" w:right="339" w:bottom="1440" w:gutter="0" w:footer="0" w:header="0"/>
        </w:sectPr>
      </w:pPr>
    </w:p>
    <w:bookmarkStart w:id="58" w:name="page59"/>
    <w:bookmarkEnd w:id="58"/>
    <w:p>
      <w:pPr>
        <w:spacing w:after="0" w:line="225" w:lineRule="auto"/>
        <w:rPr>
          <w:sz w:val="20"/>
          <w:szCs w:val="20"/>
          <w:color w:val="auto"/>
        </w:rPr>
      </w:pPr>
      <w:r>
        <w:rPr>
          <w:rFonts w:ascii="Calibri" w:cs="Calibri" w:eastAsia="Calibri" w:hAnsi="Calibri"/>
          <w:sz w:val="18"/>
          <w:szCs w:val="18"/>
          <w:color w:val="auto"/>
        </w:rPr>
        <w:t>entered into such an agreement, please forward a copy of it to me so we can do a legal review from our side. Your employment and compensaton with Xylem are "at will" in that they can be terminated with or without cause, and with or without notce, at any tme, at the opton of either the Company or yourself. This ofer does not consttute a contract of employment or an agreement for a defnite or specifed period of employment.</w:t>
      </w:r>
    </w:p>
    <w:p>
      <w:pPr>
        <w:spacing w:after="0" w:line="233" w:lineRule="exact"/>
        <w:rPr>
          <w:sz w:val="20"/>
          <w:szCs w:val="20"/>
          <w:color w:val="auto"/>
        </w:rPr>
      </w:pPr>
    </w:p>
    <w:p>
      <w:pPr>
        <w:ind w:right="280"/>
        <w:spacing w:after="0" w:line="224" w:lineRule="auto"/>
        <w:rPr>
          <w:sz w:val="20"/>
          <w:szCs w:val="20"/>
          <w:color w:val="auto"/>
        </w:rPr>
      </w:pPr>
      <w:r>
        <w:rPr>
          <w:rFonts w:ascii="Calibri" w:cs="Calibri" w:eastAsia="Calibri" w:hAnsi="Calibri"/>
          <w:sz w:val="18"/>
          <w:szCs w:val="18"/>
          <w:color w:val="auto"/>
        </w:rPr>
        <w:t>At Xylem, our corporate compass is our Code of Conduct. We are commited to conductng business according to the highest ethical standards, treatng all employees with respect, creatng fair workplaces, and ensuring that our co-workers help us strengthen and protect our reputaton as a great employer, business partner and community member. Our Code of Conduct sets the rules that outline the appropriate business conduct and expected behaviors of all our employees. Each employee will take a required training within three (3) days of their hire date.</w:t>
      </w:r>
    </w:p>
    <w:p>
      <w:pPr>
        <w:spacing w:after="0" w:line="219"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Enclosed with this ofer is our Business Proprietary Informaton Agreement, please review this document carefully, and sign and return a copy along with your acceptance of our ofer.</w:t>
      </w:r>
    </w:p>
    <w:p>
      <w:pPr>
        <w:spacing w:after="0" w:line="232"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Franz, we are confdent you will contribute a great deal to our organizaton and look forward to having you join the team. Please acknowledge your acceptance of our ofer as per terms above, by signing a copy of this ofer leter and sending a scanned copy back to me at Kairus.Tarapore@xyleminc.com no later than April 24, 2020.</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Sincerely,</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/s/ Karius Tarapore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Karius Tarapore</w:t>
      </w:r>
    </w:p>
    <w:p>
      <w:pPr>
        <w:spacing w:after="0" w:line="221" w:lineRule="auto"/>
        <w:rPr>
          <w:sz w:val="20"/>
          <w:szCs w:val="20"/>
          <w:color w:val="auto"/>
        </w:rPr>
      </w:pPr>
      <w:r>
        <w:rPr>
          <w:rFonts w:ascii="Calibri" w:cs="Calibri" w:eastAsia="Calibri" w:hAnsi="Calibri"/>
          <w:sz w:val="18"/>
          <w:szCs w:val="18"/>
          <w:color w:val="auto"/>
        </w:rPr>
        <w:t>SVP &amp; Chief Human Resources Ofcer</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tcPr>
          <w:p>
            <w:pPr>
              <w:spacing w:after="0"/>
              <w:rPr>
                <w:sz w:val="20"/>
                <w:szCs w:val="20"/>
                <w:color w:val="auto"/>
              </w:rPr>
            </w:pPr>
            <w:r>
              <w:rPr>
                <w:rFonts w:ascii="Calibri" w:cs="Calibri" w:eastAsia="Calibri" w:hAnsi="Calibri"/>
                <w:sz w:val="18"/>
                <w:szCs w:val="18"/>
                <w:color w:val="auto"/>
              </w:rPr>
              <w:t>The above ofer is accepted subject to the foregoing conditons.</w:t>
            </w:r>
          </w:p>
        </w:tc>
        <w:tc>
          <w:tcPr>
            <w:tcW w:w="6120" w:type="dxa"/>
            <w:vAlign w:val="bottom"/>
          </w:tcPr>
          <w:p>
            <w:pPr>
              <w:spacing w:after="0"/>
              <w:rPr>
                <w:sz w:val="19"/>
                <w:szCs w:val="19"/>
                <w:color w:val="auto"/>
              </w:rPr>
            </w:pPr>
          </w:p>
        </w:tc>
      </w:tr>
      <w:tr>
        <w:trPr>
          <w:trHeight w:val="527"/>
        </w:trPr>
        <w:tc>
          <w:tcPr>
            <w:tcW w:w="5080" w:type="dxa"/>
            <w:vAlign w:val="bottom"/>
          </w:tcPr>
          <w:p>
            <w:pPr>
              <w:ind w:left="20"/>
              <w:spacing w:after="0"/>
              <w:rPr>
                <w:sz w:val="20"/>
                <w:szCs w:val="20"/>
                <w:color w:val="auto"/>
              </w:rPr>
            </w:pPr>
            <w:r>
              <w:rPr>
                <w:rFonts w:ascii="Arial" w:cs="Arial" w:eastAsia="Arial" w:hAnsi="Arial"/>
                <w:sz w:val="18"/>
                <w:szCs w:val="18"/>
                <w:color w:val="auto"/>
              </w:rPr>
              <w:t>/s/ Franz Cerwinka</w:t>
            </w:r>
          </w:p>
        </w:tc>
        <w:tc>
          <w:tcPr>
            <w:tcW w:w="6120" w:type="dxa"/>
            <w:vAlign w:val="bottom"/>
          </w:tcPr>
          <w:p>
            <w:pPr>
              <w:ind w:left="540"/>
              <w:spacing w:after="0"/>
              <w:rPr>
                <w:sz w:val="20"/>
                <w:szCs w:val="20"/>
                <w:color w:val="auto"/>
              </w:rPr>
            </w:pPr>
            <w:r>
              <w:rPr>
                <w:rFonts w:ascii="Calibri" w:cs="Calibri" w:eastAsia="Calibri" w:hAnsi="Calibri"/>
                <w:sz w:val="18"/>
                <w:szCs w:val="18"/>
                <w:color w:val="auto"/>
              </w:rPr>
              <w:t>April 22, 2020</w:t>
            </w:r>
          </w:p>
        </w:tc>
      </w:tr>
      <w:tr>
        <w:trPr>
          <w:trHeight w:val="23"/>
        </w:trPr>
        <w:tc>
          <w:tcPr>
            <w:tcW w:w="508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08"/>
        </w:trPr>
        <w:tc>
          <w:tcPr>
            <w:tcW w:w="5080" w:type="dxa"/>
            <w:vAlign w:val="bottom"/>
          </w:tcPr>
          <w:p>
            <w:pPr>
              <w:ind w:left="20"/>
              <w:spacing w:after="0" w:line="208" w:lineRule="exact"/>
              <w:rPr>
                <w:sz w:val="20"/>
                <w:szCs w:val="20"/>
                <w:color w:val="auto"/>
              </w:rPr>
            </w:pPr>
            <w:r>
              <w:rPr>
                <w:rFonts w:ascii="Calibri" w:cs="Calibri" w:eastAsia="Calibri" w:hAnsi="Calibri"/>
                <w:sz w:val="18"/>
                <w:szCs w:val="18"/>
                <w:color w:val="auto"/>
              </w:rPr>
              <w:t>(Franz Cerwinka)</w:t>
            </w:r>
          </w:p>
        </w:tc>
        <w:tc>
          <w:tcPr>
            <w:tcW w:w="6120" w:type="dxa"/>
            <w:vAlign w:val="bottom"/>
          </w:tcPr>
          <w:p>
            <w:pPr>
              <w:ind w:left="540"/>
              <w:spacing w:after="0" w:line="208" w:lineRule="exact"/>
              <w:rPr>
                <w:sz w:val="20"/>
                <w:szCs w:val="20"/>
                <w:color w:val="auto"/>
              </w:rPr>
            </w:pPr>
            <w:r>
              <w:rPr>
                <w:rFonts w:ascii="Calibri" w:cs="Calibri" w:eastAsia="Calibri" w:hAnsi="Calibri"/>
                <w:sz w:val="18"/>
                <w:szCs w:val="18"/>
                <w:color w:val="auto"/>
              </w:rPr>
              <w:t>Date</w:t>
            </w:r>
          </w:p>
        </w:tc>
      </w:tr>
      <w:tr>
        <w:trPr>
          <w:trHeight w:val="572"/>
        </w:trPr>
        <w:tc>
          <w:tcPr>
            <w:tcW w:w="5080" w:type="dxa"/>
            <w:vAlign w:val="bottom"/>
          </w:tcPr>
          <w:p>
            <w:pPr>
              <w:spacing w:after="0"/>
              <w:rPr>
                <w:sz w:val="20"/>
                <w:szCs w:val="20"/>
                <w:color w:val="auto"/>
              </w:rPr>
            </w:pPr>
            <w:r>
              <w:rPr>
                <w:rFonts w:ascii="Calibri" w:cs="Calibri" w:eastAsia="Calibri" w:hAnsi="Calibri"/>
                <w:sz w:val="18"/>
                <w:szCs w:val="18"/>
                <w:color w:val="auto"/>
              </w:rPr>
              <w:t>Cc: Patrick Decker</w:t>
            </w:r>
          </w:p>
        </w:tc>
        <w:tc>
          <w:tcPr>
            <w:tcW w:w="6120" w:type="dxa"/>
            <w:vAlign w:val="bottom"/>
          </w:tcPr>
          <w:p>
            <w:pPr>
              <w:spacing w:after="0"/>
              <w:rPr>
                <w:sz w:val="24"/>
                <w:szCs w:val="24"/>
                <w:color w:val="auto"/>
              </w:rPr>
            </w:pPr>
          </w:p>
        </w:tc>
      </w:tr>
    </w:tbl>
    <w:p>
      <w:pPr>
        <w:sectPr>
          <w:pgSz w:w="11900" w:h="16838" w:orient="portrait"/>
          <w:cols w:equalWidth="0" w:num="1">
            <w:col w:w="11240"/>
          </w:cols>
          <w:pgMar w:left="320" w:top="1400" w:right="339" w:bottom="1440" w:gutter="0" w:footer="0" w:header="0"/>
        </w:sectPr>
      </w:pPr>
    </w:p>
    <w:bookmarkStart w:id="59" w:name="page60"/>
    <w:bookmarkEnd w:id="59"/>
    <w:p>
      <w:pPr>
        <w:jc w:val="center"/>
        <w:ind w:right="-19"/>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2011 OMNIBUS INCENTIVE PLAN</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“[YEAR]” NON-QUALIFIED STOCK OPTION GRANT AGREEMENT</w:t>
      </w:r>
    </w:p>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color w:val="auto"/>
        </w:rPr>
        <w:t>This Agreement (the “</w:t>
      </w:r>
      <w:r>
        <w:rPr>
          <w:rFonts w:ascii="Calibri" w:cs="Calibri" w:eastAsia="Calibri" w:hAnsi="Calibri"/>
          <w:sz w:val="21"/>
          <w:szCs w:val="21"/>
          <w:b w:val="1"/>
          <w:bCs w:val="1"/>
          <w:color w:val="auto"/>
        </w:rPr>
        <w:t>Agreement</w:t>
      </w:r>
      <w:r>
        <w:rPr>
          <w:rFonts w:ascii="Calibri" w:cs="Calibri" w:eastAsia="Calibri" w:hAnsi="Calibri"/>
          <w:sz w:val="18"/>
          <w:szCs w:val="18"/>
          <w:color w:val="auto"/>
        </w:rPr>
        <w:t>”) between Xylem Inc. (the “</w:t>
      </w:r>
      <w:r>
        <w:rPr>
          <w:rFonts w:ascii="Calibri" w:cs="Calibri" w:eastAsia="Calibri" w:hAnsi="Calibri"/>
          <w:sz w:val="21"/>
          <w:szCs w:val="21"/>
          <w:b w:val="1"/>
          <w:bCs w:val="1"/>
          <w:color w:val="auto"/>
        </w:rPr>
        <w:t>Company</w:t>
      </w:r>
      <w:r>
        <w:rPr>
          <w:rFonts w:ascii="Calibri" w:cs="Calibri" w:eastAsia="Calibri" w:hAnsi="Calibri"/>
          <w:sz w:val="18"/>
          <w:szCs w:val="18"/>
          <w:color w:val="auto"/>
        </w:rPr>
        <w:t xml:space="preserve">”) and </w:t>
      </w:r>
      <w:r>
        <w:rPr>
          <w:rFonts w:ascii="Calibri" w:cs="Calibri" w:eastAsia="Calibri" w:hAnsi="Calibri"/>
          <w:sz w:val="21"/>
          <w:szCs w:val="21"/>
          <w:b w:val="1"/>
          <w:bCs w:val="1"/>
          <w:color w:val="auto"/>
        </w:rPr>
        <w:t>###PARTICIPANT_NAME###</w:t>
      </w:r>
      <w:r>
        <w:rPr>
          <w:rFonts w:ascii="Calibri" w:cs="Calibri" w:eastAsia="Calibri" w:hAnsi="Calibri"/>
          <w:sz w:val="18"/>
          <w:szCs w:val="18"/>
          <w:color w:val="auto"/>
        </w:rPr>
        <w:t xml:space="preserve"> (the “</w:t>
      </w:r>
      <w:r>
        <w:rPr>
          <w:rFonts w:ascii="Calibri" w:cs="Calibri" w:eastAsia="Calibri" w:hAnsi="Calibri"/>
          <w:sz w:val="21"/>
          <w:szCs w:val="21"/>
          <w:b w:val="1"/>
          <w:bCs w:val="1"/>
          <w:color w:val="auto"/>
        </w:rPr>
        <w:t>Partcipant</w:t>
      </w:r>
      <w:r>
        <w:rPr>
          <w:rFonts w:ascii="Calibri" w:cs="Calibri" w:eastAsia="Calibri" w:hAnsi="Calibri"/>
          <w:sz w:val="18"/>
          <w:szCs w:val="18"/>
          <w:color w:val="auto"/>
        </w:rPr>
        <w:t>”) is efectve as of</w:t>
      </w:r>
    </w:p>
    <w:p>
      <w:pPr>
        <w:spacing w:after="0" w:line="218" w:lineRule="auto"/>
        <w:rPr>
          <w:sz w:val="20"/>
          <w:szCs w:val="20"/>
          <w:color w:val="auto"/>
        </w:rPr>
      </w:pPr>
      <w:r>
        <w:rPr>
          <w:rFonts w:ascii="Calibri" w:cs="Calibri" w:eastAsia="Calibri" w:hAnsi="Calibri"/>
          <w:sz w:val="22"/>
          <w:szCs w:val="22"/>
          <w:b w:val="1"/>
          <w:bCs w:val="1"/>
          <w:color w:val="auto"/>
        </w:rPr>
        <w:t>###GRANT_DATE###</w:t>
      </w:r>
      <w:r>
        <w:rPr>
          <w:rFonts w:ascii="Calibri" w:cs="Calibri" w:eastAsia="Calibri" w:hAnsi="Calibri"/>
          <w:sz w:val="17"/>
          <w:szCs w:val="17"/>
          <w:color w:val="auto"/>
        </w:rPr>
        <w:t>. Terms used in this Agreement that are not defned in this Agreement are defned in the Company’s 2011 Omnibus Incentve Plan</w:t>
      </w:r>
    </w:p>
    <w:p>
      <w:pPr>
        <w:spacing w:after="0" w:line="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(Amended and Restated February 24, 2016) (the “</w:t>
      </w:r>
      <w:r>
        <w:rPr>
          <w:rFonts w:ascii="Calibri" w:cs="Calibri" w:eastAsia="Calibri" w:hAnsi="Calibri"/>
          <w:sz w:val="21"/>
          <w:szCs w:val="21"/>
          <w:b w:val="1"/>
          <w:bCs w:val="1"/>
          <w:color w:val="auto"/>
        </w:rPr>
        <w:t>Plan</w:t>
      </w:r>
      <w:r>
        <w:rPr>
          <w:rFonts w:ascii="Calibri" w:cs="Calibri" w:eastAsia="Calibri" w:hAnsi="Calibri"/>
          <w:sz w:val="18"/>
          <w:szCs w:val="18"/>
          <w:color w:val="auto"/>
        </w:rPr>
        <w:t>”). This Agreement is only being provided in English. The Partcipant is an employee of the Company or an Afliate. In recogniton of the Partcipant’s valued services, the Company, through the Leadership Development and Compensaton Commitee of its Board of Directors (the “</w:t>
      </w:r>
      <w:r>
        <w:rPr>
          <w:rFonts w:ascii="Calibri" w:cs="Calibri" w:eastAsia="Calibri" w:hAnsi="Calibri"/>
          <w:sz w:val="21"/>
          <w:szCs w:val="21"/>
          <w:b w:val="1"/>
          <w:bCs w:val="1"/>
          <w:color w:val="auto"/>
        </w:rPr>
        <w:t>Commitee</w:t>
      </w:r>
      <w:r>
        <w:rPr>
          <w:rFonts w:ascii="Calibri" w:cs="Calibri" w:eastAsia="Calibri" w:hAnsi="Calibri"/>
          <w:sz w:val="18"/>
          <w:szCs w:val="18"/>
          <w:color w:val="auto"/>
        </w:rPr>
        <w:t>”), is providing the Partcipant an inducement to remain employed and an incentve for increased eforts while employed. In consideraton of the terms and conditons in this Agreement, the partes agree as follows:</w:t>
      </w:r>
    </w:p>
    <w:p>
      <w:pPr>
        <w:spacing w:after="0" w:line="9" w:lineRule="exact"/>
        <w:rPr>
          <w:sz w:val="20"/>
          <w:szCs w:val="20"/>
          <w:color w:val="auto"/>
        </w:rPr>
      </w:pPr>
    </w:p>
    <w:p>
      <w:pPr>
        <w:jc w:val="both"/>
        <w:ind w:left="660" w:hanging="328"/>
        <w:spacing w:after="0" w:line="242" w:lineRule="auto"/>
        <w:tabs>
          <w:tab w:leader="none" w:pos="651" w:val="left"/>
        </w:tabs>
        <w:numPr>
          <w:ilvl w:val="0"/>
          <w:numId w:val="26"/>
        </w:numPr>
        <w:rPr>
          <w:rFonts w:ascii="Arial" w:cs="Arial" w:eastAsia="Arial" w:hAnsi="Arial"/>
          <w:sz w:val="21"/>
          <w:szCs w:val="21"/>
          <w:color w:val="auto"/>
        </w:rPr>
      </w:pPr>
      <w:r>
        <w:rPr>
          <w:rFonts w:ascii="Calibri" w:cs="Calibri" w:eastAsia="Calibri" w:hAnsi="Calibri"/>
          <w:sz w:val="17"/>
          <w:szCs w:val="17"/>
          <w:b w:val="1"/>
          <w:bCs w:val="1"/>
          <w:u w:val="single" w:color="auto"/>
          <w:color w:val="auto"/>
        </w:rPr>
        <w:t>Grant of Non-Qualifed Stock Optons</w:t>
      </w:r>
      <w:r>
        <w:rPr>
          <w:rFonts w:ascii="Calibri" w:cs="Calibri" w:eastAsia="Calibri" w:hAnsi="Calibri"/>
          <w:sz w:val="17"/>
          <w:szCs w:val="17"/>
          <w:color w:val="auto"/>
        </w:rPr>
        <w:t>. The Company confrms the grant on</w:t>
      </w:r>
      <w:r>
        <w:rPr>
          <w:rFonts w:ascii="Calibri" w:cs="Calibri" w:eastAsia="Calibri" w:hAnsi="Calibri"/>
          <w:sz w:val="17"/>
          <w:szCs w:val="17"/>
          <w:b w:val="1"/>
          <w:bCs w:val="1"/>
          <w:color w:val="auto"/>
        </w:rPr>
        <w:t xml:space="preserve"> </w:t>
      </w:r>
      <w:r>
        <w:rPr>
          <w:rFonts w:ascii="Calibri" w:cs="Calibri" w:eastAsia="Calibri" w:hAnsi="Calibri"/>
          <w:sz w:val="20"/>
          <w:szCs w:val="20"/>
          <w:b w:val="1"/>
          <w:bCs w:val="1"/>
          <w:color w:val="auto"/>
        </w:rPr>
        <w:t>###GRANT_DATE###,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w:t>
      </w:r>
      <w:r>
        <w:rPr>
          <w:rFonts w:ascii="Calibri" w:cs="Calibri" w:eastAsia="Calibri" w:hAnsi="Calibri"/>
          <w:sz w:val="20"/>
          <w:szCs w:val="20"/>
          <w:b w:val="1"/>
          <w:bCs w:val="1"/>
          <w:color w:val="auto"/>
        </w:rPr>
        <w:t>Grant Date</w:t>
      </w:r>
      <w:r>
        <w:rPr>
          <w:rFonts w:ascii="Calibri" w:cs="Calibri" w:eastAsia="Calibri" w:hAnsi="Calibri"/>
          <w:sz w:val="17"/>
          <w:szCs w:val="17"/>
          <w:color w:val="auto"/>
        </w:rPr>
        <w:t>”) to the Partcipant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the opton to purchase from the Company all or any part of an aggregate of </w:t>
      </w:r>
      <w:r>
        <w:rPr>
          <w:rFonts w:ascii="Calibri" w:cs="Calibri" w:eastAsia="Calibri" w:hAnsi="Calibri"/>
          <w:sz w:val="20"/>
          <w:szCs w:val="20"/>
          <w:b w:val="1"/>
          <w:bCs w:val="1"/>
          <w:color w:val="auto"/>
        </w:rPr>
        <w:t>###TOTAL_AWARDS###</w:t>
      </w:r>
      <w:r>
        <w:rPr>
          <w:rFonts w:ascii="Calibri" w:cs="Calibri" w:eastAsia="Calibri" w:hAnsi="Calibri"/>
          <w:sz w:val="17"/>
          <w:szCs w:val="17"/>
          <w:color w:val="auto"/>
        </w:rPr>
        <w:t xml:space="preserve"> Shares (the “</w:t>
      </w:r>
      <w:r>
        <w:rPr>
          <w:rFonts w:ascii="Calibri" w:cs="Calibri" w:eastAsia="Calibri" w:hAnsi="Calibri"/>
          <w:sz w:val="20"/>
          <w:szCs w:val="20"/>
          <w:b w:val="1"/>
          <w:bCs w:val="1"/>
          <w:color w:val="auto"/>
        </w:rPr>
        <w:t>Optons</w:t>
      </w:r>
      <w:r>
        <w:rPr>
          <w:rFonts w:ascii="Calibri" w:cs="Calibri" w:eastAsia="Calibri" w:hAnsi="Calibri"/>
          <w:sz w:val="17"/>
          <w:szCs w:val="17"/>
          <w:color w:val="auto"/>
        </w:rPr>
        <w:t>”), at the purchase</w:t>
      </w:r>
    </w:p>
    <w:p>
      <w:pPr>
        <w:ind w:left="660"/>
        <w:spacing w:after="0" w:line="229" w:lineRule="auto"/>
        <w:rPr>
          <w:sz w:val="20"/>
          <w:szCs w:val="20"/>
          <w:color w:val="auto"/>
        </w:rPr>
      </w:pPr>
      <w:r>
        <w:rPr>
          <w:rFonts w:ascii="Calibri" w:cs="Calibri" w:eastAsia="Calibri" w:hAnsi="Calibri"/>
          <w:sz w:val="18"/>
          <w:szCs w:val="18"/>
          <w:color w:val="auto"/>
        </w:rPr>
        <w:t xml:space="preserve">price of </w:t>
      </w:r>
      <w:r>
        <w:rPr>
          <w:rFonts w:ascii="Calibri" w:cs="Calibri" w:eastAsia="Calibri" w:hAnsi="Calibri"/>
          <w:sz w:val="21"/>
          <w:szCs w:val="21"/>
          <w:b w:val="1"/>
          <w:bCs w:val="1"/>
          <w:color w:val="auto"/>
        </w:rPr>
        <w:t>###GRANT_PRICE###</w:t>
      </w:r>
      <w:r>
        <w:rPr>
          <w:rFonts w:ascii="Calibri" w:cs="Calibri" w:eastAsia="Calibri" w:hAnsi="Calibri"/>
          <w:sz w:val="18"/>
          <w:szCs w:val="18"/>
          <w:color w:val="auto"/>
        </w:rPr>
        <w:t xml:space="preserve"> per Share (the “</w:t>
      </w:r>
      <w:r>
        <w:rPr>
          <w:rFonts w:ascii="Calibri" w:cs="Calibri" w:eastAsia="Calibri" w:hAnsi="Calibri"/>
          <w:sz w:val="21"/>
          <w:szCs w:val="21"/>
          <w:b w:val="1"/>
          <w:bCs w:val="1"/>
          <w:color w:val="auto"/>
        </w:rPr>
        <w:t>Exercise Price</w:t>
      </w:r>
      <w:r>
        <w:rPr>
          <w:rFonts w:ascii="Calibri" w:cs="Calibri" w:eastAsia="Calibri" w:hAnsi="Calibri"/>
          <w:sz w:val="18"/>
          <w:szCs w:val="18"/>
          <w:color w:val="auto"/>
        </w:rPr>
        <w:t>”).</w:t>
      </w:r>
    </w:p>
    <w:p>
      <w:pPr>
        <w:ind w:left="340"/>
        <w:spacing w:after="0" w:line="225" w:lineRule="auto"/>
        <w:rPr>
          <w:sz w:val="20"/>
          <w:szCs w:val="20"/>
          <w:color w:val="auto"/>
        </w:rPr>
      </w:pPr>
      <w:r>
        <w:rPr>
          <w:rFonts w:ascii="Calibri" w:cs="Calibri" w:eastAsia="Calibri" w:hAnsi="Calibri"/>
          <w:sz w:val="18"/>
          <w:szCs w:val="18"/>
          <w:b w:val="1"/>
          <w:bCs w:val="1"/>
          <w:color w:val="auto"/>
        </w:rPr>
        <w:t>Nature of the Grant:</w:t>
      </w:r>
    </w:p>
    <w:p>
      <w:pPr>
        <w:spacing w:after="0" w:line="42" w:lineRule="exact"/>
        <w:rPr>
          <w:sz w:val="20"/>
          <w:szCs w:val="20"/>
          <w:color w:val="auto"/>
        </w:rPr>
      </w:pPr>
    </w:p>
    <w:p>
      <w:pPr>
        <w:jc w:val="both"/>
        <w:ind w:left="660" w:hanging="328"/>
        <w:spacing w:after="0" w:line="214" w:lineRule="auto"/>
        <w:tabs>
          <w:tab w:leader="none" w:pos="651" w:val="left"/>
        </w:tabs>
        <w:numPr>
          <w:ilvl w:val="0"/>
          <w:numId w:val="27"/>
        </w:numPr>
        <w:rPr>
          <w:rFonts w:ascii="Arial" w:cs="Arial" w:eastAsia="Arial" w:hAnsi="Arial"/>
          <w:sz w:val="22"/>
          <w:szCs w:val="22"/>
          <w:color w:val="auto"/>
        </w:rPr>
      </w:pPr>
      <w:r>
        <w:rPr>
          <w:rFonts w:ascii="Calibri" w:cs="Calibri" w:eastAsia="Calibri" w:hAnsi="Calibri"/>
          <w:sz w:val="18"/>
          <w:szCs w:val="18"/>
          <w:color w:val="auto"/>
        </w:rPr>
        <w:t>The grant of Optons is voluntary and occasional and does not create any contractual or other right to receive future grants of Optons, or benefts in lieu of Optons, even if Optons have been granted in the past. All decisions with respect to future grants will be at the sole discreton of the Company;</w:t>
      </w:r>
    </w:p>
    <w:p>
      <w:pPr>
        <w:spacing w:after="0" w:line="246"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2"/>
          <w:szCs w:val="22"/>
          <w:color w:val="auto"/>
        </w:rPr>
      </w:pPr>
      <w:r>
        <w:rPr>
          <w:rFonts w:ascii="Calibri" w:cs="Calibri" w:eastAsia="Calibri" w:hAnsi="Calibri"/>
          <w:sz w:val="18"/>
          <w:szCs w:val="18"/>
          <w:color w:val="auto"/>
        </w:rPr>
        <w:t>The Partcipant is voluntarily partcipatng in the Plan;</w:t>
      </w:r>
    </w:p>
    <w:p>
      <w:pPr>
        <w:spacing w:after="0" w:line="41" w:lineRule="exact"/>
        <w:rPr>
          <w:rFonts w:ascii="Arial" w:cs="Arial" w:eastAsia="Arial" w:hAnsi="Arial"/>
          <w:sz w:val="22"/>
          <w:szCs w:val="22"/>
          <w:color w:val="auto"/>
        </w:rPr>
      </w:pPr>
    </w:p>
    <w:p>
      <w:pPr>
        <w:ind w:left="660" w:hanging="328"/>
        <w:spacing w:after="0" w:line="204" w:lineRule="auto"/>
        <w:tabs>
          <w:tab w:leader="none" w:pos="651" w:val="left"/>
        </w:tabs>
        <w:numPr>
          <w:ilvl w:val="0"/>
          <w:numId w:val="28"/>
        </w:numPr>
        <w:rPr>
          <w:rFonts w:ascii="Arial" w:cs="Arial" w:eastAsia="Arial" w:hAnsi="Arial"/>
          <w:sz w:val="22"/>
          <w:szCs w:val="22"/>
          <w:color w:val="auto"/>
        </w:rPr>
      </w:pPr>
      <w:r>
        <w:rPr>
          <w:rFonts w:ascii="Calibri" w:cs="Calibri" w:eastAsia="Calibri" w:hAnsi="Calibri"/>
          <w:sz w:val="18"/>
          <w:szCs w:val="18"/>
          <w:color w:val="auto"/>
        </w:rPr>
        <w:t>The Optons are not part of normal or expected compensaton for any purpose, including for purposes of calculatng any severance, resignaton, terminaton, redundancy, dismissal, end-of-service payments, bonuses, pension or retrement or welfare benefts or similar payments;</w:t>
      </w:r>
    </w:p>
    <w:p>
      <w:pPr>
        <w:spacing w:after="0" w:line="2" w:lineRule="exact"/>
        <w:rPr>
          <w:rFonts w:ascii="Arial" w:cs="Arial" w:eastAsia="Arial" w:hAnsi="Arial"/>
          <w:sz w:val="22"/>
          <w:szCs w:val="22"/>
          <w:color w:val="auto"/>
        </w:rPr>
      </w:pPr>
    </w:p>
    <w:p>
      <w:pPr>
        <w:ind w:left="640" w:hanging="308"/>
        <w:spacing w:after="0"/>
        <w:tabs>
          <w:tab w:leader="none" w:pos="640" w:val="left"/>
        </w:tabs>
        <w:numPr>
          <w:ilvl w:val="0"/>
          <w:numId w:val="28"/>
        </w:numPr>
        <w:rPr>
          <w:rFonts w:ascii="Arial" w:cs="Arial" w:eastAsia="Arial" w:hAnsi="Arial"/>
          <w:sz w:val="22"/>
          <w:szCs w:val="22"/>
          <w:color w:val="auto"/>
        </w:rPr>
      </w:pPr>
      <w:r>
        <w:rPr>
          <w:rFonts w:ascii="Calibri" w:cs="Calibri" w:eastAsia="Calibri" w:hAnsi="Calibri"/>
          <w:sz w:val="18"/>
          <w:szCs w:val="18"/>
          <w:color w:val="auto"/>
        </w:rPr>
        <w:t>Future value of the underlying Shares is unknown, indeterminable and cannot be predicted with certainty;</w:t>
      </w:r>
    </w:p>
    <w:p>
      <w:pPr>
        <w:spacing w:after="0" w:line="41" w:lineRule="exact"/>
        <w:rPr>
          <w:rFonts w:ascii="Arial" w:cs="Arial" w:eastAsia="Arial" w:hAnsi="Arial"/>
          <w:sz w:val="22"/>
          <w:szCs w:val="22"/>
          <w:color w:val="auto"/>
        </w:rPr>
      </w:pPr>
    </w:p>
    <w:p>
      <w:pPr>
        <w:ind w:left="660" w:hanging="328"/>
        <w:spacing w:after="0" w:line="211" w:lineRule="auto"/>
        <w:tabs>
          <w:tab w:leader="none" w:pos="651" w:val="left"/>
        </w:tabs>
        <w:numPr>
          <w:ilvl w:val="0"/>
          <w:numId w:val="28"/>
        </w:numPr>
        <w:rPr>
          <w:rFonts w:ascii="Arial" w:cs="Arial" w:eastAsia="Arial" w:hAnsi="Arial"/>
          <w:sz w:val="22"/>
          <w:szCs w:val="22"/>
          <w:color w:val="auto"/>
        </w:rPr>
      </w:pPr>
      <w:r>
        <w:rPr>
          <w:rFonts w:ascii="Calibri" w:cs="Calibri" w:eastAsia="Calibri" w:hAnsi="Calibri"/>
          <w:sz w:val="18"/>
          <w:szCs w:val="18"/>
          <w:color w:val="auto"/>
        </w:rPr>
        <w:t>No claim or enttlement to compensaton or damages will arise from forfeiture of the Optons resultng from the terminaton of the Partcipant's employment; and</w:t>
      </w:r>
    </w:p>
    <w:p>
      <w:pPr>
        <w:spacing w:after="0" w:line="41" w:lineRule="exact"/>
        <w:rPr>
          <w:rFonts w:ascii="Arial" w:cs="Arial" w:eastAsia="Arial" w:hAnsi="Arial"/>
          <w:sz w:val="22"/>
          <w:szCs w:val="22"/>
          <w:color w:val="auto"/>
        </w:rPr>
      </w:pPr>
    </w:p>
    <w:p>
      <w:pPr>
        <w:jc w:val="both"/>
        <w:ind w:left="660" w:hanging="328"/>
        <w:spacing w:after="0" w:line="214" w:lineRule="auto"/>
        <w:tabs>
          <w:tab w:leader="none" w:pos="651" w:val="left"/>
        </w:tabs>
        <w:numPr>
          <w:ilvl w:val="0"/>
          <w:numId w:val="28"/>
        </w:numPr>
        <w:rPr>
          <w:rFonts w:ascii="Arial" w:cs="Arial" w:eastAsia="Arial" w:hAnsi="Arial"/>
          <w:sz w:val="22"/>
          <w:szCs w:val="22"/>
          <w:color w:val="auto"/>
        </w:rPr>
      </w:pPr>
      <w:r>
        <w:rPr>
          <w:rFonts w:ascii="Calibri" w:cs="Calibri" w:eastAsia="Calibri" w:hAnsi="Calibri"/>
          <w:sz w:val="18"/>
          <w:szCs w:val="18"/>
          <w:color w:val="auto"/>
        </w:rPr>
        <w:t>The Company will not be liable for any foreign exchange rate fuctuaton between the Partcipant’s local currency and the United States Dollar that may afect the value of the Optons or of any amounts due to the Partcipant on exercise of the Optons or on the subsequent sale of any Shares acquired on exercise.</w:t>
      </w:r>
    </w:p>
    <w:p>
      <w:pPr>
        <w:spacing w:after="0" w:line="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Terms and Conditons</w:t>
      </w:r>
      <w:r>
        <w:rPr>
          <w:rFonts w:ascii="Calibri" w:cs="Calibri" w:eastAsia="Calibri" w:hAnsi="Calibri"/>
          <w:sz w:val="18"/>
          <w:szCs w:val="18"/>
          <w:color w:val="auto"/>
        </w:rPr>
        <w:t>. The Optons are subject to the following additonal terms and conditons:</w:t>
      </w:r>
    </w:p>
    <w:p>
      <w:pPr>
        <w:spacing w:after="0" w:line="24" w:lineRule="exact"/>
        <w:rPr>
          <w:sz w:val="20"/>
          <w:szCs w:val="20"/>
          <w:color w:val="auto"/>
        </w:rPr>
      </w:pPr>
    </w:p>
    <w:p>
      <w:pPr>
        <w:ind w:left="660" w:hanging="328"/>
        <w:spacing w:after="0" w:line="229" w:lineRule="auto"/>
        <w:tabs>
          <w:tab w:leader="none" w:pos="651" w:val="left"/>
        </w:tabs>
        <w:numPr>
          <w:ilvl w:val="0"/>
          <w:numId w:val="30"/>
        </w:numPr>
        <w:rPr>
          <w:rFonts w:ascii="Arial" w:cs="Arial" w:eastAsia="Arial" w:hAnsi="Arial"/>
          <w:sz w:val="22"/>
          <w:szCs w:val="22"/>
          <w:color w:val="auto"/>
        </w:rPr>
      </w:pPr>
      <w:r>
        <w:rPr>
          <w:rFonts w:ascii="Calibri" w:cs="Calibri" w:eastAsia="Calibri" w:hAnsi="Calibri"/>
          <w:sz w:val="18"/>
          <w:szCs w:val="18"/>
          <w:b w:val="1"/>
          <w:bCs w:val="1"/>
          <w:color w:val="auto"/>
        </w:rPr>
        <w:t>Expiraton Date</w:t>
      </w:r>
      <w:r>
        <w:rPr>
          <w:rFonts w:ascii="Calibri" w:cs="Calibri" w:eastAsia="Calibri" w:hAnsi="Calibri"/>
          <w:sz w:val="18"/>
          <w:szCs w:val="18"/>
          <w:color w:val="auto"/>
        </w:rPr>
        <w:t>. The Optons will expire on</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or, if the Partcipant’s employment terminates before that date, on the 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specifed in subsecton 2(e) below.</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30"/>
        </w:numPr>
        <w:rPr>
          <w:rFonts w:ascii="Arial" w:cs="Arial" w:eastAsia="Arial" w:hAnsi="Arial"/>
          <w:sz w:val="22"/>
          <w:szCs w:val="22"/>
          <w:color w:val="auto"/>
        </w:rPr>
      </w:pPr>
      <w:r>
        <w:rPr>
          <w:rFonts w:ascii="Calibri" w:cs="Calibri" w:eastAsia="Calibri" w:hAnsi="Calibri"/>
          <w:sz w:val="18"/>
          <w:szCs w:val="18"/>
          <w:b w:val="1"/>
          <w:bCs w:val="1"/>
          <w:color w:val="auto"/>
        </w:rPr>
        <w:t>Exercise of Optons</w:t>
      </w:r>
      <w:r>
        <w:rPr>
          <w:rFonts w:ascii="Calibri" w:cs="Calibri" w:eastAsia="Calibri" w:hAnsi="Calibri"/>
          <w:sz w:val="18"/>
          <w:szCs w:val="18"/>
          <w:color w:val="auto"/>
        </w:rPr>
        <w:t>. The Optons cannot be exercised untl vested.</w:t>
      </w:r>
    </w:p>
    <w:p>
      <w:pPr>
        <w:spacing w:after="0" w:line="23" w:lineRule="exact"/>
        <w:rPr>
          <w:rFonts w:ascii="Arial" w:cs="Arial" w:eastAsia="Arial" w:hAnsi="Arial"/>
          <w:sz w:val="22"/>
          <w:szCs w:val="22"/>
          <w:color w:val="auto"/>
        </w:rPr>
      </w:pPr>
    </w:p>
    <w:p>
      <w:pPr>
        <w:jc w:val="both"/>
        <w:ind w:left="660" w:hanging="328"/>
        <w:spacing w:after="0" w:line="209" w:lineRule="auto"/>
        <w:tabs>
          <w:tab w:leader="none" w:pos="652" w:val="left"/>
        </w:tabs>
        <w:numPr>
          <w:ilvl w:val="0"/>
          <w:numId w:val="30"/>
        </w:numPr>
        <w:rPr>
          <w:rFonts w:ascii="Arial" w:cs="Arial" w:eastAsia="Arial" w:hAnsi="Arial"/>
          <w:sz w:val="22"/>
          <w:szCs w:val="22"/>
          <w:color w:val="auto"/>
        </w:rPr>
      </w:pPr>
      <w:r>
        <w:rPr>
          <w:rFonts w:ascii="Calibri" w:cs="Calibri" w:eastAsia="Calibri" w:hAnsi="Calibri"/>
          <w:sz w:val="18"/>
          <w:szCs w:val="18"/>
          <w:b w:val="1"/>
          <w:bCs w:val="1"/>
          <w:color w:val="auto"/>
        </w:rPr>
        <w:t>Vestng</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Optons will vest if the Partcipant has been actvely employed by the Company or an Afliate from the Grant Date</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 xml:space="preserve">through the vestng date. </w:t>
      </w:r>
      <w:r>
        <w:rPr>
          <w:rFonts w:ascii="Calibri" w:cs="Calibri" w:eastAsia="Calibri" w:hAnsi="Calibri"/>
          <w:sz w:val="17"/>
          <w:szCs w:val="17"/>
          <w:color w:val="auto"/>
        </w:rPr>
        <w:t>Actve employment does not include any potental severance period or an approved leave of absence greater than 6</w:t>
      </w:r>
      <w:r>
        <w:rPr>
          <w:rFonts w:ascii="Calibri" w:cs="Calibri" w:eastAsia="Calibri" w:hAnsi="Calibri"/>
          <w:sz w:val="21"/>
          <w:szCs w:val="21"/>
          <w:color w:val="auto"/>
        </w:rPr>
        <w:t xml:space="preserve"> </w:t>
      </w:r>
      <w:r>
        <w:rPr>
          <w:rFonts w:ascii="Calibri" w:cs="Calibri" w:eastAsia="Calibri" w:hAnsi="Calibri"/>
          <w:sz w:val="17"/>
          <w:szCs w:val="17"/>
          <w:color w:val="auto"/>
        </w:rPr>
        <w:t>months.</w:t>
      </w:r>
    </w:p>
    <w:p>
      <w:pPr>
        <w:spacing w:after="0" w:line="2" w:lineRule="exact"/>
        <w:rPr>
          <w:rFonts w:ascii="Arial" w:cs="Arial" w:eastAsia="Arial" w:hAnsi="Arial"/>
          <w:sz w:val="22"/>
          <w:szCs w:val="22"/>
          <w:color w:val="auto"/>
        </w:rPr>
      </w:pPr>
    </w:p>
    <w:p>
      <w:pPr>
        <w:ind w:left="660"/>
        <w:spacing w:after="0" w:line="221" w:lineRule="auto"/>
        <w:rPr>
          <w:rFonts w:ascii="Arial" w:cs="Arial" w:eastAsia="Arial" w:hAnsi="Arial"/>
          <w:sz w:val="22"/>
          <w:szCs w:val="22"/>
          <w:color w:val="auto"/>
        </w:rPr>
      </w:pPr>
      <w:r>
        <w:rPr>
          <w:rFonts w:ascii="Calibri" w:cs="Calibri" w:eastAsia="Calibri" w:hAnsi="Calibri"/>
          <w:sz w:val="18"/>
          <w:szCs w:val="18"/>
          <w:color w:val="auto"/>
        </w:rPr>
        <w:t>Subject to subsectons 2(a), 2(d), and 2(e), the Optons will vest in 3 installments as follows:</w:t>
      </w:r>
    </w:p>
    <w:p>
      <w:pPr>
        <w:spacing w:after="0" w:line="226" w:lineRule="exact"/>
        <w:rPr>
          <w:sz w:val="20"/>
          <w:szCs w:val="20"/>
          <w:color w:val="auto"/>
        </w:rPr>
      </w:pPr>
    </w:p>
    <w:p>
      <w:pPr>
        <w:ind w:left="3240"/>
        <w:spacing w:after="0"/>
        <w:rPr>
          <w:sz w:val="20"/>
          <w:szCs w:val="20"/>
          <w:color w:val="auto"/>
        </w:rPr>
      </w:pPr>
      <w:r>
        <w:rPr>
          <w:rFonts w:ascii="Calibri" w:cs="Calibri" w:eastAsia="Calibri" w:hAnsi="Calibri"/>
          <w:sz w:val="18"/>
          <w:szCs w:val="18"/>
          <w:b w:val="1"/>
          <w:bCs w:val="1"/>
          <w:color w:val="auto"/>
        </w:rPr>
        <w:t>###VEST_SCHEDULE_TABLE###</w:t>
      </w:r>
    </w:p>
    <w:p>
      <w:pPr>
        <w:spacing w:after="0" w:line="200" w:lineRule="exact"/>
        <w:rPr>
          <w:sz w:val="20"/>
          <w:szCs w:val="20"/>
          <w:color w:val="auto"/>
        </w:rPr>
      </w:pPr>
    </w:p>
    <w:p>
      <w:pPr>
        <w:spacing w:after="0" w:line="274" w:lineRule="exact"/>
        <w:rPr>
          <w:sz w:val="20"/>
          <w:szCs w:val="20"/>
          <w:color w:val="auto"/>
        </w:rPr>
      </w:pPr>
    </w:p>
    <w:p>
      <w:pPr>
        <w:ind w:firstLine="648"/>
        <w:spacing w:after="0" w:line="227" w:lineRule="auto"/>
        <w:rPr>
          <w:sz w:val="20"/>
          <w:szCs w:val="20"/>
          <w:color w:val="auto"/>
        </w:rPr>
      </w:pPr>
      <w:r>
        <w:rPr>
          <w:rFonts w:ascii="Calibri" w:cs="Calibri" w:eastAsia="Calibri" w:hAnsi="Calibri"/>
          <w:sz w:val="18"/>
          <w:szCs w:val="18"/>
          <w:color w:val="auto"/>
        </w:rPr>
        <w:t>For China-based Partcipants, when exercising of the Optons is elected post vestng, the Company will provide a cash payment equivalent to the number of Optons exercised multplied by the positve diference between the stock price upon exercise and the Exercise Price.</w:t>
      </w:r>
    </w:p>
    <w:p>
      <w:pPr>
        <w:spacing w:after="0" w:line="43" w:lineRule="exact"/>
        <w:rPr>
          <w:sz w:val="20"/>
          <w:szCs w:val="20"/>
          <w:color w:val="auto"/>
        </w:rPr>
      </w:pPr>
    </w:p>
    <w:p>
      <w:pPr>
        <w:ind w:left="660" w:hanging="328"/>
        <w:spacing w:after="0" w:line="211" w:lineRule="auto"/>
        <w:tabs>
          <w:tab w:leader="none" w:pos="651" w:val="left"/>
        </w:tabs>
        <w:numPr>
          <w:ilvl w:val="0"/>
          <w:numId w:val="31"/>
        </w:numPr>
        <w:rPr>
          <w:rFonts w:ascii="Arial" w:cs="Arial" w:eastAsia="Arial" w:hAnsi="Arial"/>
          <w:sz w:val="22"/>
          <w:szCs w:val="22"/>
          <w:color w:val="auto"/>
        </w:rPr>
      </w:pPr>
      <w:r>
        <w:rPr>
          <w:rFonts w:ascii="Calibri" w:cs="Calibri" w:eastAsia="Calibri" w:hAnsi="Calibri"/>
          <w:sz w:val="18"/>
          <w:szCs w:val="18"/>
          <w:b w:val="1"/>
          <w:bCs w:val="1"/>
          <w:color w:val="auto"/>
        </w:rPr>
        <w:t>Efect of Change in Control</w:t>
      </w:r>
      <w:r>
        <w:rPr>
          <w:rFonts w:ascii="Calibri" w:cs="Calibri" w:eastAsia="Calibri" w:hAnsi="Calibri"/>
          <w:sz w:val="18"/>
          <w:szCs w:val="18"/>
          <w:color w:val="auto"/>
        </w:rPr>
        <w:t>. In the event of a Change in Control prior to the vestng date, if the acquiring or surviving company in the transacton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assumes or contnues any then-outstanding Optons, then the</w:t>
      </w:r>
    </w:p>
    <w:p>
      <w:pPr>
        <w:sectPr>
          <w:pgSz w:w="11900" w:h="16838" w:orient="portrait"/>
          <w:cols w:equalWidth="0" w:num="1">
            <w:col w:w="11240"/>
          </w:cols>
          <w:pgMar w:left="320" w:top="1395" w:right="339" w:bottom="1440" w:gutter="0" w:footer="0" w:header="0"/>
        </w:sectPr>
      </w:pPr>
    </w:p>
    <w:bookmarkStart w:id="60" w:name="page61"/>
    <w:bookmarkEnd w:id="60"/>
    <w:p>
      <w:pPr>
        <w:jc w:val="both"/>
        <w:ind w:left="660"/>
        <w:spacing w:after="0" w:line="225" w:lineRule="auto"/>
        <w:rPr>
          <w:sz w:val="20"/>
          <w:szCs w:val="20"/>
          <w:color w:val="auto"/>
        </w:rPr>
      </w:pPr>
      <w:r>
        <w:rPr>
          <w:rFonts w:ascii="Calibri" w:cs="Calibri" w:eastAsia="Calibri" w:hAnsi="Calibri"/>
          <w:sz w:val="18"/>
          <w:szCs w:val="18"/>
          <w:color w:val="auto"/>
        </w:rPr>
        <w:t xml:space="preserve">unvested Optons will contnue to vest based on the Optons’ service-based vestng criteria untl the vestng date. If the Partcipant's actve employment with the Company or an Afliate is terminated by the Company or an Afliate without Cause or by the Partcipant (for applicable Partcipants only) for Good Reason within 2 years of a Change in Control, any unvested and any converted Optons will become 100% vested on the terminaton date.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months</w:t>
      </w:r>
      <w:r>
        <w:rPr>
          <w:rFonts w:ascii="Calibri" w:cs="Calibri" w:eastAsia="Calibri" w:hAnsi="Calibri"/>
          <w:sz w:val="18"/>
          <w:szCs w:val="18"/>
          <w:color w:val="auto"/>
        </w:rPr>
        <w:t xml:space="preserve"> afer the Partcipant's terminaton of actve employment. If the partcipant is Retrement Eligible as specifed in subsecton 2(e) below,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years</w:t>
      </w:r>
      <w:r>
        <w:rPr>
          <w:rFonts w:ascii="Calibri" w:cs="Calibri" w:eastAsia="Calibri" w:hAnsi="Calibri"/>
          <w:sz w:val="18"/>
          <w:szCs w:val="18"/>
          <w:color w:val="auto"/>
        </w:rPr>
        <w:t xml:space="preserve"> afer the Partcipant’s terminaton of actve employment.</w:t>
      </w:r>
    </w:p>
    <w:p>
      <w:pPr>
        <w:spacing w:after="0" w:line="228" w:lineRule="exact"/>
        <w:rPr>
          <w:sz w:val="20"/>
          <w:szCs w:val="20"/>
          <w:color w:val="auto"/>
        </w:rPr>
      </w:pPr>
    </w:p>
    <w:p>
      <w:pPr>
        <w:jc w:val="both"/>
        <w:ind w:firstLine="648"/>
        <w:spacing w:after="0" w:line="224"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Cause</w:t>
      </w:r>
      <w:r>
        <w:rPr>
          <w:rFonts w:ascii="Calibri" w:cs="Calibri" w:eastAsia="Calibri" w:hAnsi="Calibri"/>
          <w:sz w:val="18"/>
          <w:szCs w:val="18"/>
          <w:color w:val="auto"/>
        </w:rPr>
        <w:t>” means (i) the Partcipant’s willful and contnued failure to substantally perform his, her or their dutes with the Company or an Afliate (other than any such failure resultng from the Partcipant’s incapacity due to physical or mental illness) or (ii) the Partcipant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1" w:lineRule="exact"/>
        <w:rPr>
          <w:sz w:val="20"/>
          <w:szCs w:val="20"/>
          <w:color w:val="auto"/>
        </w:rPr>
      </w:pPr>
    </w:p>
    <w:p>
      <w:pPr>
        <w:jc w:val="both"/>
        <w:ind w:firstLine="648"/>
        <w:spacing w:after="0" w:line="222"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Good Reason</w:t>
      </w:r>
      <w:r>
        <w:rPr>
          <w:rFonts w:ascii="Calibri" w:cs="Calibri" w:eastAsia="Calibri" w:hAnsi="Calibri"/>
          <w:sz w:val="18"/>
          <w:szCs w:val="18"/>
          <w:color w:val="auto"/>
        </w:rPr>
        <w:t>” means (i) a reducton in annual target total cash compensaton (base salary and target bonus), (ii) the assignment of any dutes inconsistent in any material adverse respect with the Partcipant’s positon, authority, dutes or responsibilites, (iii) any other acton by the Company or an Afliate which results in a material diminuton in such positon, authority, dutes or responsibilites; or (iv) the Company or an Afliate requiring the Partcipant to relocate to a work locaton 50 miles or more from the locaton where the Partcipant was principally working immediately prior to the Change in Control. The Partcipant must give notce within 90 days of any Good Reason event.</w:t>
      </w:r>
    </w:p>
    <w:p>
      <w:pPr>
        <w:spacing w:after="0" w:line="3"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Good Reason only applies to Company or Afliate employees who are, at the tme of terminaton of employment, covered by the Xylem Special Senior Executve Severance Pay Plan or the Xylem Enhanced Severance Pay Plan and will exclude an isolated, insubstantal and inadvertent acton not taken in bad faith that is resolved by the Company or an Afliate within 30 days of receiving notce.</w:t>
      </w:r>
    </w:p>
    <w:p>
      <w:pPr>
        <w:spacing w:after="0" w:line="42" w:lineRule="exact"/>
        <w:rPr>
          <w:sz w:val="20"/>
          <w:szCs w:val="20"/>
          <w:color w:val="auto"/>
        </w:rPr>
      </w:pPr>
    </w:p>
    <w:p>
      <w:pPr>
        <w:jc w:val="both"/>
        <w:ind w:left="660" w:hanging="328"/>
        <w:spacing w:after="0" w:line="217" w:lineRule="auto"/>
        <w:tabs>
          <w:tab w:leader="none" w:pos="651" w:val="left"/>
        </w:tabs>
        <w:numPr>
          <w:ilvl w:val="0"/>
          <w:numId w:val="32"/>
        </w:numPr>
        <w:rPr>
          <w:rFonts w:ascii="Arial" w:cs="Arial" w:eastAsia="Arial" w:hAnsi="Arial"/>
          <w:sz w:val="22"/>
          <w:szCs w:val="22"/>
          <w:color w:val="auto"/>
        </w:rPr>
      </w:pPr>
      <w:r>
        <w:rPr>
          <w:rFonts w:ascii="Calibri" w:cs="Calibri" w:eastAsia="Calibri" w:hAnsi="Calibri"/>
          <w:sz w:val="18"/>
          <w:szCs w:val="18"/>
          <w:b w:val="1"/>
          <w:bCs w:val="1"/>
          <w:color w:val="auto"/>
        </w:rPr>
        <w:t>Efect of Terminaton of Employment</w:t>
      </w:r>
      <w:r>
        <w:rPr>
          <w:rFonts w:ascii="Calibri" w:cs="Calibri" w:eastAsia="Calibri" w:hAnsi="Calibri"/>
          <w:sz w:val="18"/>
          <w:szCs w:val="18"/>
          <w:color w:val="auto"/>
        </w:rPr>
        <w:t>. Optons will only vest while the Partcipant is actvely employed by the Company or an Afliate. If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Partcipant's actve employment with the Company or an Afliate is terminated for any reason prior to the vestng date, and such terminaton consttutes a “separaton from service” within the meaning of Secton 409A of the Code and any related regulatons or other efectve guidance promulgated thereunder (“</w:t>
      </w:r>
      <w:r>
        <w:rPr>
          <w:rFonts w:ascii="Calibri" w:cs="Calibri" w:eastAsia="Calibri" w:hAnsi="Calibri"/>
          <w:sz w:val="21"/>
          <w:szCs w:val="21"/>
          <w:b w:val="1"/>
          <w:bCs w:val="1"/>
          <w:color w:val="auto"/>
        </w:rPr>
        <w:t>Secton 409A</w:t>
      </w:r>
      <w:r>
        <w:rPr>
          <w:rFonts w:ascii="Calibri" w:cs="Calibri" w:eastAsia="Calibri" w:hAnsi="Calibri"/>
          <w:sz w:val="18"/>
          <w:szCs w:val="18"/>
          <w:color w:val="auto"/>
        </w:rPr>
        <w:t>”), subject to subsecton 2(d), the following would apply to any outstanding Optons:</w:t>
      </w:r>
    </w:p>
    <w:p>
      <w:pPr>
        <w:spacing w:after="0" w:line="45" w:lineRule="exact"/>
        <w:rPr>
          <w:rFonts w:ascii="Arial" w:cs="Arial" w:eastAsia="Arial" w:hAnsi="Arial"/>
          <w:sz w:val="22"/>
          <w:szCs w:val="22"/>
          <w:color w:val="auto"/>
        </w:rPr>
      </w:pPr>
    </w:p>
    <w:p>
      <w:pPr>
        <w:jc w:val="both"/>
        <w:ind w:left="1960" w:hanging="332"/>
        <w:spacing w:after="0" w:line="216" w:lineRule="auto"/>
        <w:tabs>
          <w:tab w:leader="none" w:pos="1951" w:val="left"/>
        </w:tabs>
        <w:numPr>
          <w:ilvl w:val="1"/>
          <w:numId w:val="32"/>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Death or Disability</w:t>
      </w:r>
      <w:r>
        <w:rPr>
          <w:rFonts w:ascii="Calibri" w:cs="Calibri" w:eastAsia="Calibri" w:hAnsi="Calibri"/>
          <w:sz w:val="18"/>
          <w:szCs w:val="18"/>
          <w:color w:val="auto"/>
        </w:rPr>
        <w:t xml:space="preserve">. Any unvested Optons will immediately become 100% vested on the Partcipant’s terminaton of employment.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years</w:t>
      </w:r>
      <w:r>
        <w:rPr>
          <w:rFonts w:ascii="Calibri" w:cs="Calibri" w:eastAsia="Calibri" w:hAnsi="Calibri"/>
          <w:sz w:val="18"/>
          <w:szCs w:val="18"/>
          <w:color w:val="auto"/>
        </w:rPr>
        <w:t xml:space="preserve"> afer the Partcipant’s terminaton of employment.</w:t>
      </w:r>
    </w:p>
    <w:p>
      <w:pPr>
        <w:spacing w:after="0" w:line="44" w:lineRule="exact"/>
        <w:rPr>
          <w:rFonts w:ascii="Arial" w:cs="Arial" w:eastAsia="Arial" w:hAnsi="Arial"/>
          <w:sz w:val="22"/>
          <w:szCs w:val="22"/>
          <w:color w:val="auto"/>
        </w:rPr>
      </w:pPr>
    </w:p>
    <w:p>
      <w:pPr>
        <w:jc w:val="both"/>
        <w:ind w:left="1960" w:hanging="332"/>
        <w:spacing w:after="0" w:line="221" w:lineRule="auto"/>
        <w:tabs>
          <w:tab w:leader="none" w:pos="1951" w:val="left"/>
        </w:tabs>
        <w:numPr>
          <w:ilvl w:val="1"/>
          <w:numId w:val="32"/>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Retrement or while Retrement Eligible</w:t>
      </w:r>
      <w:r>
        <w:rPr>
          <w:rFonts w:ascii="Calibri" w:cs="Calibri" w:eastAsia="Calibri" w:hAnsi="Calibri"/>
          <w:sz w:val="18"/>
          <w:szCs w:val="18"/>
          <w:color w:val="auto"/>
        </w:rPr>
        <w:t xml:space="preserve">. A prorated porton (as described below) of the unvested Optons with a vestng date within 12 months of terminaton will immediately vest on the Partcipant’s terminaton of employment. All other unvested Optons will automatcally be forfeited.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years</w:t>
      </w:r>
      <w:r>
        <w:rPr>
          <w:rFonts w:ascii="Calibri" w:cs="Calibri" w:eastAsia="Calibri" w:hAnsi="Calibri"/>
          <w:sz w:val="18"/>
          <w:szCs w:val="18"/>
          <w:color w:val="auto"/>
        </w:rPr>
        <w:t xml:space="preserve"> afer the Partcipant’s terminaton of employment.</w:t>
      </w:r>
    </w:p>
    <w:p>
      <w:pPr>
        <w:spacing w:after="0" w:line="49" w:lineRule="exact"/>
        <w:rPr>
          <w:rFonts w:ascii="Arial" w:cs="Arial" w:eastAsia="Arial" w:hAnsi="Arial"/>
          <w:sz w:val="22"/>
          <w:szCs w:val="22"/>
          <w:color w:val="auto"/>
        </w:rPr>
      </w:pPr>
    </w:p>
    <w:p>
      <w:pPr>
        <w:jc w:val="both"/>
        <w:ind w:left="1960" w:hanging="332"/>
        <w:spacing w:after="0" w:line="228" w:lineRule="auto"/>
        <w:tabs>
          <w:tab w:leader="none" w:pos="1951" w:val="left"/>
        </w:tabs>
        <w:numPr>
          <w:ilvl w:val="1"/>
          <w:numId w:val="32"/>
        </w:numPr>
        <w:rPr>
          <w:rFonts w:ascii="Arial" w:cs="Arial" w:eastAsia="Arial" w:hAnsi="Arial"/>
          <w:sz w:val="22"/>
          <w:szCs w:val="22"/>
          <w:color w:val="auto"/>
        </w:rPr>
      </w:pPr>
      <w:r>
        <w:rPr>
          <w:rFonts w:ascii="Calibri" w:cs="Calibri" w:eastAsia="Calibri" w:hAnsi="Calibri"/>
          <w:sz w:val="18"/>
          <w:szCs w:val="18"/>
          <w:u w:val="single" w:color="auto"/>
          <w:color w:val="auto"/>
        </w:rPr>
        <w:t>Terminaton other than for Death, Disability and Retrement</w:t>
      </w:r>
      <w:r>
        <w:rPr>
          <w:rFonts w:ascii="Calibri" w:cs="Calibri" w:eastAsia="Calibri" w:hAnsi="Calibri"/>
          <w:sz w:val="18"/>
          <w:szCs w:val="18"/>
          <w:color w:val="auto"/>
        </w:rPr>
        <w:t xml:space="preserve">. Any unvested Optons will automatcally forfeit on the date of the Partcipant’s terminaton of employment. Any vested porton of the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months</w:t>
      </w:r>
      <w:r>
        <w:rPr>
          <w:rFonts w:ascii="Calibri" w:cs="Calibri" w:eastAsia="Calibri" w:hAnsi="Calibri"/>
          <w:sz w:val="18"/>
          <w:szCs w:val="18"/>
          <w:color w:val="auto"/>
        </w:rPr>
        <w:t xml:space="preserve"> afer the Partcipant’s terminaton of employment.</w:t>
      </w:r>
    </w:p>
    <w:p>
      <w:pPr>
        <w:spacing w:after="0" w:line="1" w:lineRule="exact"/>
        <w:rPr>
          <w:sz w:val="20"/>
          <w:szCs w:val="20"/>
          <w:color w:val="auto"/>
        </w:rPr>
      </w:pPr>
    </w:p>
    <w:p>
      <w:pPr>
        <w:jc w:val="both"/>
        <w:ind w:firstLine="648"/>
        <w:spacing w:after="0" w:line="227"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Company based on evidence, including independent medical reports and data, as deemed appropriate or necessary.</w:t>
      </w:r>
    </w:p>
    <w:p>
      <w:pPr>
        <w:spacing w:after="0" w:line="1"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sectPr>
          <w:pgSz w:w="11900" w:h="16838" w:orient="portrait"/>
          <w:cols w:equalWidth="0" w:num="1">
            <w:col w:w="11240"/>
          </w:cols>
          <w:pgMar w:left="320" w:top="1400" w:right="339" w:bottom="1440" w:gutter="0" w:footer="0" w:header="0"/>
        </w:sectPr>
      </w:pPr>
    </w:p>
    <w:bookmarkStart w:id="61" w:name="page62"/>
    <w:bookmarkEnd w:id="61"/>
    <w:p>
      <w:pPr>
        <w:jc w:val="both"/>
        <w:ind w:firstLine="648"/>
        <w:spacing w:after="0" w:line="223" w:lineRule="auto"/>
        <w:rPr>
          <w:sz w:val="20"/>
          <w:szCs w:val="20"/>
          <w:color w:val="auto"/>
        </w:rPr>
      </w:pPr>
      <w:r>
        <w:rPr>
          <w:rFonts w:ascii="Calibri" w:cs="Calibri" w:eastAsia="Calibri" w:hAnsi="Calibri"/>
          <w:sz w:val="18"/>
          <w:szCs w:val="18"/>
          <w:b w:val="1"/>
          <w:bCs w:val="1"/>
          <w:color w:val="auto"/>
        </w:rPr>
        <w:t>Prorated Vestng Upon Retrement</w:t>
      </w:r>
      <w:r>
        <w:rPr>
          <w:rFonts w:ascii="Calibri" w:cs="Calibri" w:eastAsia="Calibri" w:hAnsi="Calibri"/>
          <w:sz w:val="18"/>
          <w:szCs w:val="18"/>
          <w:color w:val="auto"/>
        </w:rPr>
        <w:t>. The prorated porton of the Optons that vests on the Partcipant’s terminaton of employment due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Partcipant's Retrement will be determined by multplying the total number of unvested Optons with a vestng date within 12 months of terminaton by a fracton, of which the numerator is the number of full months (not to exceed 12) the Partcipant has been contnually employed since the Vest Period Start Date, and the denominator is 12. For this purpose, full months of employment will be based on monthly anniversaries of the Grant Date, not calendar months.</w:t>
      </w:r>
    </w:p>
    <w:p>
      <w:pPr>
        <w:spacing w:after="0" w:line="46" w:lineRule="exact"/>
        <w:rPr>
          <w:sz w:val="20"/>
          <w:szCs w:val="20"/>
          <w:color w:val="auto"/>
        </w:rPr>
      </w:pPr>
    </w:p>
    <w:p>
      <w:pPr>
        <w:jc w:val="both"/>
        <w:ind w:left="660" w:hanging="328"/>
        <w:spacing w:after="0" w:line="216" w:lineRule="auto"/>
        <w:tabs>
          <w:tab w:leader="none" w:pos="651" w:val="left"/>
        </w:tabs>
        <w:numPr>
          <w:ilvl w:val="0"/>
          <w:numId w:val="33"/>
        </w:numPr>
        <w:rPr>
          <w:rFonts w:ascii="Arial" w:cs="Arial" w:eastAsia="Arial" w:hAnsi="Arial"/>
          <w:sz w:val="22"/>
          <w:szCs w:val="22"/>
          <w:color w:val="auto"/>
        </w:rPr>
      </w:pPr>
      <w:r>
        <w:rPr>
          <w:rFonts w:ascii="Calibri" w:cs="Calibri" w:eastAsia="Calibri" w:hAnsi="Calibri"/>
          <w:sz w:val="18"/>
          <w:szCs w:val="18"/>
          <w:b w:val="1"/>
          <w:bCs w:val="1"/>
          <w:color w:val="auto"/>
        </w:rPr>
        <w:t>Payment of Exercise Price</w:t>
      </w:r>
      <w:r>
        <w:rPr>
          <w:rFonts w:ascii="Calibri" w:cs="Calibri" w:eastAsia="Calibri" w:hAnsi="Calibri"/>
          <w:sz w:val="18"/>
          <w:szCs w:val="18"/>
          <w:color w:val="auto"/>
        </w:rPr>
        <w:t>. Permissible methods for payment of the Exercise Price on exercise of the Optons are described in Secton 6.6 of the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or, if the Plan is amended, successor provisions. In additon to the methods of exercise permited by Secton 6.6 of the Plan, the Partcipant may exercise all or part of the Optons by way of (i) broker-assisted cashless exercise in a manner consistent with the Federal Reserve Board's Regulaton T, unless the Commitee determines that this is prohibited by law, or (ii) net-setlement, where the Partcipant directs the Company to withhold Shares that otherwise would be issued upon exercise of the Optons having </w:t>
      </w:r>
      <w:r>
        <w:rPr>
          <w:rFonts w:ascii="Calibri" w:cs="Calibri" w:eastAsia="Calibri" w:hAnsi="Calibri"/>
          <w:sz w:val="21"/>
          <w:szCs w:val="21"/>
          <w:color w:val="auto"/>
        </w:rPr>
        <w:t>an</w:t>
      </w:r>
      <w:r>
        <w:rPr>
          <w:rFonts w:ascii="Calibri" w:cs="Calibri" w:eastAsia="Calibri" w:hAnsi="Calibri"/>
          <w:sz w:val="18"/>
          <w:szCs w:val="18"/>
          <w:color w:val="auto"/>
        </w:rPr>
        <w:t xml:space="preserve"> aggregate Fair Market Value on the date of the exercise equal to the Exercise Price, or the porton being exercised by way of net-setlement (rounding up to the nearest whole Share).</w:t>
      </w:r>
    </w:p>
    <w:p>
      <w:pPr>
        <w:spacing w:after="0" w:line="45"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33"/>
        </w:numPr>
        <w:rPr>
          <w:rFonts w:ascii="Arial" w:cs="Arial" w:eastAsia="Arial" w:hAnsi="Arial"/>
          <w:sz w:val="22"/>
          <w:szCs w:val="22"/>
          <w:color w:val="auto"/>
        </w:rPr>
      </w:pPr>
      <w:r>
        <w:rPr>
          <w:rFonts w:ascii="Calibri" w:cs="Calibri" w:eastAsia="Calibri" w:hAnsi="Calibri"/>
          <w:sz w:val="18"/>
          <w:szCs w:val="18"/>
          <w:b w:val="1"/>
          <w:bCs w:val="1"/>
          <w:color w:val="auto"/>
        </w:rPr>
        <w:t>Tax Withholding</w:t>
      </w:r>
      <w:r>
        <w:rPr>
          <w:rFonts w:ascii="Calibri" w:cs="Calibri" w:eastAsia="Calibri" w:hAnsi="Calibri"/>
          <w:sz w:val="18"/>
          <w:szCs w:val="18"/>
          <w:color w:val="auto"/>
        </w:rPr>
        <w:t>. The Company will have the power and the right to deduct or withhold, or require the Partcipant to remit to the Company,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applicable federal, state, and local taxes, domestc or foreign, required by law or regulaton to be withheld with respect to the exercise of the Optons. The Partcipant may elect to satsfy the withholding requirement, in whole or in part, by having the Company withhold Shares that otherwise would be issued upon exercise of the Optons, with the number of Shares withheld having a Fair Market Value on the date the tax is to be determined equal to the minimum statutory total tax that could be imposed on the transacton </w:t>
      </w:r>
      <w:r>
        <w:rPr>
          <w:rFonts w:ascii="Calibri" w:cs="Calibri" w:eastAsia="Calibri" w:hAnsi="Calibri"/>
          <w:sz w:val="21"/>
          <w:szCs w:val="21"/>
          <w:color w:val="auto"/>
        </w:rPr>
        <w:t>(or such other amount that will not cause</w:t>
      </w:r>
      <w:r>
        <w:rPr>
          <w:rFonts w:ascii="Calibri" w:cs="Calibri" w:eastAsia="Calibri" w:hAnsi="Calibri"/>
          <w:sz w:val="18"/>
          <w:szCs w:val="18"/>
          <w:color w:val="auto"/>
        </w:rPr>
        <w:t xml:space="preserve"> </w:t>
      </w:r>
      <w:r>
        <w:rPr>
          <w:rFonts w:ascii="Calibri" w:cs="Calibri" w:eastAsia="Calibri" w:hAnsi="Calibri"/>
          <w:sz w:val="21"/>
          <w:szCs w:val="21"/>
          <w:color w:val="auto"/>
        </w:rPr>
        <w:t xml:space="preserve">an adverse accountng consequence or cost) </w:t>
      </w:r>
      <w:r>
        <w:rPr>
          <w:rFonts w:ascii="Calibri" w:cs="Calibri" w:eastAsia="Calibri" w:hAnsi="Calibri"/>
          <w:sz w:val="17"/>
          <w:szCs w:val="17"/>
          <w:color w:val="auto"/>
        </w:rPr>
        <w:t>(rounding up to the nearest whole Share). Any electon will be subject to any restrictons or</w:t>
      </w:r>
      <w:r>
        <w:rPr>
          <w:rFonts w:ascii="Calibri" w:cs="Calibri" w:eastAsia="Calibri" w:hAnsi="Calibri"/>
          <w:sz w:val="21"/>
          <w:szCs w:val="21"/>
          <w:color w:val="auto"/>
        </w:rPr>
        <w:t xml:space="preserve"> </w:t>
      </w:r>
      <w:r>
        <w:rPr>
          <w:rFonts w:ascii="Calibri" w:cs="Calibri" w:eastAsia="Calibri" w:hAnsi="Calibri"/>
          <w:sz w:val="17"/>
          <w:szCs w:val="17"/>
          <w:color w:val="auto"/>
        </w:rPr>
        <w:t>limitatons that the Commitee, in its sole discreton, deems appropriate.</w:t>
      </w:r>
    </w:p>
    <w:p>
      <w:pPr>
        <w:spacing w:after="0" w:line="44" w:lineRule="exact"/>
        <w:rPr>
          <w:rFonts w:ascii="Arial" w:cs="Arial" w:eastAsia="Arial" w:hAnsi="Arial"/>
          <w:sz w:val="22"/>
          <w:szCs w:val="22"/>
          <w:color w:val="auto"/>
        </w:rPr>
      </w:pPr>
    </w:p>
    <w:p>
      <w:pPr>
        <w:ind w:left="660" w:right="20" w:hanging="328"/>
        <w:spacing w:after="0" w:line="221" w:lineRule="auto"/>
        <w:tabs>
          <w:tab w:leader="none" w:pos="652" w:val="left"/>
        </w:tabs>
        <w:numPr>
          <w:ilvl w:val="0"/>
          <w:numId w:val="33"/>
        </w:numPr>
        <w:rPr>
          <w:rFonts w:ascii="Arial" w:cs="Arial" w:eastAsia="Arial" w:hAnsi="Arial"/>
          <w:sz w:val="22"/>
          <w:szCs w:val="22"/>
          <w:color w:val="auto"/>
        </w:rPr>
      </w:pPr>
      <w:r>
        <w:rPr>
          <w:rFonts w:ascii="Calibri" w:cs="Calibri" w:eastAsia="Calibri" w:hAnsi="Calibri"/>
          <w:sz w:val="18"/>
          <w:szCs w:val="18"/>
          <w:b w:val="1"/>
          <w:bCs w:val="1"/>
          <w:color w:val="auto"/>
        </w:rPr>
        <w:t xml:space="preserve">Automatc Exercise in Certain Circumstances. </w:t>
      </w:r>
      <w:r>
        <w:rPr>
          <w:rFonts w:ascii="Calibri" w:cs="Calibri" w:eastAsia="Calibri" w:hAnsi="Calibri"/>
          <w:sz w:val="18"/>
          <w:szCs w:val="18"/>
          <w:color w:val="auto"/>
        </w:rPr>
        <w:t>Subject to subsecton 2(i) of this Agreement, at close of business on the expiraton date (or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preceding trading day if the expiraton date is not a trading day), if the Exercise Spread Test (defned below) is met, the Opton will be automatcally exercised using the “net exercise” method described below, without regard to the notce requirement and with additonal Shares retained for purposes of satsfying the applicable tax withholdings (the “Automatc Exercise”). The Opton satsfes the “Exercise Spread Test” if the per Share spread between the closing price of the Company's common stock and the Grant Price (the “Exercise Spread”) on the expiraton date is at least one dollar. If the Exercise Spread Test is not satsfed, the unexercised portons of the Opton will expire as of close of business on the expiraton date. An Automatc Exercise will not occur if the Partcipant (and, if applicable, the Partcipant’s authorized legal representatve) waives this subsecton 2(h) in writng. The Automatc Exercise procedure is provided as a convenience and as a protecton against inadvertent expiraton of an Opton. Because any exercise of an Opton is normally your responsibility, you hereby waive any claims against the Company or any of its employees or agents if an Automatc Exercise does not occur for any reason and the Opton expires.</w:t>
      </w:r>
    </w:p>
    <w:p>
      <w:pPr>
        <w:spacing w:after="0" w:line="50"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33"/>
        </w:numPr>
        <w:rPr>
          <w:rFonts w:ascii="Arial" w:cs="Arial" w:eastAsia="Arial" w:hAnsi="Arial"/>
          <w:sz w:val="22"/>
          <w:szCs w:val="22"/>
          <w:color w:val="auto"/>
        </w:rPr>
      </w:pPr>
      <w:r>
        <w:rPr>
          <w:rFonts w:ascii="Calibri" w:cs="Calibri" w:eastAsia="Calibri" w:hAnsi="Calibri"/>
          <w:sz w:val="18"/>
          <w:szCs w:val="18"/>
          <w:b w:val="1"/>
          <w:bCs w:val="1"/>
          <w:color w:val="auto"/>
        </w:rPr>
        <w:t xml:space="preserve">Compliance with Laws and Regulatons. </w:t>
      </w:r>
      <w:r>
        <w:rPr>
          <w:rFonts w:ascii="Calibri" w:cs="Calibri" w:eastAsia="Calibri" w:hAnsi="Calibri"/>
          <w:sz w:val="18"/>
          <w:szCs w:val="18"/>
          <w:color w:val="auto"/>
        </w:rPr>
        <w:t>Notwithstanding anything to the contrary in this Agreement, the Company will not be obligated to issue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Shares under this Agreement or allow the exercise of the Optons by the Partcipant if doing so violates or is not in compliance with any laws, rules or regulatons of the United States or any state or country. The Partcipant understands that, if applicable, the laws of the country where the Partcipant is working at the tme of grant, vestng, and/or exercise of the Optons (including any rules or regulatons governing securites, foreign exchange, tax, labor or other maters) may restrict or prevent exercise of the Optons or may subject the Partcipant to additonal procedural or regulatory requirements that the Partcipant is solely responsible for and that the Partcipant will have to independently fulfll. The Company reserves the right to impose other requirements on the Partcipant’s partcipaton in the Plan, awards under the Plan, and any Shares acquired under the Plan, if the Company</w:t>
      </w:r>
    </w:p>
    <w:p>
      <w:pPr>
        <w:sectPr>
          <w:pgSz w:w="11900" w:h="16838" w:orient="portrait"/>
          <w:cols w:equalWidth="0" w:num="1">
            <w:col w:w="11240"/>
          </w:cols>
          <w:pgMar w:left="320" w:top="1400" w:right="339" w:bottom="1440" w:gutter="0" w:footer="0" w:header="0"/>
        </w:sectPr>
      </w:pPr>
    </w:p>
    <w:bookmarkStart w:id="62" w:name="page63"/>
    <w:bookmarkEnd w:id="62"/>
    <w:p>
      <w:pPr>
        <w:ind w:left="660"/>
        <w:spacing w:after="0"/>
        <w:rPr>
          <w:sz w:val="20"/>
          <w:szCs w:val="20"/>
          <w:color w:val="auto"/>
        </w:rPr>
      </w:pPr>
      <w:r>
        <w:rPr>
          <w:rFonts w:ascii="Calibri" w:cs="Calibri" w:eastAsia="Calibri" w:hAnsi="Calibri"/>
          <w:sz w:val="18"/>
          <w:szCs w:val="18"/>
          <w:color w:val="auto"/>
        </w:rPr>
        <w:t>determines the requirement is necessary or advisable to comply with applicable law or facilitate the administraton of the Plan.</w:t>
      </w:r>
    </w:p>
    <w:p>
      <w:pPr>
        <w:spacing w:after="0" w:line="42" w:lineRule="exact"/>
        <w:rPr>
          <w:sz w:val="20"/>
          <w:szCs w:val="20"/>
          <w:color w:val="auto"/>
        </w:rPr>
      </w:pPr>
    </w:p>
    <w:p>
      <w:pPr>
        <w:jc w:val="both"/>
        <w:ind w:left="660" w:hanging="328"/>
        <w:spacing w:after="0" w:line="216" w:lineRule="auto"/>
        <w:tabs>
          <w:tab w:leader="none" w:pos="651" w:val="left"/>
        </w:tabs>
        <w:numPr>
          <w:ilvl w:val="0"/>
          <w:numId w:val="34"/>
        </w:numPr>
        <w:rPr>
          <w:rFonts w:ascii="Arial" w:cs="Arial" w:eastAsia="Arial" w:hAnsi="Arial"/>
          <w:sz w:val="22"/>
          <w:szCs w:val="22"/>
          <w:color w:val="auto"/>
        </w:rPr>
      </w:pPr>
      <w:r>
        <w:rPr>
          <w:rFonts w:ascii="Calibri" w:cs="Calibri" w:eastAsia="Calibri" w:hAnsi="Calibri"/>
          <w:sz w:val="18"/>
          <w:szCs w:val="18"/>
          <w:b w:val="1"/>
          <w:bCs w:val="1"/>
          <w:color w:val="auto"/>
        </w:rPr>
        <w:t xml:space="preserve">Partcipant Covenants and Forfeiture and Clawback Provisions. </w:t>
      </w:r>
      <w:r>
        <w:rPr>
          <w:rFonts w:ascii="Calibri" w:cs="Calibri" w:eastAsia="Calibri" w:hAnsi="Calibri"/>
          <w:sz w:val="18"/>
          <w:szCs w:val="18"/>
          <w:color w:val="auto"/>
        </w:rPr>
        <w:t>The Partcipant acknowledges and agrees that the Optons, whether previously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vested or not, may be cancelled in full, and the Partcipant may be required to return to the Company any Shares received on setlement of vested Optons or the net afer-tax income, or the pre-tax value to the extent required by explicable law and/or the Company’s Recoupment of Incentve-Based Compensaton Policy 40-05, from the dispositon of any Shares received upon setlement of vested Optons, to the extent required by applicable law and/or the Company Policy 40-05, or if the Commitee, in its sole discreton, determines that the Partcipant:</w:t>
      </w:r>
    </w:p>
    <w:p>
      <w:pPr>
        <w:spacing w:after="0" w:line="7"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2"/>
          <w:szCs w:val="22"/>
          <w:color w:val="auto"/>
        </w:rPr>
      </w:pPr>
      <w:r>
        <w:rPr>
          <w:rFonts w:ascii="Calibri" w:cs="Calibri" w:eastAsia="Calibri" w:hAnsi="Calibri"/>
          <w:sz w:val="18"/>
          <w:szCs w:val="18"/>
          <w:color w:val="auto"/>
        </w:rPr>
        <w:t>Has engaged in any actvity in violaton of Company policies, including the Company’s Code of Conduct;</w:t>
      </w:r>
    </w:p>
    <w:p>
      <w:pPr>
        <w:spacing w:after="0" w:line="24" w:lineRule="exact"/>
        <w:rPr>
          <w:rFonts w:ascii="Arial" w:cs="Arial" w:eastAsia="Arial" w:hAnsi="Arial"/>
          <w:sz w:val="22"/>
          <w:szCs w:val="22"/>
          <w:color w:val="auto"/>
        </w:rPr>
      </w:pPr>
    </w:p>
    <w:p>
      <w:pPr>
        <w:ind w:left="640" w:hanging="308"/>
        <w:spacing w:after="0" w:line="206" w:lineRule="auto"/>
        <w:tabs>
          <w:tab w:leader="none" w:pos="640" w:val="left"/>
        </w:tabs>
        <w:numPr>
          <w:ilvl w:val="0"/>
          <w:numId w:val="35"/>
        </w:numPr>
        <w:rPr>
          <w:rFonts w:ascii="Arial" w:cs="Arial" w:eastAsia="Arial" w:hAnsi="Arial"/>
          <w:sz w:val="22"/>
          <w:szCs w:val="22"/>
          <w:color w:val="auto"/>
        </w:rPr>
      </w:pPr>
      <w:r>
        <w:rPr>
          <w:rFonts w:ascii="Calibri" w:cs="Calibri" w:eastAsia="Calibri" w:hAnsi="Calibri"/>
          <w:sz w:val="18"/>
          <w:szCs w:val="18"/>
          <w:color w:val="auto"/>
        </w:rPr>
        <w:t>Has engaged in conduct materially adverse to the best interests of the Company or its Afliates; or</w:t>
      </w:r>
    </w:p>
    <w:p>
      <w:pPr>
        <w:spacing w:after="0" w:line="41" w:lineRule="exact"/>
        <w:rPr>
          <w:rFonts w:ascii="Arial" w:cs="Arial" w:eastAsia="Arial" w:hAnsi="Arial"/>
          <w:sz w:val="22"/>
          <w:szCs w:val="22"/>
          <w:color w:val="auto"/>
        </w:rPr>
      </w:pPr>
    </w:p>
    <w:p>
      <w:pPr>
        <w:ind w:left="660" w:hanging="328"/>
        <w:spacing w:after="0" w:line="211" w:lineRule="auto"/>
        <w:tabs>
          <w:tab w:leader="none" w:pos="652" w:val="left"/>
        </w:tabs>
        <w:numPr>
          <w:ilvl w:val="0"/>
          <w:numId w:val="35"/>
        </w:numPr>
        <w:rPr>
          <w:rFonts w:ascii="Arial" w:cs="Arial" w:eastAsia="Arial" w:hAnsi="Arial"/>
          <w:sz w:val="22"/>
          <w:szCs w:val="22"/>
          <w:color w:val="auto"/>
        </w:rPr>
      </w:pPr>
      <w:r>
        <w:rPr>
          <w:rFonts w:ascii="Calibri" w:cs="Calibri" w:eastAsia="Calibri" w:hAnsi="Calibri"/>
          <w:sz w:val="18"/>
          <w:szCs w:val="18"/>
          <w:color w:val="auto"/>
        </w:rPr>
        <w:t>Uses, discloses, misappropriates or transfers confdental or proprietary informaton concerning the Company or its Afliates (except as required by the Partcipant’s work responsibilites with the Company or its Afliates); or</w:t>
      </w:r>
    </w:p>
    <w:p>
      <w:pPr>
        <w:spacing w:after="0" w:line="41"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35"/>
        </w:numPr>
        <w:rPr>
          <w:rFonts w:ascii="Arial" w:cs="Arial" w:eastAsia="Arial" w:hAnsi="Arial"/>
          <w:sz w:val="22"/>
          <w:szCs w:val="22"/>
          <w:color w:val="auto"/>
        </w:rPr>
      </w:pPr>
      <w:r>
        <w:rPr>
          <w:rFonts w:ascii="Calibri" w:cs="Calibri" w:eastAsia="Calibri" w:hAnsi="Calibri"/>
          <w:sz w:val="18"/>
          <w:szCs w:val="18"/>
          <w:color w:val="auto"/>
        </w:rPr>
        <w:t xml:space="preserve">Directly or indirectly, hires or solicits or arranges for the hiring or solicitaton of any employee or customer of the Company or its Afliates, or encourages any employee to leave the Company or an Afliate any tme during the Partcipant’s employment and for 12 months afer terminaton of his or her employment (subject to applicable restrictons included in </w:t>
      </w:r>
      <w:r>
        <w:rPr>
          <w:rFonts w:ascii="Calibri" w:cs="Calibri" w:eastAsia="Calibri" w:hAnsi="Calibri"/>
          <w:sz w:val="21"/>
          <w:szCs w:val="21"/>
          <w:u w:val="single" w:color="auto"/>
          <w:color w:val="auto"/>
        </w:rPr>
        <w:t>Exhibit 1</w:t>
      </w:r>
      <w:r>
        <w:rPr>
          <w:rFonts w:ascii="Calibri" w:cs="Calibri" w:eastAsia="Calibri" w:hAnsi="Calibri"/>
          <w:sz w:val="18"/>
          <w:szCs w:val="18"/>
          <w:color w:val="auto"/>
        </w:rPr>
        <w:t xml:space="preserve"> atached hereto).</w:t>
      </w:r>
    </w:p>
    <w:p>
      <w:pPr>
        <w:spacing w:after="0" w:line="2" w:lineRule="exact"/>
        <w:rPr>
          <w:sz w:val="20"/>
          <w:szCs w:val="20"/>
          <w:color w:val="auto"/>
        </w:rPr>
      </w:pPr>
    </w:p>
    <w:p>
      <w:pPr>
        <w:jc w:val="both"/>
        <w:ind w:firstLine="972"/>
        <w:spacing w:after="0" w:line="222" w:lineRule="auto"/>
        <w:rPr>
          <w:sz w:val="20"/>
          <w:szCs w:val="20"/>
          <w:color w:val="auto"/>
        </w:rPr>
      </w:pPr>
      <w:r>
        <w:rPr>
          <w:rFonts w:ascii="Calibri" w:cs="Calibri" w:eastAsia="Calibri" w:hAnsi="Calibri"/>
          <w:sz w:val="18"/>
          <w:szCs w:val="18"/>
          <w:color w:val="auto"/>
        </w:rPr>
        <w:t>The Partcipant agrees, understands and acknowledges that the scope and duraton of the Partcipant obligatons contained in this Agreement are reasonable and necessary to protect a legitmate, protectable interest of the Company and its Afliates, and that the Commitee, in its sole discreton, may require the Partcipant, as a conditon to lapsing any restrictons on the Optons, to acknowledge in writng that the Partcipant has not engaged, and is not in the process of engaging, in any of the actvites described in this subsecton.</w:t>
      </w:r>
    </w:p>
    <w:p>
      <w:pPr>
        <w:jc w:val="both"/>
        <w:ind w:firstLine="972"/>
        <w:spacing w:after="0" w:line="224" w:lineRule="auto"/>
        <w:rPr>
          <w:sz w:val="20"/>
          <w:szCs w:val="20"/>
          <w:color w:val="auto"/>
        </w:rPr>
      </w:pPr>
      <w:r>
        <w:rPr>
          <w:rFonts w:ascii="Calibri" w:cs="Calibri" w:eastAsia="Calibri" w:hAnsi="Calibri"/>
          <w:sz w:val="18"/>
          <w:szCs w:val="18"/>
          <w:color w:val="auto"/>
        </w:rPr>
        <w:t>The obligatons in this subsecton are in additon to any other agreements related to non-competton, non-solicitaton and preservaton of Company confdental and proprietary informaton entered into between the Partcipant and the Company, or otherwise applicable to the Partcipant,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OPTIONS OR THE GROSS TAXABLE PROCEEDS FROM THE DISPOSITION OF ANY SHARES RECEIVED UPON SETTLEMENT OF EXERCISED OPTIONS IF THE PARTICIPANT SHOULD CHOOSE TO VIOLATE THIS PARAGRAPH DURING THE OBLIGATION PERIOD. Nothing in this Agreement prohibits the Partcipant from voluntarily communicatng, without notce to or approval by the Company, with any federal government agency about a potental violaton of a federal law or regulaton.</w:t>
      </w:r>
    </w:p>
    <w:p>
      <w:pPr>
        <w:spacing w:after="0" w:line="48" w:lineRule="exact"/>
        <w:rPr>
          <w:sz w:val="20"/>
          <w:szCs w:val="20"/>
          <w:color w:val="auto"/>
        </w:rPr>
      </w:pPr>
    </w:p>
    <w:p>
      <w:pPr>
        <w:jc w:val="both"/>
        <w:ind w:left="660" w:hanging="328"/>
        <w:spacing w:after="0" w:line="216" w:lineRule="auto"/>
        <w:tabs>
          <w:tab w:leader="none" w:pos="651" w:val="left"/>
        </w:tabs>
        <w:numPr>
          <w:ilvl w:val="0"/>
          <w:numId w:val="36"/>
        </w:numPr>
        <w:rPr>
          <w:rFonts w:ascii="Arial" w:cs="Arial" w:eastAsia="Arial" w:hAnsi="Arial"/>
          <w:sz w:val="22"/>
          <w:szCs w:val="22"/>
          <w:color w:val="auto"/>
        </w:rPr>
      </w:pPr>
      <w:r>
        <w:rPr>
          <w:rFonts w:ascii="Calibri" w:cs="Calibri" w:eastAsia="Calibri" w:hAnsi="Calibri"/>
          <w:sz w:val="18"/>
          <w:szCs w:val="18"/>
          <w:b w:val="1"/>
          <w:bCs w:val="1"/>
          <w:color w:val="auto"/>
        </w:rPr>
        <w:t>Injunctve Acton</w:t>
      </w:r>
      <w:r>
        <w:rPr>
          <w:rFonts w:ascii="Calibri" w:cs="Calibri" w:eastAsia="Calibri" w:hAnsi="Calibri"/>
          <w:sz w:val="18"/>
          <w:szCs w:val="18"/>
          <w:color w:val="auto"/>
        </w:rPr>
        <w:t>. The Partcipant acknowledges that if the Partcipant violates the terms of subsecton 2(j), the injury that would be sufered by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and/or an Afliate as a result of a breach of the provisions of this Agreement (including any covenant described in subsecton 2(j)) would be irreparable and that an award of monetary damages to the Company and/or an Afliate for such a breach would be an inadequate remedy. Consequently, the Company and/or an Afliate shall have the right, in additon to any other rights it may have, including the right to forfeiture and clawback under this Agreement, to obtain injunctve relief to restrain any breach or threatened breach or otherwise to specifcally enforce any provision of this Agreement, and the Company and/or an Afliate will not be obligated to post bond or other security in seeking such relief. Without limitng the Company’s or Afliate’s rights under subsecton 2(j) or any other remedies of the Company or an Afliate, if the Partcipant breaches any covenant described in subsecton 2(j), the Company will have the right to cancel this Agreement.</w:t>
      </w:r>
    </w:p>
    <w:p>
      <w:pPr>
        <w:spacing w:after="0" w:line="46" w:lineRule="exact"/>
        <w:rPr>
          <w:rFonts w:ascii="Arial" w:cs="Arial" w:eastAsia="Arial" w:hAnsi="Arial"/>
          <w:sz w:val="22"/>
          <w:szCs w:val="22"/>
          <w:color w:val="auto"/>
        </w:rPr>
      </w:pPr>
    </w:p>
    <w:p>
      <w:pPr>
        <w:jc w:val="both"/>
        <w:ind w:left="660" w:hanging="328"/>
        <w:spacing w:after="0" w:line="226" w:lineRule="auto"/>
        <w:tabs>
          <w:tab w:leader="none" w:pos="651" w:val="left"/>
        </w:tabs>
        <w:numPr>
          <w:ilvl w:val="0"/>
          <w:numId w:val="36"/>
        </w:numPr>
        <w:rPr>
          <w:rFonts w:ascii="Arial" w:cs="Arial" w:eastAsia="Arial" w:hAnsi="Arial"/>
          <w:sz w:val="22"/>
          <w:szCs w:val="22"/>
          <w:color w:val="auto"/>
        </w:rPr>
      </w:pPr>
      <w:r>
        <w:rPr>
          <w:rFonts w:ascii="Calibri" w:cs="Calibri" w:eastAsia="Calibri" w:hAnsi="Calibri"/>
          <w:sz w:val="18"/>
          <w:szCs w:val="18"/>
          <w:b w:val="1"/>
          <w:bCs w:val="1"/>
          <w:color w:val="auto"/>
        </w:rPr>
        <w:t>Electronic Delivery and Acceptance</w:t>
      </w:r>
      <w:r>
        <w:rPr>
          <w:rFonts w:ascii="Calibri" w:cs="Calibri" w:eastAsia="Calibri" w:hAnsi="Calibri"/>
          <w:sz w:val="18"/>
          <w:szCs w:val="18"/>
          <w:color w:val="auto"/>
        </w:rPr>
        <w:t>. The Partcipant consents to electronic delivery of any Plan documents. The Partcipant consents to any and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procedures that the Company has established or may establish for an electronic signature system for delivery and acceptance of Plan related documents. The Partcipant agrees that his, her or their electronic signature is the same as, and will have the same force and efect as, his, her or their manual signature. The Partcipant understands and agrees that if this</w:t>
      </w:r>
    </w:p>
    <w:p>
      <w:pPr>
        <w:sectPr>
          <w:pgSz w:w="11900" w:h="16838" w:orient="portrait"/>
          <w:cols w:equalWidth="0" w:num="1">
            <w:col w:w="11240"/>
          </w:cols>
          <w:pgMar w:left="320" w:top="1395" w:right="339" w:bottom="1440" w:gutter="0" w:footer="0" w:header="0"/>
        </w:sectPr>
      </w:pPr>
    </w:p>
    <w:bookmarkStart w:id="63" w:name="page64"/>
    <w:bookmarkEnd w:id="63"/>
    <w:p>
      <w:pPr>
        <w:ind w:left="660"/>
        <w:spacing w:after="0" w:line="227" w:lineRule="auto"/>
        <w:rPr>
          <w:sz w:val="20"/>
          <w:szCs w:val="20"/>
          <w:color w:val="auto"/>
        </w:rPr>
      </w:pPr>
      <w:r>
        <w:rPr>
          <w:rFonts w:ascii="Calibri" w:cs="Calibri" w:eastAsia="Calibri" w:hAnsi="Calibri"/>
          <w:sz w:val="18"/>
          <w:szCs w:val="18"/>
          <w:color w:val="auto"/>
        </w:rPr>
        <w:t>Agreement is not accepted within 90 days of the Grant Date, the award is forfeited in full. Partcipant agrees that these procedures and delivery may be efected by a third party engaged by the Company to provide administratve services related to the Plan.</w:t>
      </w:r>
    </w:p>
    <w:p>
      <w:pPr>
        <w:spacing w:after="0" w:line="43" w:lineRule="exact"/>
        <w:rPr>
          <w:sz w:val="20"/>
          <w:szCs w:val="20"/>
          <w:color w:val="auto"/>
        </w:rPr>
      </w:pPr>
    </w:p>
    <w:p>
      <w:pPr>
        <w:jc w:val="both"/>
        <w:ind w:left="660" w:hanging="328"/>
        <w:spacing w:after="0" w:line="222" w:lineRule="auto"/>
        <w:tabs>
          <w:tab w:leader="none" w:pos="652" w:val="left"/>
        </w:tabs>
        <w:numPr>
          <w:ilvl w:val="0"/>
          <w:numId w:val="37"/>
        </w:numPr>
        <w:rPr>
          <w:rFonts w:ascii="Arial" w:cs="Arial" w:eastAsia="Arial" w:hAnsi="Arial"/>
          <w:sz w:val="22"/>
          <w:szCs w:val="22"/>
          <w:color w:val="auto"/>
        </w:rPr>
      </w:pPr>
      <w:r>
        <w:rPr>
          <w:rFonts w:ascii="Calibri" w:cs="Calibri" w:eastAsia="Calibri" w:hAnsi="Calibri"/>
          <w:sz w:val="18"/>
          <w:szCs w:val="18"/>
          <w:b w:val="1"/>
          <w:bCs w:val="1"/>
          <w:color w:val="auto"/>
        </w:rPr>
        <w:t>Right of Set-Of</w:t>
      </w:r>
      <w:r>
        <w:rPr>
          <w:rFonts w:ascii="Calibri" w:cs="Calibri" w:eastAsia="Calibri" w:hAnsi="Calibri"/>
          <w:sz w:val="18"/>
          <w:szCs w:val="18"/>
          <w:color w:val="auto"/>
        </w:rPr>
        <w:t>. If the Company in its reasonable judgment determines that the Partcipant owes the Company or an Afliate any amount due to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loan, obligaton or indebtedness, including amounts owed under the Company’s tax equalizaton program or the Company’s policies with respect to travel and business expenses, and if the Partcipant has not satsfed such obligaton(s), then the Company may instruct the plan administrator to withhold and/or sell Shares acquired by the Partcipant on exercise of the Optons (to the extent such Shares are not subject to Code Secton 409A), or the Company may deduct funds equal to the amount of the obligaton from other funds due to the Partcipant from the Company to the maximum extent permited by Code Secton 409A.</w:t>
      </w:r>
    </w:p>
    <w:p>
      <w:pPr>
        <w:spacing w:after="0" w:line="44" w:lineRule="exact"/>
        <w:rPr>
          <w:rFonts w:ascii="Arial" w:cs="Arial" w:eastAsia="Arial" w:hAnsi="Arial"/>
          <w:sz w:val="22"/>
          <w:szCs w:val="22"/>
          <w:color w:val="auto"/>
        </w:rPr>
      </w:pPr>
    </w:p>
    <w:p>
      <w:pPr>
        <w:jc w:val="both"/>
        <w:ind w:left="660" w:hanging="328"/>
        <w:spacing w:after="0" w:line="219" w:lineRule="auto"/>
        <w:tabs>
          <w:tab w:leader="none" w:pos="651" w:val="left"/>
        </w:tabs>
        <w:numPr>
          <w:ilvl w:val="0"/>
          <w:numId w:val="37"/>
        </w:numPr>
        <w:rPr>
          <w:rFonts w:ascii="Arial" w:cs="Arial" w:eastAsia="Arial" w:hAnsi="Arial"/>
          <w:sz w:val="22"/>
          <w:szCs w:val="22"/>
          <w:color w:val="auto"/>
        </w:rPr>
      </w:pPr>
      <w:r>
        <w:rPr>
          <w:rFonts w:ascii="Calibri" w:cs="Calibri" w:eastAsia="Calibri" w:hAnsi="Calibri"/>
          <w:sz w:val="18"/>
          <w:szCs w:val="18"/>
          <w:b w:val="1"/>
          <w:bCs w:val="1"/>
          <w:color w:val="auto"/>
        </w:rPr>
        <w:t>Data Privacy</w:t>
      </w:r>
      <w:r>
        <w:rPr>
          <w:rFonts w:ascii="Calibri" w:cs="Calibri" w:eastAsia="Calibri" w:hAnsi="Calibri"/>
          <w:sz w:val="18"/>
          <w:szCs w:val="18"/>
          <w:color w:val="auto"/>
        </w:rPr>
        <w:t>. Partcipant acknowledges and consents to the collecton, use, processing and transfer of personal data. Partcipant is not obliged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consent to such collecton, use, processing and transfer of personal data. However, failure to provide the consent may afect Partcipant’s ability to partcipate in the Plan. The Company holds certain personal informaton about Partcipant, that may include his/her name, home address and telephone number, date of birth, social security number or other employee identfcaton number, salary grade, hire data, salary, natonality, job ttle, or details of all optons or performance stock units or any other enttlement to Shares of stock awarded, canceled, purchased, vested, or unvested, for the purpose of managing and administering the Plan (“</w:t>
      </w:r>
      <w:r>
        <w:rPr>
          <w:rFonts w:ascii="Calibri" w:cs="Calibri" w:eastAsia="Calibri" w:hAnsi="Calibri"/>
          <w:sz w:val="21"/>
          <w:szCs w:val="21"/>
          <w:b w:val="1"/>
          <w:bCs w:val="1"/>
          <w:color w:val="auto"/>
        </w:rPr>
        <w:t>Data</w:t>
      </w:r>
      <w:r>
        <w:rPr>
          <w:rFonts w:ascii="Calibri" w:cs="Calibri" w:eastAsia="Calibri" w:hAnsi="Calibri"/>
          <w:sz w:val="18"/>
          <w:szCs w:val="18"/>
          <w:color w:val="auto"/>
        </w:rPr>
        <w:t>”). The Company and its Afliates will transfer Data amongst themselves as necessary for the purpose of implementaton, administraton and management of Partcipant’s partcipaton in the Plan, and the Company or its Afliates may each further transfer Data to any third partes assistng the Company with the implementaton, administraton and management of the Plan. These recipients may be located throughout the world, including the United States. The Partcipant authorizes them to receive, possess, use, retain and transfer the Data, in electronic or other form, for the purposes of implementng, administering and managing partcipaton in the Plan, including any transfer of Data that may be required for the administraton of the Plan and/or the subsequent holding of Shares of stock on Partcipant’s behalf to a broker or other third party with whom Partcipant may elect to deposit any Shares of stock acquired pursuant to the Plan. Partcipant may, at any tme, review Data, require any necessary amendments to it or withdraw this consent in writng by contactng Partcipant’s designated Human Resources professional; however, withdrawing consent may afect Partcipant’s ability to partcipate in the Plan. All Data will be managed in compliance with the Company’s Data Privacy Guidelines and applicable employee notfcatons, which may contain more stringent requirements, but in any case will not be less stringent than subsecton 2(k).</w:t>
      </w:r>
    </w:p>
    <w:p>
      <w:pPr>
        <w:spacing w:after="0" w:line="47" w:lineRule="exact"/>
        <w:rPr>
          <w:rFonts w:ascii="Arial" w:cs="Arial" w:eastAsia="Arial" w:hAnsi="Arial"/>
          <w:sz w:val="22"/>
          <w:szCs w:val="22"/>
          <w:color w:val="auto"/>
        </w:rPr>
      </w:pPr>
    </w:p>
    <w:p>
      <w:pPr>
        <w:ind w:left="660" w:hanging="328"/>
        <w:spacing w:after="0" w:line="218" w:lineRule="auto"/>
        <w:tabs>
          <w:tab w:leader="none" w:pos="651" w:val="left"/>
        </w:tabs>
        <w:numPr>
          <w:ilvl w:val="0"/>
          <w:numId w:val="37"/>
        </w:numPr>
        <w:rPr>
          <w:rFonts w:ascii="Arial" w:cs="Arial" w:eastAsia="Arial" w:hAnsi="Arial"/>
          <w:sz w:val="22"/>
          <w:szCs w:val="22"/>
          <w:color w:val="auto"/>
        </w:rPr>
      </w:pPr>
      <w:r>
        <w:rPr>
          <w:rFonts w:ascii="Calibri" w:cs="Calibri" w:eastAsia="Calibri" w:hAnsi="Calibri"/>
          <w:sz w:val="18"/>
          <w:szCs w:val="18"/>
          <w:b w:val="1"/>
          <w:bCs w:val="1"/>
          <w:color w:val="auto"/>
        </w:rPr>
        <w:t>Governing Law</w:t>
      </w:r>
      <w:r>
        <w:rPr>
          <w:rFonts w:ascii="Calibri" w:cs="Calibri" w:eastAsia="Calibri" w:hAnsi="Calibri"/>
          <w:sz w:val="18"/>
          <w:szCs w:val="18"/>
          <w:color w:val="auto"/>
        </w:rPr>
        <w:t>. This Agreement is governed and construed in accordance with the laws of the State of Indiana, excluding any conficts or choice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law rule or principle that might otherwise refer constructon or interpretaton of this Agreement to the substantve law of another jurisdicton.</w:t>
      </w:r>
    </w:p>
    <w:p>
      <w:pPr>
        <w:spacing w:after="0" w:line="41" w:lineRule="exact"/>
        <w:rPr>
          <w:rFonts w:ascii="Arial" w:cs="Arial" w:eastAsia="Arial" w:hAnsi="Arial"/>
          <w:sz w:val="22"/>
          <w:szCs w:val="22"/>
          <w:color w:val="auto"/>
        </w:rPr>
      </w:pPr>
    </w:p>
    <w:p>
      <w:pPr>
        <w:jc w:val="both"/>
        <w:ind w:left="660" w:hanging="328"/>
        <w:spacing w:after="0" w:line="219" w:lineRule="auto"/>
        <w:tabs>
          <w:tab w:leader="none" w:pos="659" w:val="left"/>
        </w:tabs>
        <w:numPr>
          <w:ilvl w:val="0"/>
          <w:numId w:val="37"/>
        </w:numPr>
        <w:rPr>
          <w:rFonts w:ascii="Arial" w:cs="Arial" w:eastAsia="Arial" w:hAnsi="Arial"/>
          <w:sz w:val="22"/>
          <w:szCs w:val="22"/>
          <w:color w:val="auto"/>
        </w:rPr>
      </w:pPr>
      <w:r>
        <w:rPr>
          <w:rFonts w:ascii="Calibri" w:cs="Calibri" w:eastAsia="Calibri" w:hAnsi="Calibri"/>
          <w:sz w:val="18"/>
          <w:szCs w:val="18"/>
          <w:b w:val="1"/>
          <w:bCs w:val="1"/>
          <w:color w:val="auto"/>
        </w:rPr>
        <w:t>Consent to Jurisdicton</w:t>
      </w:r>
      <w:r>
        <w:rPr>
          <w:rFonts w:ascii="Calibri" w:cs="Calibri" w:eastAsia="Calibri" w:hAnsi="Calibri"/>
          <w:sz w:val="18"/>
          <w:szCs w:val="18"/>
          <w:color w:val="auto"/>
        </w:rPr>
        <w:t>. Each party hereby submits and consents to the exclusive jurisdicton of the state or federal courts in the State of Indiana,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in each case, appellate courts therefrom, with respect to any suit, acton or proceeding brought by any party arising under or relatng to this Agreement.</w:t>
      </w:r>
    </w:p>
    <w:p>
      <w:pPr>
        <w:spacing w:after="0" w:line="231"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i w:val="1"/>
          <w:iCs w:val="1"/>
          <w:color w:val="auto"/>
        </w:rPr>
        <w:t>By signing a copy of this Agreement, the Partcipant acknowledges that s/he has received a copy of the Plan and that s/he has read and understands the Plan and this Agreement and agrees to their terms and conditons. The Partcipant also acknowledges that the Optons awarded under to this Agreement must be exercised prior to the expiraton date, that it is the Partcipant's responsibility to exercise the Optons, and that the Company has no further responsibility to notfy the Partcipant of the expiraton of the Optons.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Agreed to: </w:t>
      </w:r>
      <w:r>
        <w:rPr>
          <w:rFonts w:ascii="Calibri" w:cs="Calibri" w:eastAsia="Calibri" w:hAnsi="Calibri"/>
          <w:sz w:val="21"/>
          <w:szCs w:val="21"/>
          <w:b w:val="1"/>
          <w:bCs w:val="1"/>
          <w:color w:val="auto"/>
        </w:rPr>
        <w:t>XYLEM INC.</w:t>
      </w:r>
    </w:p>
    <w:p>
      <w:pPr>
        <w:sectPr>
          <w:pgSz w:w="11900" w:h="16838" w:orient="portrait"/>
          <w:cols w:equalWidth="0" w:num="1">
            <w:col w:w="11240"/>
          </w:cols>
          <w:pgMar w:left="320" w:top="1400" w:right="339" w:bottom="1440" w:gutter="0" w:footer="0" w:header="0"/>
        </w:sectPr>
      </w:pPr>
    </w:p>
    <w:bookmarkStart w:id="64" w:name="page65"/>
    <w:bookmarkEnd w:id="64"/>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 _____________________________</w:t>
      </w:r>
    </w:p>
    <w:p>
      <w:pPr>
        <w:spacing w:after="0" w:line="235" w:lineRule="auto"/>
        <w:rPr>
          <w:sz w:val="20"/>
          <w:szCs w:val="20"/>
          <w:color w:val="auto"/>
        </w:rPr>
      </w:pPr>
      <w:r>
        <w:rPr>
          <w:rFonts w:ascii="Calibri" w:cs="Calibri" w:eastAsia="Calibri" w:hAnsi="Calibri"/>
          <w:sz w:val="18"/>
          <w:szCs w:val="18"/>
          <w:color w:val="auto"/>
        </w:rPr>
        <w:t>Partcipant Mathew Pine, President and CEO</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(Online Acceptance Consttutes Agreement)</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Dated: _________________ Dated: ###GRANT_DATE###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80"/>
        <w:spacing w:after="0"/>
        <w:rPr>
          <w:sz w:val="20"/>
          <w:szCs w:val="20"/>
          <w:color w:val="auto"/>
        </w:rPr>
      </w:pPr>
      <w:r>
        <w:rPr>
          <w:rFonts w:ascii="Calibri" w:cs="Calibri" w:eastAsia="Calibri" w:hAnsi="Calibri"/>
          <w:sz w:val="18"/>
          <w:szCs w:val="18"/>
          <w:b w:val="1"/>
          <w:bCs w:val="1"/>
          <w:u w:val="single" w:color="auto"/>
          <w:color w:val="auto"/>
        </w:rPr>
        <w:t>EXHIBIT 1</w:t>
      </w:r>
    </w:p>
    <w:p>
      <w:pPr>
        <w:ind w:left="3560"/>
        <w:spacing w:after="0" w:line="221" w:lineRule="auto"/>
        <w:rPr>
          <w:sz w:val="20"/>
          <w:szCs w:val="20"/>
          <w:color w:val="auto"/>
        </w:rPr>
      </w:pPr>
      <w:r>
        <w:rPr>
          <w:rFonts w:ascii="Calibri" w:cs="Calibri" w:eastAsia="Calibri" w:hAnsi="Calibri"/>
          <w:sz w:val="18"/>
          <w:szCs w:val="18"/>
          <w:b w:val="1"/>
          <w:bCs w:val="1"/>
          <w:u w:val="single" w:color="auto"/>
          <w:color w:val="auto"/>
        </w:rPr>
        <w:t>STATE AND OTHER SPECIFIC REQUIREMENTS ADDENDUM</w:t>
      </w:r>
    </w:p>
    <w:p>
      <w:pPr>
        <w:ind w:left="5180"/>
        <w:spacing w:after="0" w:line="206" w:lineRule="auto"/>
        <w:rPr>
          <w:sz w:val="20"/>
          <w:szCs w:val="20"/>
          <w:color w:val="auto"/>
        </w:rPr>
      </w:pPr>
      <w:r>
        <w:rPr>
          <w:rFonts w:ascii="Calibri" w:cs="Calibri" w:eastAsia="Calibri" w:hAnsi="Calibri"/>
          <w:sz w:val="18"/>
          <w:szCs w:val="18"/>
          <w:b w:val="1"/>
          <w:bCs w:val="1"/>
          <w:color w:val="auto"/>
        </w:rPr>
        <w:t>CALIFORNIA</w:t>
      </w:r>
    </w:p>
    <w:p>
      <w:pPr>
        <w:spacing w:after="0" w:line="221" w:lineRule="auto"/>
        <w:rPr>
          <w:sz w:val="20"/>
          <w:szCs w:val="20"/>
          <w:color w:val="auto"/>
        </w:rPr>
      </w:pPr>
      <w:r>
        <w:rPr>
          <w:rFonts w:ascii="Calibri" w:cs="Calibri" w:eastAsia="Calibri" w:hAnsi="Calibri"/>
          <w:sz w:val="18"/>
          <w:szCs w:val="18"/>
          <w:color w:val="auto"/>
        </w:rPr>
        <w:t>For employees residing in California at the tme of executon of this Agreement, Paragraph 2(j)(iv) will not apply.</w:t>
      </w:r>
    </w:p>
    <w:p>
      <w:pPr>
        <w:ind w:left="5200"/>
        <w:spacing w:after="0" w:line="221" w:lineRule="auto"/>
        <w:rPr>
          <w:sz w:val="20"/>
          <w:szCs w:val="20"/>
          <w:color w:val="auto"/>
        </w:rPr>
      </w:pPr>
      <w:r>
        <w:rPr>
          <w:rFonts w:ascii="Calibri" w:cs="Calibri" w:eastAsia="Calibri" w:hAnsi="Calibri"/>
          <w:sz w:val="18"/>
          <w:szCs w:val="18"/>
          <w:b w:val="1"/>
          <w:bCs w:val="1"/>
          <w:color w:val="auto"/>
        </w:rPr>
        <w:t>COLORADO</w:t>
      </w:r>
    </w:p>
    <w:p>
      <w:pPr>
        <w:spacing w:after="0" w:line="1"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 xml:space="preserve">Paragraph 2(j)(iv) </w:t>
      </w:r>
      <w:r>
        <w:rPr>
          <w:rFonts w:ascii="Calibri" w:cs="Calibri" w:eastAsia="Calibri" w:hAnsi="Calibri"/>
          <w:sz w:val="21"/>
          <w:szCs w:val="21"/>
          <w:color w:val="auto"/>
        </w:rPr>
        <w:t>does not apply unless the employee who, when the covenant not to solicit is entered and when it is enforced,</w:t>
      </w:r>
      <w:r>
        <w:rPr>
          <w:rFonts w:ascii="Calibri" w:cs="Calibri" w:eastAsia="Calibri" w:hAnsi="Calibri"/>
          <w:sz w:val="18"/>
          <w:szCs w:val="18"/>
          <w:color w:val="auto"/>
        </w:rPr>
        <w:t xml:space="preserve"> </w:t>
      </w:r>
      <w:r>
        <w:rPr>
          <w:rFonts w:ascii="Calibri" w:cs="Calibri" w:eastAsia="Calibri" w:hAnsi="Calibri"/>
          <w:sz w:val="21"/>
          <w:szCs w:val="21"/>
          <w:color w:val="auto"/>
        </w:rPr>
        <w:t>earns at least $67,500 as of 2023 (adjusted on a yearly basis).</w:t>
      </w:r>
    </w:p>
    <w:p>
      <w:pPr>
        <w:jc w:val="center"/>
        <w:spacing w:after="0" w:line="227" w:lineRule="auto"/>
        <w:rPr>
          <w:sz w:val="20"/>
          <w:szCs w:val="20"/>
          <w:color w:val="auto"/>
        </w:rPr>
      </w:pPr>
      <w:r>
        <w:rPr>
          <w:rFonts w:ascii="Calibri" w:cs="Calibri" w:eastAsia="Calibri" w:hAnsi="Calibri"/>
          <w:sz w:val="18"/>
          <w:szCs w:val="18"/>
          <w:b w:val="1"/>
          <w:bCs w:val="1"/>
          <w:color w:val="auto"/>
        </w:rPr>
        <w:t>GEORGIA</w:t>
      </w:r>
    </w:p>
    <w:p>
      <w:pPr>
        <w:ind w:right="40"/>
        <w:spacing w:after="0" w:line="221" w:lineRule="auto"/>
        <w:rPr>
          <w:sz w:val="20"/>
          <w:szCs w:val="20"/>
          <w:color w:val="auto"/>
        </w:rPr>
      </w:pPr>
      <w:r>
        <w:rPr>
          <w:rFonts w:ascii="Calibri" w:cs="Calibri" w:eastAsia="Calibri" w:hAnsi="Calibri"/>
          <w:sz w:val="18"/>
          <w:szCs w:val="18"/>
          <w:color w:val="auto"/>
        </w:rPr>
        <w:t>For employees residing in Georgia, Paragraph 2(j)(iv) shall apply in the United States, which the employee agrees is a reasonable geographic territory in which the Company does business.</w:t>
      </w:r>
    </w:p>
    <w:p>
      <w:pPr>
        <w:jc w:val="center"/>
        <w:spacing w:after="0" w:line="221" w:lineRule="auto"/>
        <w:rPr>
          <w:sz w:val="20"/>
          <w:szCs w:val="20"/>
          <w:color w:val="auto"/>
        </w:rPr>
      </w:pPr>
      <w:r>
        <w:rPr>
          <w:rFonts w:ascii="Calibri" w:cs="Calibri" w:eastAsia="Calibri" w:hAnsi="Calibri"/>
          <w:sz w:val="18"/>
          <w:szCs w:val="18"/>
          <w:b w:val="1"/>
          <w:bCs w:val="1"/>
          <w:color w:val="auto"/>
        </w:rPr>
        <w:t>ILLINOIS</w:t>
      </w:r>
    </w:p>
    <w:p>
      <w:pPr>
        <w:jc w:val="both"/>
        <w:spacing w:after="0" w:line="221" w:lineRule="auto"/>
        <w:rPr>
          <w:sz w:val="20"/>
          <w:szCs w:val="20"/>
          <w:color w:val="auto"/>
        </w:rPr>
      </w:pPr>
      <w:r>
        <w:rPr>
          <w:rFonts w:ascii="Calibri" w:cs="Calibri" w:eastAsia="Calibri" w:hAnsi="Calibri"/>
          <w:sz w:val="18"/>
          <w:szCs w:val="18"/>
          <w:color w:val="auto"/>
        </w:rPr>
        <w:t>Paragraph 2(j)(iv) does not apply unless the employee’s actual or expected rate of earnings exceeds $45,000 per year (which statutorily increases every fve years).</w:t>
      </w:r>
    </w:p>
    <w:p>
      <w:pPr>
        <w:ind w:left="5220"/>
        <w:spacing w:after="0" w:line="221" w:lineRule="auto"/>
        <w:rPr>
          <w:sz w:val="20"/>
          <w:szCs w:val="20"/>
          <w:color w:val="auto"/>
        </w:rPr>
      </w:pPr>
      <w:r>
        <w:rPr>
          <w:rFonts w:ascii="Calibri" w:cs="Calibri" w:eastAsia="Calibri" w:hAnsi="Calibri"/>
          <w:sz w:val="18"/>
          <w:szCs w:val="18"/>
          <w:b w:val="1"/>
          <w:bCs w:val="1"/>
          <w:color w:val="auto"/>
        </w:rPr>
        <w:t>LOUISIANA</w:t>
      </w:r>
    </w:p>
    <w:p>
      <w:pPr>
        <w:spacing w:after="0" w:line="206" w:lineRule="auto"/>
        <w:rPr>
          <w:sz w:val="20"/>
          <w:szCs w:val="20"/>
          <w:color w:val="auto"/>
        </w:rPr>
      </w:pPr>
      <w:r>
        <w:rPr>
          <w:rFonts w:ascii="Calibri" w:cs="Calibri" w:eastAsia="Calibri" w:hAnsi="Calibri"/>
          <w:sz w:val="18"/>
          <w:szCs w:val="18"/>
          <w:color w:val="auto"/>
        </w:rPr>
        <w:t>For employees who perform work in Louisiana, Paragraph 2(j)(iv) shall only apply in the St Tammany Parish.</w:t>
      </w:r>
    </w:p>
    <w:p>
      <w:pPr>
        <w:ind w:left="5040"/>
        <w:spacing w:after="0" w:line="222" w:lineRule="auto"/>
        <w:rPr>
          <w:sz w:val="20"/>
          <w:szCs w:val="20"/>
          <w:color w:val="auto"/>
        </w:rPr>
      </w:pPr>
      <w:r>
        <w:rPr>
          <w:rFonts w:ascii="Calibri" w:cs="Calibri" w:eastAsia="Calibri" w:hAnsi="Calibri"/>
          <w:sz w:val="18"/>
          <w:szCs w:val="18"/>
          <w:b w:val="1"/>
          <w:bCs w:val="1"/>
          <w:color w:val="auto"/>
        </w:rPr>
        <w:t>NORTH DAKOTA</w:t>
      </w:r>
    </w:p>
    <w:p>
      <w:pPr>
        <w:spacing w:after="0" w:line="221" w:lineRule="auto"/>
        <w:rPr>
          <w:sz w:val="20"/>
          <w:szCs w:val="20"/>
          <w:color w:val="auto"/>
        </w:rPr>
      </w:pPr>
      <w:r>
        <w:rPr>
          <w:rFonts w:ascii="Calibri" w:cs="Calibri" w:eastAsia="Calibri" w:hAnsi="Calibri"/>
          <w:sz w:val="18"/>
          <w:szCs w:val="18"/>
          <w:color w:val="auto"/>
        </w:rPr>
        <w:t>For employees residing in North Dakota at the tme of executon of this Agreement, Paragraph 2(j)(iv) will not apply.</w:t>
      </w:r>
    </w:p>
    <w:p>
      <w:pPr>
        <w:ind w:left="5180"/>
        <w:spacing w:after="0" w:line="221" w:lineRule="auto"/>
        <w:rPr>
          <w:sz w:val="20"/>
          <w:szCs w:val="20"/>
          <w:color w:val="auto"/>
        </w:rPr>
      </w:pPr>
      <w:r>
        <w:rPr>
          <w:rFonts w:ascii="Calibri" w:cs="Calibri" w:eastAsia="Calibri" w:hAnsi="Calibri"/>
          <w:sz w:val="18"/>
          <w:szCs w:val="18"/>
          <w:b w:val="1"/>
          <w:bCs w:val="1"/>
          <w:color w:val="auto"/>
        </w:rPr>
        <w:t>OKLAHOMA</w:t>
      </w:r>
    </w:p>
    <w:p>
      <w:pPr>
        <w:jc w:val="both"/>
        <w:spacing w:after="0" w:line="221" w:lineRule="auto"/>
        <w:rPr>
          <w:sz w:val="20"/>
          <w:szCs w:val="20"/>
          <w:color w:val="auto"/>
        </w:rPr>
      </w:pPr>
      <w:r>
        <w:rPr>
          <w:rFonts w:ascii="Calibri" w:cs="Calibri" w:eastAsia="Calibri" w:hAnsi="Calibri"/>
          <w:sz w:val="18"/>
          <w:szCs w:val="18"/>
          <w:color w:val="auto"/>
        </w:rPr>
        <w:t>For employees residing in Oklahoma at the tme of executon of this Agreement, Paragraph 2(j)(iv) will only apply to the extent it prohibits the Employee from directly solicitng the sale of goods, services or a combinaton of goods and services from the established customers of the Company.</w:t>
      </w:r>
    </w:p>
    <w:p>
      <w:pPr>
        <w:jc w:val="center"/>
        <w:spacing w:after="0" w:line="221" w:lineRule="auto"/>
        <w:rPr>
          <w:sz w:val="20"/>
          <w:szCs w:val="20"/>
          <w:color w:val="auto"/>
        </w:rPr>
      </w:pPr>
      <w:r>
        <w:rPr>
          <w:rFonts w:ascii="Calibri" w:cs="Calibri" w:eastAsia="Calibri" w:hAnsi="Calibri"/>
          <w:sz w:val="18"/>
          <w:szCs w:val="18"/>
          <w:b w:val="1"/>
          <w:bCs w:val="1"/>
          <w:color w:val="auto"/>
        </w:rPr>
        <w:t>OREGON</w:t>
      </w:r>
    </w:p>
    <w:p>
      <w:pPr>
        <w:jc w:val="both"/>
        <w:spacing w:after="0" w:line="221" w:lineRule="auto"/>
        <w:rPr>
          <w:sz w:val="20"/>
          <w:szCs w:val="20"/>
          <w:color w:val="auto"/>
        </w:rPr>
      </w:pPr>
      <w:r>
        <w:rPr>
          <w:rFonts w:ascii="Calibri" w:cs="Calibri" w:eastAsia="Calibri" w:hAnsi="Calibri"/>
          <w:sz w:val="18"/>
          <w:szCs w:val="18"/>
          <w:color w:val="auto"/>
        </w:rPr>
        <w:t>For employees residing in Oregon at the tme of executon of this Agreement, the Company shall provide a copy of this Agreement to the employees at least two weeks before the employees begin work and must sign this Agreement as a conditon of employment. The Company also must provide the employee a signed, writen copy of the Agreement within 30 days afer the date of terminaton of the employee’s employment with the Company.</w:t>
      </w:r>
    </w:p>
    <w:p>
      <w:pPr>
        <w:sectPr>
          <w:pgSz w:w="11900" w:h="16838" w:orient="portrait"/>
          <w:cols w:equalWidth="0" w:num="1">
            <w:col w:w="11240"/>
          </w:cols>
          <w:pgMar w:left="320" w:top="1440" w:right="339" w:bottom="1440" w:gutter="0" w:footer="0" w:header="0"/>
        </w:sectPr>
      </w:pPr>
    </w:p>
    <w:bookmarkStart w:id="65" w:name="page66"/>
    <w:bookmarkEnd w:id="65"/>
    <w:p>
      <w:pPr>
        <w:jc w:val="center"/>
        <w:ind w:right="-19"/>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2011 OMNIBUS INCENTIVE PLAN</w:t>
      </w: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“[YEAR]” NON-QUALIFIED STOCK OPTION GRANT AGREEMENT FOR SENIOR LEADERSHIP TEAM</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color w:val="auto"/>
        </w:rPr>
        <w:t>This Agreement (the “</w:t>
      </w:r>
      <w:r>
        <w:rPr>
          <w:rFonts w:ascii="Calibri" w:cs="Calibri" w:eastAsia="Calibri" w:hAnsi="Calibri"/>
          <w:sz w:val="21"/>
          <w:szCs w:val="21"/>
          <w:b w:val="1"/>
          <w:bCs w:val="1"/>
          <w:color w:val="auto"/>
        </w:rPr>
        <w:t>Agreement</w:t>
      </w:r>
      <w:r>
        <w:rPr>
          <w:rFonts w:ascii="Calibri" w:cs="Calibri" w:eastAsia="Calibri" w:hAnsi="Calibri"/>
          <w:sz w:val="18"/>
          <w:szCs w:val="18"/>
          <w:color w:val="auto"/>
        </w:rPr>
        <w:t>”) between Xylem Inc. (the “</w:t>
      </w:r>
      <w:r>
        <w:rPr>
          <w:rFonts w:ascii="Calibri" w:cs="Calibri" w:eastAsia="Calibri" w:hAnsi="Calibri"/>
          <w:sz w:val="21"/>
          <w:szCs w:val="21"/>
          <w:b w:val="1"/>
          <w:bCs w:val="1"/>
          <w:color w:val="auto"/>
        </w:rPr>
        <w:t>Company</w:t>
      </w:r>
      <w:r>
        <w:rPr>
          <w:rFonts w:ascii="Calibri" w:cs="Calibri" w:eastAsia="Calibri" w:hAnsi="Calibri"/>
          <w:sz w:val="18"/>
          <w:szCs w:val="18"/>
          <w:color w:val="auto"/>
        </w:rPr>
        <w:t xml:space="preserve">”) and </w:t>
      </w:r>
      <w:r>
        <w:rPr>
          <w:rFonts w:ascii="Calibri" w:cs="Calibri" w:eastAsia="Calibri" w:hAnsi="Calibri"/>
          <w:sz w:val="21"/>
          <w:szCs w:val="21"/>
          <w:b w:val="1"/>
          <w:bCs w:val="1"/>
          <w:color w:val="auto"/>
        </w:rPr>
        <w:t>###PARTICIPANT_NAME###</w:t>
      </w:r>
      <w:r>
        <w:rPr>
          <w:rFonts w:ascii="Calibri" w:cs="Calibri" w:eastAsia="Calibri" w:hAnsi="Calibri"/>
          <w:sz w:val="18"/>
          <w:szCs w:val="18"/>
          <w:color w:val="auto"/>
        </w:rPr>
        <w:t xml:space="preserve"> (the “</w:t>
      </w:r>
      <w:r>
        <w:rPr>
          <w:rFonts w:ascii="Calibri" w:cs="Calibri" w:eastAsia="Calibri" w:hAnsi="Calibri"/>
          <w:sz w:val="21"/>
          <w:szCs w:val="21"/>
          <w:b w:val="1"/>
          <w:bCs w:val="1"/>
          <w:color w:val="auto"/>
        </w:rPr>
        <w:t>Partcipant</w:t>
      </w:r>
      <w:r>
        <w:rPr>
          <w:rFonts w:ascii="Calibri" w:cs="Calibri" w:eastAsia="Calibri" w:hAnsi="Calibri"/>
          <w:sz w:val="18"/>
          <w:szCs w:val="18"/>
          <w:color w:val="auto"/>
        </w:rPr>
        <w:t>”) is efectve as of</w:t>
      </w:r>
    </w:p>
    <w:p>
      <w:pPr>
        <w:spacing w:after="0" w:line="218" w:lineRule="auto"/>
        <w:rPr>
          <w:sz w:val="20"/>
          <w:szCs w:val="20"/>
          <w:color w:val="auto"/>
        </w:rPr>
      </w:pPr>
      <w:r>
        <w:rPr>
          <w:rFonts w:ascii="Calibri" w:cs="Calibri" w:eastAsia="Calibri" w:hAnsi="Calibri"/>
          <w:sz w:val="22"/>
          <w:szCs w:val="22"/>
          <w:b w:val="1"/>
          <w:bCs w:val="1"/>
          <w:color w:val="auto"/>
        </w:rPr>
        <w:t>###GRANT_DATE###</w:t>
      </w:r>
      <w:r>
        <w:rPr>
          <w:rFonts w:ascii="Calibri" w:cs="Calibri" w:eastAsia="Calibri" w:hAnsi="Calibri"/>
          <w:sz w:val="17"/>
          <w:szCs w:val="17"/>
          <w:color w:val="auto"/>
        </w:rPr>
        <w:t>. Terms used in this Agreement that are not defned in this Agreement are defned in the Company’s 2011 Omnibus Incentve Plan</w:t>
      </w:r>
    </w:p>
    <w:p>
      <w:pPr>
        <w:spacing w:after="0" w:line="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(Amended and Restated February 24, 2016) (the “</w:t>
      </w:r>
      <w:r>
        <w:rPr>
          <w:rFonts w:ascii="Calibri" w:cs="Calibri" w:eastAsia="Calibri" w:hAnsi="Calibri"/>
          <w:sz w:val="21"/>
          <w:szCs w:val="21"/>
          <w:b w:val="1"/>
          <w:bCs w:val="1"/>
          <w:color w:val="auto"/>
        </w:rPr>
        <w:t>Plan</w:t>
      </w:r>
      <w:r>
        <w:rPr>
          <w:rFonts w:ascii="Calibri" w:cs="Calibri" w:eastAsia="Calibri" w:hAnsi="Calibri"/>
          <w:sz w:val="18"/>
          <w:szCs w:val="18"/>
          <w:color w:val="auto"/>
        </w:rPr>
        <w:t>”). This Agreement is only being provided in English. The Partcipant is an employee of the Company or an Afliate. In recogniton of the Partcipant’s valued services, the Company, through the Leadership Development and Compensaton Commitee of its Board of Directors (the “</w:t>
      </w:r>
      <w:r>
        <w:rPr>
          <w:rFonts w:ascii="Calibri" w:cs="Calibri" w:eastAsia="Calibri" w:hAnsi="Calibri"/>
          <w:sz w:val="21"/>
          <w:szCs w:val="21"/>
          <w:b w:val="1"/>
          <w:bCs w:val="1"/>
          <w:color w:val="auto"/>
        </w:rPr>
        <w:t>Commitee</w:t>
      </w:r>
      <w:r>
        <w:rPr>
          <w:rFonts w:ascii="Calibri" w:cs="Calibri" w:eastAsia="Calibri" w:hAnsi="Calibri"/>
          <w:sz w:val="18"/>
          <w:szCs w:val="18"/>
          <w:color w:val="auto"/>
        </w:rPr>
        <w:t>”), is providing the Partcipant an inducement to remain employed and an incentve for increased eforts while employed. In consideraton of the terms and conditons in this Agreement, the partes agree as follows:</w:t>
      </w:r>
    </w:p>
    <w:p>
      <w:pPr>
        <w:spacing w:after="0" w:line="9" w:lineRule="exact"/>
        <w:rPr>
          <w:sz w:val="20"/>
          <w:szCs w:val="20"/>
          <w:color w:val="auto"/>
        </w:rPr>
      </w:pPr>
    </w:p>
    <w:p>
      <w:pPr>
        <w:jc w:val="both"/>
        <w:ind w:left="660" w:hanging="328"/>
        <w:spacing w:after="0" w:line="242" w:lineRule="auto"/>
        <w:tabs>
          <w:tab w:leader="none" w:pos="651" w:val="left"/>
        </w:tabs>
        <w:numPr>
          <w:ilvl w:val="0"/>
          <w:numId w:val="38"/>
        </w:numPr>
        <w:rPr>
          <w:rFonts w:ascii="Arial" w:cs="Arial" w:eastAsia="Arial" w:hAnsi="Arial"/>
          <w:sz w:val="21"/>
          <w:szCs w:val="21"/>
          <w:color w:val="auto"/>
        </w:rPr>
      </w:pPr>
      <w:r>
        <w:rPr>
          <w:rFonts w:ascii="Calibri" w:cs="Calibri" w:eastAsia="Calibri" w:hAnsi="Calibri"/>
          <w:sz w:val="17"/>
          <w:szCs w:val="17"/>
          <w:b w:val="1"/>
          <w:bCs w:val="1"/>
          <w:u w:val="single" w:color="auto"/>
          <w:color w:val="auto"/>
        </w:rPr>
        <w:t>Grant of Non-Qualifed Stock Optons</w:t>
      </w:r>
      <w:r>
        <w:rPr>
          <w:rFonts w:ascii="Calibri" w:cs="Calibri" w:eastAsia="Calibri" w:hAnsi="Calibri"/>
          <w:sz w:val="17"/>
          <w:szCs w:val="17"/>
          <w:color w:val="auto"/>
        </w:rPr>
        <w:t>. The Company confrms the grant on</w:t>
      </w:r>
      <w:r>
        <w:rPr>
          <w:rFonts w:ascii="Calibri" w:cs="Calibri" w:eastAsia="Calibri" w:hAnsi="Calibri"/>
          <w:sz w:val="17"/>
          <w:szCs w:val="17"/>
          <w:b w:val="1"/>
          <w:bCs w:val="1"/>
          <w:color w:val="auto"/>
        </w:rPr>
        <w:t xml:space="preserve"> </w:t>
      </w:r>
      <w:r>
        <w:rPr>
          <w:rFonts w:ascii="Calibri" w:cs="Calibri" w:eastAsia="Calibri" w:hAnsi="Calibri"/>
          <w:sz w:val="20"/>
          <w:szCs w:val="20"/>
          <w:b w:val="1"/>
          <w:bCs w:val="1"/>
          <w:color w:val="auto"/>
        </w:rPr>
        <w:t>###GRANT_DATE###,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w:t>
      </w:r>
      <w:r>
        <w:rPr>
          <w:rFonts w:ascii="Calibri" w:cs="Calibri" w:eastAsia="Calibri" w:hAnsi="Calibri"/>
          <w:sz w:val="20"/>
          <w:szCs w:val="20"/>
          <w:b w:val="1"/>
          <w:bCs w:val="1"/>
          <w:color w:val="auto"/>
        </w:rPr>
        <w:t>Grant Date</w:t>
      </w:r>
      <w:r>
        <w:rPr>
          <w:rFonts w:ascii="Calibri" w:cs="Calibri" w:eastAsia="Calibri" w:hAnsi="Calibri"/>
          <w:sz w:val="17"/>
          <w:szCs w:val="17"/>
          <w:color w:val="auto"/>
        </w:rPr>
        <w:t>”) to the Partcipant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the opton to purchase from the Company all or any part of an aggregate of </w:t>
      </w:r>
      <w:r>
        <w:rPr>
          <w:rFonts w:ascii="Calibri" w:cs="Calibri" w:eastAsia="Calibri" w:hAnsi="Calibri"/>
          <w:sz w:val="20"/>
          <w:szCs w:val="20"/>
          <w:b w:val="1"/>
          <w:bCs w:val="1"/>
          <w:color w:val="auto"/>
        </w:rPr>
        <w:t>###TOTAL_AWARDS###</w:t>
      </w:r>
      <w:r>
        <w:rPr>
          <w:rFonts w:ascii="Calibri" w:cs="Calibri" w:eastAsia="Calibri" w:hAnsi="Calibri"/>
          <w:sz w:val="17"/>
          <w:szCs w:val="17"/>
          <w:color w:val="auto"/>
        </w:rPr>
        <w:t xml:space="preserve"> Shares (the “</w:t>
      </w:r>
      <w:r>
        <w:rPr>
          <w:rFonts w:ascii="Calibri" w:cs="Calibri" w:eastAsia="Calibri" w:hAnsi="Calibri"/>
          <w:sz w:val="20"/>
          <w:szCs w:val="20"/>
          <w:b w:val="1"/>
          <w:bCs w:val="1"/>
          <w:color w:val="auto"/>
        </w:rPr>
        <w:t>Optons</w:t>
      </w:r>
      <w:r>
        <w:rPr>
          <w:rFonts w:ascii="Calibri" w:cs="Calibri" w:eastAsia="Calibri" w:hAnsi="Calibri"/>
          <w:sz w:val="17"/>
          <w:szCs w:val="17"/>
          <w:color w:val="auto"/>
        </w:rPr>
        <w:t>”), at the purchase</w:t>
      </w:r>
    </w:p>
    <w:p>
      <w:pPr>
        <w:ind w:left="660"/>
        <w:spacing w:after="0" w:line="229" w:lineRule="auto"/>
        <w:rPr>
          <w:sz w:val="20"/>
          <w:szCs w:val="20"/>
          <w:color w:val="auto"/>
        </w:rPr>
      </w:pPr>
      <w:r>
        <w:rPr>
          <w:rFonts w:ascii="Calibri" w:cs="Calibri" w:eastAsia="Calibri" w:hAnsi="Calibri"/>
          <w:sz w:val="18"/>
          <w:szCs w:val="18"/>
          <w:color w:val="auto"/>
        </w:rPr>
        <w:t xml:space="preserve">price of </w:t>
      </w:r>
      <w:r>
        <w:rPr>
          <w:rFonts w:ascii="Calibri" w:cs="Calibri" w:eastAsia="Calibri" w:hAnsi="Calibri"/>
          <w:sz w:val="21"/>
          <w:szCs w:val="21"/>
          <w:b w:val="1"/>
          <w:bCs w:val="1"/>
          <w:color w:val="auto"/>
        </w:rPr>
        <w:t>###GRANT_PRICE###</w:t>
      </w:r>
      <w:r>
        <w:rPr>
          <w:rFonts w:ascii="Calibri" w:cs="Calibri" w:eastAsia="Calibri" w:hAnsi="Calibri"/>
          <w:sz w:val="18"/>
          <w:szCs w:val="18"/>
          <w:color w:val="auto"/>
        </w:rPr>
        <w:t xml:space="preserve"> per Share (the “</w:t>
      </w:r>
      <w:r>
        <w:rPr>
          <w:rFonts w:ascii="Calibri" w:cs="Calibri" w:eastAsia="Calibri" w:hAnsi="Calibri"/>
          <w:sz w:val="21"/>
          <w:szCs w:val="21"/>
          <w:b w:val="1"/>
          <w:bCs w:val="1"/>
          <w:color w:val="auto"/>
        </w:rPr>
        <w:t>Exercise Price</w:t>
      </w:r>
      <w:r>
        <w:rPr>
          <w:rFonts w:ascii="Calibri" w:cs="Calibri" w:eastAsia="Calibri" w:hAnsi="Calibri"/>
          <w:sz w:val="18"/>
          <w:szCs w:val="18"/>
          <w:color w:val="auto"/>
        </w:rPr>
        <w:t>”).</w:t>
      </w:r>
    </w:p>
    <w:p>
      <w:pPr>
        <w:ind w:left="340"/>
        <w:spacing w:after="0" w:line="225" w:lineRule="auto"/>
        <w:rPr>
          <w:sz w:val="20"/>
          <w:szCs w:val="20"/>
          <w:color w:val="auto"/>
        </w:rPr>
      </w:pPr>
      <w:r>
        <w:rPr>
          <w:rFonts w:ascii="Calibri" w:cs="Calibri" w:eastAsia="Calibri" w:hAnsi="Calibri"/>
          <w:sz w:val="18"/>
          <w:szCs w:val="18"/>
          <w:b w:val="1"/>
          <w:bCs w:val="1"/>
          <w:color w:val="auto"/>
        </w:rPr>
        <w:t>Nature of the Grant:</w:t>
      </w:r>
    </w:p>
    <w:p>
      <w:pPr>
        <w:spacing w:after="0" w:line="42" w:lineRule="exact"/>
        <w:rPr>
          <w:sz w:val="20"/>
          <w:szCs w:val="20"/>
          <w:color w:val="auto"/>
        </w:rPr>
      </w:pPr>
    </w:p>
    <w:p>
      <w:pPr>
        <w:jc w:val="both"/>
        <w:ind w:left="660" w:hanging="328"/>
        <w:spacing w:after="0" w:line="214" w:lineRule="auto"/>
        <w:tabs>
          <w:tab w:leader="none" w:pos="651" w:val="left"/>
        </w:tabs>
        <w:numPr>
          <w:ilvl w:val="0"/>
          <w:numId w:val="39"/>
        </w:numPr>
        <w:rPr>
          <w:rFonts w:ascii="Arial" w:cs="Arial" w:eastAsia="Arial" w:hAnsi="Arial"/>
          <w:sz w:val="22"/>
          <w:szCs w:val="22"/>
          <w:color w:val="auto"/>
        </w:rPr>
      </w:pPr>
      <w:r>
        <w:rPr>
          <w:rFonts w:ascii="Calibri" w:cs="Calibri" w:eastAsia="Calibri" w:hAnsi="Calibri"/>
          <w:sz w:val="18"/>
          <w:szCs w:val="18"/>
          <w:color w:val="auto"/>
        </w:rPr>
        <w:t>The grant of Optons is voluntary and occasional and does not create any contractual or other right to receive future grants of Optons, or benefts in lieu of Optons, even if Optons have been granted in the past. All decisions with respect to future grants will be at the sole discreton of the Company;</w:t>
      </w:r>
    </w:p>
    <w:p>
      <w:pPr>
        <w:spacing w:after="0" w:line="246"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2"/>
          <w:szCs w:val="22"/>
          <w:color w:val="auto"/>
        </w:rPr>
      </w:pPr>
      <w:r>
        <w:rPr>
          <w:rFonts w:ascii="Calibri" w:cs="Calibri" w:eastAsia="Calibri" w:hAnsi="Calibri"/>
          <w:sz w:val="18"/>
          <w:szCs w:val="18"/>
          <w:color w:val="auto"/>
        </w:rPr>
        <w:t>The Partcipant is voluntarily partcipatng in the Plan;</w:t>
      </w:r>
    </w:p>
    <w:p>
      <w:pPr>
        <w:spacing w:after="0" w:line="41" w:lineRule="exact"/>
        <w:rPr>
          <w:rFonts w:ascii="Arial" w:cs="Arial" w:eastAsia="Arial" w:hAnsi="Arial"/>
          <w:sz w:val="22"/>
          <w:szCs w:val="22"/>
          <w:color w:val="auto"/>
        </w:rPr>
      </w:pPr>
    </w:p>
    <w:p>
      <w:pPr>
        <w:ind w:left="660" w:hanging="328"/>
        <w:spacing w:after="0" w:line="204" w:lineRule="auto"/>
        <w:tabs>
          <w:tab w:leader="none" w:pos="651" w:val="left"/>
        </w:tabs>
        <w:numPr>
          <w:ilvl w:val="0"/>
          <w:numId w:val="40"/>
        </w:numPr>
        <w:rPr>
          <w:rFonts w:ascii="Arial" w:cs="Arial" w:eastAsia="Arial" w:hAnsi="Arial"/>
          <w:sz w:val="22"/>
          <w:szCs w:val="22"/>
          <w:color w:val="auto"/>
        </w:rPr>
      </w:pPr>
      <w:r>
        <w:rPr>
          <w:rFonts w:ascii="Calibri" w:cs="Calibri" w:eastAsia="Calibri" w:hAnsi="Calibri"/>
          <w:sz w:val="18"/>
          <w:szCs w:val="18"/>
          <w:color w:val="auto"/>
        </w:rPr>
        <w:t>The Optons are not part of normal or expected compensaton for any purpose, including for purposes of calculatng any severance, resignaton, terminaton, redundancy, dismissal, end-of-service payments, bonuses, pension or retrement or welfare benefts or similar payments;</w:t>
      </w:r>
    </w:p>
    <w:p>
      <w:pPr>
        <w:spacing w:after="0" w:line="2" w:lineRule="exact"/>
        <w:rPr>
          <w:rFonts w:ascii="Arial" w:cs="Arial" w:eastAsia="Arial" w:hAnsi="Arial"/>
          <w:sz w:val="22"/>
          <w:szCs w:val="22"/>
          <w:color w:val="auto"/>
        </w:rPr>
      </w:pPr>
    </w:p>
    <w:p>
      <w:pPr>
        <w:ind w:left="640" w:hanging="308"/>
        <w:spacing w:after="0"/>
        <w:tabs>
          <w:tab w:leader="none" w:pos="640" w:val="left"/>
        </w:tabs>
        <w:numPr>
          <w:ilvl w:val="0"/>
          <w:numId w:val="40"/>
        </w:numPr>
        <w:rPr>
          <w:rFonts w:ascii="Arial" w:cs="Arial" w:eastAsia="Arial" w:hAnsi="Arial"/>
          <w:sz w:val="22"/>
          <w:szCs w:val="22"/>
          <w:color w:val="auto"/>
        </w:rPr>
      </w:pPr>
      <w:r>
        <w:rPr>
          <w:rFonts w:ascii="Calibri" w:cs="Calibri" w:eastAsia="Calibri" w:hAnsi="Calibri"/>
          <w:sz w:val="18"/>
          <w:szCs w:val="18"/>
          <w:color w:val="auto"/>
        </w:rPr>
        <w:t>Future value of the underlying Shares is unknown, indeterminable and cannot be predicted with certainty;</w:t>
      </w:r>
    </w:p>
    <w:p>
      <w:pPr>
        <w:spacing w:after="0" w:line="41" w:lineRule="exact"/>
        <w:rPr>
          <w:rFonts w:ascii="Arial" w:cs="Arial" w:eastAsia="Arial" w:hAnsi="Arial"/>
          <w:sz w:val="22"/>
          <w:szCs w:val="22"/>
          <w:color w:val="auto"/>
        </w:rPr>
      </w:pPr>
    </w:p>
    <w:p>
      <w:pPr>
        <w:ind w:left="660" w:hanging="328"/>
        <w:spacing w:after="0" w:line="211" w:lineRule="auto"/>
        <w:tabs>
          <w:tab w:leader="none" w:pos="651" w:val="left"/>
        </w:tabs>
        <w:numPr>
          <w:ilvl w:val="0"/>
          <w:numId w:val="40"/>
        </w:numPr>
        <w:rPr>
          <w:rFonts w:ascii="Arial" w:cs="Arial" w:eastAsia="Arial" w:hAnsi="Arial"/>
          <w:sz w:val="22"/>
          <w:szCs w:val="22"/>
          <w:color w:val="auto"/>
        </w:rPr>
      </w:pPr>
      <w:r>
        <w:rPr>
          <w:rFonts w:ascii="Calibri" w:cs="Calibri" w:eastAsia="Calibri" w:hAnsi="Calibri"/>
          <w:sz w:val="18"/>
          <w:szCs w:val="18"/>
          <w:color w:val="auto"/>
        </w:rPr>
        <w:t>No claim or enttlement to compensaton or damages will arise from forfeiture of the Optons resultng from the terminaton of the Partcipant's employment; and</w:t>
      </w:r>
    </w:p>
    <w:p>
      <w:pPr>
        <w:spacing w:after="0" w:line="41" w:lineRule="exact"/>
        <w:rPr>
          <w:rFonts w:ascii="Arial" w:cs="Arial" w:eastAsia="Arial" w:hAnsi="Arial"/>
          <w:sz w:val="22"/>
          <w:szCs w:val="22"/>
          <w:color w:val="auto"/>
        </w:rPr>
      </w:pPr>
    </w:p>
    <w:p>
      <w:pPr>
        <w:jc w:val="both"/>
        <w:ind w:left="660" w:hanging="328"/>
        <w:spacing w:after="0" w:line="214" w:lineRule="auto"/>
        <w:tabs>
          <w:tab w:leader="none" w:pos="651" w:val="left"/>
        </w:tabs>
        <w:numPr>
          <w:ilvl w:val="0"/>
          <w:numId w:val="40"/>
        </w:numPr>
        <w:rPr>
          <w:rFonts w:ascii="Arial" w:cs="Arial" w:eastAsia="Arial" w:hAnsi="Arial"/>
          <w:sz w:val="22"/>
          <w:szCs w:val="22"/>
          <w:color w:val="auto"/>
        </w:rPr>
      </w:pPr>
      <w:r>
        <w:rPr>
          <w:rFonts w:ascii="Calibri" w:cs="Calibri" w:eastAsia="Calibri" w:hAnsi="Calibri"/>
          <w:sz w:val="18"/>
          <w:szCs w:val="18"/>
          <w:color w:val="auto"/>
        </w:rPr>
        <w:t>The Company will not be liable for any foreign exchange rate fuctuaton between the Partcipant’s local currency and the United States Dollar that may afect the value of the Optons or of any amounts due to the Partcipant on exercise of the Optons or on the subsequent sale of any Shares acquired on exercise.</w:t>
      </w:r>
    </w:p>
    <w:p>
      <w:pPr>
        <w:spacing w:after="0" w:line="3"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Terms and Conditons</w:t>
      </w:r>
      <w:r>
        <w:rPr>
          <w:rFonts w:ascii="Calibri" w:cs="Calibri" w:eastAsia="Calibri" w:hAnsi="Calibri"/>
          <w:sz w:val="18"/>
          <w:szCs w:val="18"/>
          <w:color w:val="auto"/>
        </w:rPr>
        <w:t>. The Optons are subject to the following additonal terms and conditons:</w:t>
      </w:r>
    </w:p>
    <w:p>
      <w:pPr>
        <w:spacing w:after="0" w:line="24" w:lineRule="exact"/>
        <w:rPr>
          <w:sz w:val="20"/>
          <w:szCs w:val="20"/>
          <w:color w:val="auto"/>
        </w:rPr>
      </w:pPr>
    </w:p>
    <w:p>
      <w:pPr>
        <w:ind w:left="660" w:hanging="328"/>
        <w:spacing w:after="0" w:line="229" w:lineRule="auto"/>
        <w:tabs>
          <w:tab w:leader="none" w:pos="651" w:val="left"/>
        </w:tabs>
        <w:numPr>
          <w:ilvl w:val="0"/>
          <w:numId w:val="42"/>
        </w:numPr>
        <w:rPr>
          <w:rFonts w:ascii="Arial" w:cs="Arial" w:eastAsia="Arial" w:hAnsi="Arial"/>
          <w:sz w:val="22"/>
          <w:szCs w:val="22"/>
          <w:color w:val="auto"/>
        </w:rPr>
      </w:pPr>
      <w:r>
        <w:rPr>
          <w:rFonts w:ascii="Calibri" w:cs="Calibri" w:eastAsia="Calibri" w:hAnsi="Calibri"/>
          <w:sz w:val="18"/>
          <w:szCs w:val="18"/>
          <w:b w:val="1"/>
          <w:bCs w:val="1"/>
          <w:color w:val="auto"/>
        </w:rPr>
        <w:t>Expiraton Date</w:t>
      </w:r>
      <w:r>
        <w:rPr>
          <w:rFonts w:ascii="Calibri" w:cs="Calibri" w:eastAsia="Calibri" w:hAnsi="Calibri"/>
          <w:sz w:val="18"/>
          <w:szCs w:val="18"/>
          <w:color w:val="auto"/>
        </w:rPr>
        <w:t>. The Optons will expire on</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or, if the Partcipant’s employment terminates before that date, on the 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specifed in subsecton 2(e) below.</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42"/>
        </w:numPr>
        <w:rPr>
          <w:rFonts w:ascii="Arial" w:cs="Arial" w:eastAsia="Arial" w:hAnsi="Arial"/>
          <w:sz w:val="22"/>
          <w:szCs w:val="22"/>
          <w:color w:val="auto"/>
        </w:rPr>
      </w:pPr>
      <w:r>
        <w:rPr>
          <w:rFonts w:ascii="Calibri" w:cs="Calibri" w:eastAsia="Calibri" w:hAnsi="Calibri"/>
          <w:sz w:val="18"/>
          <w:szCs w:val="18"/>
          <w:b w:val="1"/>
          <w:bCs w:val="1"/>
          <w:color w:val="auto"/>
        </w:rPr>
        <w:t>Exercise of Optons</w:t>
      </w:r>
      <w:r>
        <w:rPr>
          <w:rFonts w:ascii="Calibri" w:cs="Calibri" w:eastAsia="Calibri" w:hAnsi="Calibri"/>
          <w:sz w:val="18"/>
          <w:szCs w:val="18"/>
          <w:color w:val="auto"/>
        </w:rPr>
        <w:t>. The Optons cannot be exercised untl vested.</w:t>
      </w:r>
    </w:p>
    <w:p>
      <w:pPr>
        <w:spacing w:after="0" w:line="23" w:lineRule="exact"/>
        <w:rPr>
          <w:rFonts w:ascii="Arial" w:cs="Arial" w:eastAsia="Arial" w:hAnsi="Arial"/>
          <w:sz w:val="22"/>
          <w:szCs w:val="22"/>
          <w:color w:val="auto"/>
        </w:rPr>
      </w:pPr>
    </w:p>
    <w:p>
      <w:pPr>
        <w:jc w:val="both"/>
        <w:ind w:left="660" w:hanging="328"/>
        <w:spacing w:after="0" w:line="209" w:lineRule="auto"/>
        <w:tabs>
          <w:tab w:leader="none" w:pos="652" w:val="left"/>
        </w:tabs>
        <w:numPr>
          <w:ilvl w:val="0"/>
          <w:numId w:val="42"/>
        </w:numPr>
        <w:rPr>
          <w:rFonts w:ascii="Arial" w:cs="Arial" w:eastAsia="Arial" w:hAnsi="Arial"/>
          <w:sz w:val="22"/>
          <w:szCs w:val="22"/>
          <w:color w:val="auto"/>
        </w:rPr>
      </w:pPr>
      <w:r>
        <w:rPr>
          <w:rFonts w:ascii="Calibri" w:cs="Calibri" w:eastAsia="Calibri" w:hAnsi="Calibri"/>
          <w:sz w:val="18"/>
          <w:szCs w:val="18"/>
          <w:b w:val="1"/>
          <w:bCs w:val="1"/>
          <w:color w:val="auto"/>
        </w:rPr>
        <w:t>Vestng</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Optons will vest if the Partcipant has been actvely employed by the Company or an Afliate from the Grant Date</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 xml:space="preserve">through the vestng date. </w:t>
      </w:r>
      <w:r>
        <w:rPr>
          <w:rFonts w:ascii="Calibri" w:cs="Calibri" w:eastAsia="Calibri" w:hAnsi="Calibri"/>
          <w:sz w:val="17"/>
          <w:szCs w:val="17"/>
          <w:color w:val="auto"/>
        </w:rPr>
        <w:t>Actve employment does not include any potental severance period or an approved leave of absence greater than 6</w:t>
      </w:r>
      <w:r>
        <w:rPr>
          <w:rFonts w:ascii="Calibri" w:cs="Calibri" w:eastAsia="Calibri" w:hAnsi="Calibri"/>
          <w:sz w:val="21"/>
          <w:szCs w:val="21"/>
          <w:color w:val="auto"/>
        </w:rPr>
        <w:t xml:space="preserve"> </w:t>
      </w:r>
      <w:r>
        <w:rPr>
          <w:rFonts w:ascii="Calibri" w:cs="Calibri" w:eastAsia="Calibri" w:hAnsi="Calibri"/>
          <w:sz w:val="17"/>
          <w:szCs w:val="17"/>
          <w:color w:val="auto"/>
        </w:rPr>
        <w:t>months.</w:t>
      </w:r>
    </w:p>
    <w:p>
      <w:pPr>
        <w:spacing w:after="0" w:line="2" w:lineRule="exact"/>
        <w:rPr>
          <w:rFonts w:ascii="Arial" w:cs="Arial" w:eastAsia="Arial" w:hAnsi="Arial"/>
          <w:sz w:val="22"/>
          <w:szCs w:val="22"/>
          <w:color w:val="auto"/>
        </w:rPr>
      </w:pPr>
    </w:p>
    <w:p>
      <w:pPr>
        <w:ind w:left="660"/>
        <w:spacing w:after="0" w:line="221" w:lineRule="auto"/>
        <w:rPr>
          <w:rFonts w:ascii="Arial" w:cs="Arial" w:eastAsia="Arial" w:hAnsi="Arial"/>
          <w:sz w:val="22"/>
          <w:szCs w:val="22"/>
          <w:color w:val="auto"/>
        </w:rPr>
      </w:pPr>
      <w:r>
        <w:rPr>
          <w:rFonts w:ascii="Calibri" w:cs="Calibri" w:eastAsia="Calibri" w:hAnsi="Calibri"/>
          <w:sz w:val="18"/>
          <w:szCs w:val="18"/>
          <w:color w:val="auto"/>
        </w:rPr>
        <w:t>Subject to subsectons 2(a), 2(d), and 2(e), the Optons will vest in 3 installments as follows:</w:t>
      </w:r>
    </w:p>
    <w:p>
      <w:pPr>
        <w:spacing w:after="0" w:line="226" w:lineRule="exact"/>
        <w:rPr>
          <w:sz w:val="20"/>
          <w:szCs w:val="20"/>
          <w:color w:val="auto"/>
        </w:rPr>
      </w:pPr>
    </w:p>
    <w:p>
      <w:pPr>
        <w:ind w:left="3240"/>
        <w:spacing w:after="0"/>
        <w:rPr>
          <w:sz w:val="20"/>
          <w:szCs w:val="20"/>
          <w:color w:val="auto"/>
        </w:rPr>
      </w:pPr>
      <w:r>
        <w:rPr>
          <w:rFonts w:ascii="Calibri" w:cs="Calibri" w:eastAsia="Calibri" w:hAnsi="Calibri"/>
          <w:sz w:val="18"/>
          <w:szCs w:val="18"/>
          <w:b w:val="1"/>
          <w:bCs w:val="1"/>
          <w:color w:val="auto"/>
        </w:rPr>
        <w:t>###VEST_SCHEDULE_TABLE###</w:t>
      </w:r>
    </w:p>
    <w:p>
      <w:pPr>
        <w:spacing w:after="0" w:line="200" w:lineRule="exact"/>
        <w:rPr>
          <w:sz w:val="20"/>
          <w:szCs w:val="20"/>
          <w:color w:val="auto"/>
        </w:rPr>
      </w:pPr>
    </w:p>
    <w:p>
      <w:pPr>
        <w:spacing w:after="0" w:line="274" w:lineRule="exact"/>
        <w:rPr>
          <w:sz w:val="20"/>
          <w:szCs w:val="20"/>
          <w:color w:val="auto"/>
        </w:rPr>
      </w:pPr>
    </w:p>
    <w:p>
      <w:pPr>
        <w:ind w:firstLine="648"/>
        <w:spacing w:after="0" w:line="227" w:lineRule="auto"/>
        <w:rPr>
          <w:sz w:val="20"/>
          <w:szCs w:val="20"/>
          <w:color w:val="auto"/>
        </w:rPr>
      </w:pPr>
      <w:r>
        <w:rPr>
          <w:rFonts w:ascii="Calibri" w:cs="Calibri" w:eastAsia="Calibri" w:hAnsi="Calibri"/>
          <w:sz w:val="18"/>
          <w:szCs w:val="18"/>
          <w:color w:val="auto"/>
        </w:rPr>
        <w:t>For China-based Partcipants, when exercising of the Optons is elected post vestng, the Company will provide a cash payment equivalent to the number of Optons exercised multplied by the positve diference between the stock price upon exercise and the Exercise Price.</w:t>
      </w:r>
    </w:p>
    <w:p>
      <w:pPr>
        <w:spacing w:after="0" w:line="43" w:lineRule="exact"/>
        <w:rPr>
          <w:sz w:val="20"/>
          <w:szCs w:val="20"/>
          <w:color w:val="auto"/>
        </w:rPr>
      </w:pPr>
    </w:p>
    <w:p>
      <w:pPr>
        <w:ind w:left="660" w:hanging="328"/>
        <w:spacing w:after="0" w:line="211" w:lineRule="auto"/>
        <w:tabs>
          <w:tab w:leader="none" w:pos="651" w:val="left"/>
        </w:tabs>
        <w:numPr>
          <w:ilvl w:val="0"/>
          <w:numId w:val="43"/>
        </w:numPr>
        <w:rPr>
          <w:rFonts w:ascii="Arial" w:cs="Arial" w:eastAsia="Arial" w:hAnsi="Arial"/>
          <w:sz w:val="22"/>
          <w:szCs w:val="22"/>
          <w:color w:val="auto"/>
        </w:rPr>
      </w:pPr>
      <w:r>
        <w:rPr>
          <w:rFonts w:ascii="Calibri" w:cs="Calibri" w:eastAsia="Calibri" w:hAnsi="Calibri"/>
          <w:sz w:val="18"/>
          <w:szCs w:val="18"/>
          <w:b w:val="1"/>
          <w:bCs w:val="1"/>
          <w:color w:val="auto"/>
        </w:rPr>
        <w:t>Efect of Change in Control</w:t>
      </w:r>
      <w:r>
        <w:rPr>
          <w:rFonts w:ascii="Calibri" w:cs="Calibri" w:eastAsia="Calibri" w:hAnsi="Calibri"/>
          <w:sz w:val="18"/>
          <w:szCs w:val="18"/>
          <w:color w:val="auto"/>
        </w:rPr>
        <w:t>. In the event of a Change in Control prior to the vestng date, if the acquiring or surviving company in the transacton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assumes or contnues any then-outstanding Optons, then the</w:t>
      </w:r>
    </w:p>
    <w:p>
      <w:pPr>
        <w:sectPr>
          <w:pgSz w:w="11900" w:h="16838" w:orient="portrait"/>
          <w:cols w:equalWidth="0" w:num="1">
            <w:col w:w="11240"/>
          </w:cols>
          <w:pgMar w:left="320" w:top="1395" w:right="339" w:bottom="1440" w:gutter="0" w:footer="0" w:header="0"/>
        </w:sectPr>
      </w:pPr>
    </w:p>
    <w:bookmarkStart w:id="66" w:name="page67"/>
    <w:bookmarkEnd w:id="66"/>
    <w:p>
      <w:pPr>
        <w:jc w:val="both"/>
        <w:ind w:left="660"/>
        <w:spacing w:after="0" w:line="225" w:lineRule="auto"/>
        <w:rPr>
          <w:sz w:val="20"/>
          <w:szCs w:val="20"/>
          <w:color w:val="auto"/>
        </w:rPr>
      </w:pPr>
      <w:r>
        <w:rPr>
          <w:rFonts w:ascii="Calibri" w:cs="Calibri" w:eastAsia="Calibri" w:hAnsi="Calibri"/>
          <w:sz w:val="18"/>
          <w:szCs w:val="18"/>
          <w:color w:val="auto"/>
        </w:rPr>
        <w:t xml:space="preserve">unvested Optons will contnue to vest based on the Optons’ service-based vestng criteria untl the vestng date. If the Partcipant's actve employment with the Company or an Afliate is terminated by the Company or an Afliate without Cause or by the Partcipant (for applicable Partcipants only) for Good Reason within 2 years of a Change in Control, any unvested and any converted Optons will become 100% vested on the terminaton date.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months</w:t>
      </w:r>
      <w:r>
        <w:rPr>
          <w:rFonts w:ascii="Calibri" w:cs="Calibri" w:eastAsia="Calibri" w:hAnsi="Calibri"/>
          <w:sz w:val="18"/>
          <w:szCs w:val="18"/>
          <w:color w:val="auto"/>
        </w:rPr>
        <w:t xml:space="preserve"> afer the Partcipant's terminaton of actve employment. If the partcipant is Retrement Eligible as specifed in subsecton 2(e) below,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years</w:t>
      </w:r>
      <w:r>
        <w:rPr>
          <w:rFonts w:ascii="Calibri" w:cs="Calibri" w:eastAsia="Calibri" w:hAnsi="Calibri"/>
          <w:sz w:val="18"/>
          <w:szCs w:val="18"/>
          <w:color w:val="auto"/>
        </w:rPr>
        <w:t xml:space="preserve"> afer the Partcipant’s terminaton of actve employment.</w:t>
      </w:r>
    </w:p>
    <w:p>
      <w:pPr>
        <w:jc w:val="both"/>
        <w:ind w:firstLine="648"/>
        <w:spacing w:after="0" w:line="220"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Cause</w:t>
      </w:r>
      <w:r>
        <w:rPr>
          <w:rFonts w:ascii="Calibri" w:cs="Calibri" w:eastAsia="Calibri" w:hAnsi="Calibri"/>
          <w:sz w:val="18"/>
          <w:szCs w:val="18"/>
          <w:color w:val="auto"/>
        </w:rPr>
        <w:t>” means (i) the Partcipant’s willful and contnued failure to substantally perform his, her or their dutes with the Company or an Afliate (other than any such failure resultng from the Partcipant’s incapacity due to physical or mental illness) or (ii) the Partcipant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1" w:lineRule="exact"/>
        <w:rPr>
          <w:sz w:val="20"/>
          <w:szCs w:val="20"/>
          <w:color w:val="auto"/>
        </w:rPr>
      </w:pPr>
    </w:p>
    <w:p>
      <w:pPr>
        <w:jc w:val="both"/>
        <w:ind w:firstLine="648"/>
        <w:spacing w:after="0" w:line="222"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Good Reason</w:t>
      </w:r>
      <w:r>
        <w:rPr>
          <w:rFonts w:ascii="Calibri" w:cs="Calibri" w:eastAsia="Calibri" w:hAnsi="Calibri"/>
          <w:sz w:val="18"/>
          <w:szCs w:val="18"/>
          <w:color w:val="auto"/>
        </w:rPr>
        <w:t>” means (i) a reducton in annual target total cash compensaton (base salary and target bonus), (ii) the assignment of any dutes inconsistent in any material adverse respect with the Partcipant’s positon, authority, dutes or responsibilites, (iii) any other acton by the Company or an Afliate which results in a material diminuton in such positon, authority, dutes or responsibilites; or (iv) the Company or an Afliate requiring the Partcipant to relocate to a work locaton 50 miles or more from the locaton where the Partcipant was principally working immediately prior to the Change in Control. The Partcipant must give notce within 90 days of any Good Reason event.</w:t>
      </w:r>
    </w:p>
    <w:p>
      <w:pPr>
        <w:spacing w:after="0" w:line="3"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Good Reason only applies to Company or Afliate employees who are, at the tme of terminaton of employment, covered by the Xylem Special Senior Executve Severance Pay Plan or the Xylem Enhanced Severance Pay Plan and will exclude an isolated, insubstantal and inadvertent acton not taken in bad faith that is resolved by the Company or an Afliate within 30 days of receiving notce.</w:t>
      </w:r>
    </w:p>
    <w:p>
      <w:pPr>
        <w:spacing w:after="0" w:line="42" w:lineRule="exact"/>
        <w:rPr>
          <w:sz w:val="20"/>
          <w:szCs w:val="20"/>
          <w:color w:val="auto"/>
        </w:rPr>
      </w:pPr>
    </w:p>
    <w:p>
      <w:pPr>
        <w:jc w:val="both"/>
        <w:ind w:left="660" w:hanging="328"/>
        <w:spacing w:after="0" w:line="217" w:lineRule="auto"/>
        <w:tabs>
          <w:tab w:leader="none" w:pos="651" w:val="left"/>
        </w:tabs>
        <w:numPr>
          <w:ilvl w:val="0"/>
          <w:numId w:val="44"/>
        </w:numPr>
        <w:rPr>
          <w:rFonts w:ascii="Arial" w:cs="Arial" w:eastAsia="Arial" w:hAnsi="Arial"/>
          <w:sz w:val="22"/>
          <w:szCs w:val="22"/>
          <w:color w:val="auto"/>
        </w:rPr>
      </w:pPr>
      <w:r>
        <w:rPr>
          <w:rFonts w:ascii="Calibri" w:cs="Calibri" w:eastAsia="Calibri" w:hAnsi="Calibri"/>
          <w:sz w:val="18"/>
          <w:szCs w:val="18"/>
          <w:b w:val="1"/>
          <w:bCs w:val="1"/>
          <w:color w:val="auto"/>
        </w:rPr>
        <w:t>Efect of Terminaton of Employment</w:t>
      </w:r>
      <w:r>
        <w:rPr>
          <w:rFonts w:ascii="Calibri" w:cs="Calibri" w:eastAsia="Calibri" w:hAnsi="Calibri"/>
          <w:sz w:val="18"/>
          <w:szCs w:val="18"/>
          <w:color w:val="auto"/>
        </w:rPr>
        <w:t>. Optons will only vest while the Partcipant is actvely employed by the Company or an Afliate. If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Partcipant's actve employment with the Company or an Afliate is terminated for any reason prior to the vestng date, and such terminaton consttutes a “separaton from service” within the meaning of Secton 409A of the Code and any related regulatons or other efectve guidance promulgated thereunder (“</w:t>
      </w:r>
      <w:r>
        <w:rPr>
          <w:rFonts w:ascii="Calibri" w:cs="Calibri" w:eastAsia="Calibri" w:hAnsi="Calibri"/>
          <w:sz w:val="21"/>
          <w:szCs w:val="21"/>
          <w:b w:val="1"/>
          <w:bCs w:val="1"/>
          <w:color w:val="auto"/>
        </w:rPr>
        <w:t>Secton 409A</w:t>
      </w:r>
      <w:r>
        <w:rPr>
          <w:rFonts w:ascii="Calibri" w:cs="Calibri" w:eastAsia="Calibri" w:hAnsi="Calibri"/>
          <w:sz w:val="18"/>
          <w:szCs w:val="18"/>
          <w:color w:val="auto"/>
        </w:rPr>
        <w:t>”), subject to subsecton 2(d), the following would apply to any outstanding Optons:</w:t>
      </w:r>
    </w:p>
    <w:p>
      <w:pPr>
        <w:spacing w:after="0" w:line="45" w:lineRule="exact"/>
        <w:rPr>
          <w:rFonts w:ascii="Arial" w:cs="Arial" w:eastAsia="Arial" w:hAnsi="Arial"/>
          <w:sz w:val="22"/>
          <w:szCs w:val="22"/>
          <w:color w:val="auto"/>
        </w:rPr>
      </w:pPr>
    </w:p>
    <w:p>
      <w:pPr>
        <w:jc w:val="both"/>
        <w:ind w:left="1960" w:hanging="332"/>
        <w:spacing w:after="0" w:line="216" w:lineRule="auto"/>
        <w:tabs>
          <w:tab w:leader="none" w:pos="1951" w:val="left"/>
        </w:tabs>
        <w:numPr>
          <w:ilvl w:val="1"/>
          <w:numId w:val="44"/>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Death or Disability</w:t>
      </w:r>
      <w:r>
        <w:rPr>
          <w:rFonts w:ascii="Calibri" w:cs="Calibri" w:eastAsia="Calibri" w:hAnsi="Calibri"/>
          <w:sz w:val="18"/>
          <w:szCs w:val="18"/>
          <w:color w:val="auto"/>
        </w:rPr>
        <w:t xml:space="preserve">. Any unvested Optons will immediately become 100% vested on the Partcipant’s terminaton of employment.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years</w:t>
      </w:r>
      <w:r>
        <w:rPr>
          <w:rFonts w:ascii="Calibri" w:cs="Calibri" w:eastAsia="Calibri" w:hAnsi="Calibri"/>
          <w:sz w:val="18"/>
          <w:szCs w:val="18"/>
          <w:color w:val="auto"/>
        </w:rPr>
        <w:t xml:space="preserve"> afer the Partcipant’s terminaton of employment.</w:t>
      </w:r>
    </w:p>
    <w:p>
      <w:pPr>
        <w:spacing w:after="0" w:line="44" w:lineRule="exact"/>
        <w:rPr>
          <w:rFonts w:ascii="Arial" w:cs="Arial" w:eastAsia="Arial" w:hAnsi="Arial"/>
          <w:sz w:val="22"/>
          <w:szCs w:val="22"/>
          <w:color w:val="auto"/>
        </w:rPr>
      </w:pPr>
    </w:p>
    <w:p>
      <w:pPr>
        <w:jc w:val="both"/>
        <w:ind w:left="1960" w:hanging="332"/>
        <w:spacing w:after="0" w:line="222" w:lineRule="auto"/>
        <w:tabs>
          <w:tab w:leader="none" w:pos="1951" w:val="left"/>
        </w:tabs>
        <w:numPr>
          <w:ilvl w:val="1"/>
          <w:numId w:val="44"/>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Retrement or while Retrement Eligible</w:t>
      </w:r>
      <w:r>
        <w:rPr>
          <w:rFonts w:ascii="Calibri" w:cs="Calibri" w:eastAsia="Calibri" w:hAnsi="Calibri"/>
          <w:sz w:val="18"/>
          <w:szCs w:val="18"/>
          <w:color w:val="auto"/>
        </w:rPr>
        <w:t xml:space="preserve">. A prorated porton (as described below) of the unvested Optons with a vestng date within 12 months of terminaton will immediately vest on the Partcipant’s terminaton of employment. All other unvested Optons will automatcally be forfeited. Any vested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years</w:t>
      </w:r>
      <w:r>
        <w:rPr>
          <w:rFonts w:ascii="Calibri" w:cs="Calibri" w:eastAsia="Calibri" w:hAnsi="Calibri"/>
          <w:sz w:val="18"/>
          <w:szCs w:val="18"/>
          <w:color w:val="auto"/>
        </w:rPr>
        <w:t xml:space="preserve"> afer the Partcipant’s terminaton of employment.</w:t>
      </w:r>
    </w:p>
    <w:p>
      <w:pPr>
        <w:spacing w:after="0" w:line="45" w:lineRule="exact"/>
        <w:rPr>
          <w:rFonts w:ascii="Arial" w:cs="Arial" w:eastAsia="Arial" w:hAnsi="Arial"/>
          <w:sz w:val="22"/>
          <w:szCs w:val="22"/>
          <w:color w:val="auto"/>
        </w:rPr>
      </w:pPr>
    </w:p>
    <w:p>
      <w:pPr>
        <w:jc w:val="both"/>
        <w:ind w:left="1960" w:hanging="332"/>
        <w:spacing w:after="0" w:line="229" w:lineRule="auto"/>
        <w:tabs>
          <w:tab w:leader="none" w:pos="1951" w:val="left"/>
        </w:tabs>
        <w:numPr>
          <w:ilvl w:val="1"/>
          <w:numId w:val="44"/>
        </w:numPr>
        <w:rPr>
          <w:rFonts w:ascii="Arial" w:cs="Arial" w:eastAsia="Arial" w:hAnsi="Arial"/>
          <w:sz w:val="22"/>
          <w:szCs w:val="22"/>
          <w:color w:val="auto"/>
        </w:rPr>
      </w:pPr>
      <w:r>
        <w:rPr>
          <w:rFonts w:ascii="Calibri" w:cs="Calibri" w:eastAsia="Calibri" w:hAnsi="Calibri"/>
          <w:sz w:val="18"/>
          <w:szCs w:val="18"/>
          <w:u w:val="single" w:color="auto"/>
          <w:color w:val="auto"/>
        </w:rPr>
        <w:t>Terminaton other than for Death, Disability and Retrement</w:t>
      </w:r>
      <w:r>
        <w:rPr>
          <w:rFonts w:ascii="Calibri" w:cs="Calibri" w:eastAsia="Calibri" w:hAnsi="Calibri"/>
          <w:sz w:val="18"/>
          <w:szCs w:val="18"/>
          <w:color w:val="auto"/>
        </w:rPr>
        <w:t xml:space="preserve">. Any unvested Optons will automatcally forfeit on the date of the Partcipant’s terminaton of employment. Any vested porton of the Optons will expire on the earlier of </w:t>
      </w:r>
      <w:r>
        <w:rPr>
          <w:rFonts w:ascii="Calibri" w:cs="Calibri" w:eastAsia="Calibri" w:hAnsi="Calibri"/>
          <w:sz w:val="21"/>
          <w:szCs w:val="21"/>
          <w:b w:val="1"/>
          <w:bCs w:val="1"/>
          <w:color w:val="auto"/>
        </w:rPr>
        <w:t>###EXPIRY_DATE###</w:t>
      </w:r>
      <w:r>
        <w:rPr>
          <w:rFonts w:ascii="Calibri" w:cs="Calibri" w:eastAsia="Calibri" w:hAnsi="Calibri"/>
          <w:sz w:val="18"/>
          <w:szCs w:val="18"/>
          <w:color w:val="auto"/>
        </w:rPr>
        <w:t xml:space="preserve">, or the date </w:t>
      </w:r>
      <w:r>
        <w:rPr>
          <w:rFonts w:ascii="Calibri" w:cs="Calibri" w:eastAsia="Calibri" w:hAnsi="Calibri"/>
          <w:sz w:val="21"/>
          <w:szCs w:val="21"/>
          <w:b w:val="1"/>
          <w:bCs w:val="1"/>
          <w:color w:val="auto"/>
        </w:rPr>
        <w:t>3 months</w:t>
      </w:r>
      <w:r>
        <w:rPr>
          <w:rFonts w:ascii="Calibri" w:cs="Calibri" w:eastAsia="Calibri" w:hAnsi="Calibri"/>
          <w:sz w:val="18"/>
          <w:szCs w:val="18"/>
          <w:color w:val="auto"/>
        </w:rPr>
        <w:t xml:space="preserve"> afer the Partcipant’s terminaton of employment.</w:t>
      </w:r>
    </w:p>
    <w:p>
      <w:pPr>
        <w:jc w:val="both"/>
        <w:ind w:firstLine="648"/>
        <w:spacing w:after="0" w:line="226"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Company based on evidence, including independent medical reports and data, as deemed appropriate or necessary.</w:t>
      </w:r>
    </w:p>
    <w:p>
      <w:pPr>
        <w:spacing w:after="0" w:line="1"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sectPr>
          <w:pgSz w:w="11900" w:h="16838" w:orient="portrait"/>
          <w:cols w:equalWidth="0" w:num="1">
            <w:col w:w="11240"/>
          </w:cols>
          <w:pgMar w:left="320" w:top="1400" w:right="339" w:bottom="1440" w:gutter="0" w:footer="0" w:header="0"/>
        </w:sectPr>
      </w:pPr>
    </w:p>
    <w:bookmarkStart w:id="67" w:name="page68"/>
    <w:bookmarkEnd w:id="67"/>
    <w:p>
      <w:pPr>
        <w:jc w:val="both"/>
        <w:ind w:firstLine="648"/>
        <w:spacing w:after="0" w:line="223" w:lineRule="auto"/>
        <w:rPr>
          <w:sz w:val="20"/>
          <w:szCs w:val="20"/>
          <w:color w:val="auto"/>
        </w:rPr>
      </w:pPr>
      <w:r>
        <w:rPr>
          <w:rFonts w:ascii="Calibri" w:cs="Calibri" w:eastAsia="Calibri" w:hAnsi="Calibri"/>
          <w:sz w:val="18"/>
          <w:szCs w:val="18"/>
          <w:b w:val="1"/>
          <w:bCs w:val="1"/>
          <w:color w:val="auto"/>
        </w:rPr>
        <w:t>Prorated Vestng Upon Retrement</w:t>
      </w:r>
      <w:r>
        <w:rPr>
          <w:rFonts w:ascii="Calibri" w:cs="Calibri" w:eastAsia="Calibri" w:hAnsi="Calibri"/>
          <w:sz w:val="18"/>
          <w:szCs w:val="18"/>
          <w:color w:val="auto"/>
        </w:rPr>
        <w:t>. The prorated porton of the Optons that vests on the Partcipant’s terminaton of employment due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Partcipant's Retrement will be determined by multplying the total number of unvested Optons with a vestng date within 12 months of terminaton by a fracton, of which the numerator is the number of full months (not to exceed 12) the Partcipant has been contnually employed since the Vest Period Start Date, and the denominator is 12. For this purpose, full months of employment will be based on monthly anniversaries of the Grant Date, not calendar months.</w:t>
      </w:r>
    </w:p>
    <w:p>
      <w:pPr>
        <w:spacing w:after="0" w:line="46" w:lineRule="exact"/>
        <w:rPr>
          <w:sz w:val="20"/>
          <w:szCs w:val="20"/>
          <w:color w:val="auto"/>
        </w:rPr>
      </w:pPr>
    </w:p>
    <w:p>
      <w:pPr>
        <w:jc w:val="both"/>
        <w:ind w:left="660" w:hanging="328"/>
        <w:spacing w:after="0" w:line="216" w:lineRule="auto"/>
        <w:tabs>
          <w:tab w:leader="none" w:pos="651" w:val="left"/>
        </w:tabs>
        <w:numPr>
          <w:ilvl w:val="0"/>
          <w:numId w:val="45"/>
        </w:numPr>
        <w:rPr>
          <w:rFonts w:ascii="Arial" w:cs="Arial" w:eastAsia="Arial" w:hAnsi="Arial"/>
          <w:sz w:val="22"/>
          <w:szCs w:val="22"/>
          <w:color w:val="auto"/>
        </w:rPr>
      </w:pPr>
      <w:r>
        <w:rPr>
          <w:rFonts w:ascii="Calibri" w:cs="Calibri" w:eastAsia="Calibri" w:hAnsi="Calibri"/>
          <w:sz w:val="18"/>
          <w:szCs w:val="18"/>
          <w:b w:val="1"/>
          <w:bCs w:val="1"/>
          <w:color w:val="auto"/>
        </w:rPr>
        <w:t>Payment of Exercise Price</w:t>
      </w:r>
      <w:r>
        <w:rPr>
          <w:rFonts w:ascii="Calibri" w:cs="Calibri" w:eastAsia="Calibri" w:hAnsi="Calibri"/>
          <w:sz w:val="18"/>
          <w:szCs w:val="18"/>
          <w:color w:val="auto"/>
        </w:rPr>
        <w:t>. Permissible methods for payment of the Exercise Price on exercise of the Optons are described in Secton 6.6 of the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or, if the Plan is amended, successor provisions. In additon to the methods of exercise permited by Secton 6.6 of the Plan, the Partcipant may exercise all or part of the Optons by way of (i) broker-assisted cashless exercise in a manner consistent with the Federal Reserve Board's Regulaton T, unless the Commitee determines that this is prohibited by law, or (ii) net-setlement, where the Partcipant directs the Company to withhold Shares that otherwise would be issued upon exercise of the Optons having </w:t>
      </w:r>
      <w:r>
        <w:rPr>
          <w:rFonts w:ascii="Calibri" w:cs="Calibri" w:eastAsia="Calibri" w:hAnsi="Calibri"/>
          <w:sz w:val="21"/>
          <w:szCs w:val="21"/>
          <w:color w:val="auto"/>
        </w:rPr>
        <w:t>an</w:t>
      </w:r>
      <w:r>
        <w:rPr>
          <w:rFonts w:ascii="Calibri" w:cs="Calibri" w:eastAsia="Calibri" w:hAnsi="Calibri"/>
          <w:sz w:val="18"/>
          <w:szCs w:val="18"/>
          <w:color w:val="auto"/>
        </w:rPr>
        <w:t xml:space="preserve"> aggregate Fair Market Value on the date of the exercise equal to the Exercise Price, or the porton being exercised by way of net-setlement (rounding up to the nearest whole Share).</w:t>
      </w:r>
    </w:p>
    <w:p>
      <w:pPr>
        <w:spacing w:after="0" w:line="45"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45"/>
        </w:numPr>
        <w:rPr>
          <w:rFonts w:ascii="Arial" w:cs="Arial" w:eastAsia="Arial" w:hAnsi="Arial"/>
          <w:sz w:val="22"/>
          <w:szCs w:val="22"/>
          <w:color w:val="auto"/>
        </w:rPr>
      </w:pPr>
      <w:r>
        <w:rPr>
          <w:rFonts w:ascii="Calibri" w:cs="Calibri" w:eastAsia="Calibri" w:hAnsi="Calibri"/>
          <w:sz w:val="18"/>
          <w:szCs w:val="18"/>
          <w:b w:val="1"/>
          <w:bCs w:val="1"/>
          <w:color w:val="auto"/>
        </w:rPr>
        <w:t>Tax Withholding</w:t>
      </w:r>
      <w:r>
        <w:rPr>
          <w:rFonts w:ascii="Calibri" w:cs="Calibri" w:eastAsia="Calibri" w:hAnsi="Calibri"/>
          <w:sz w:val="18"/>
          <w:szCs w:val="18"/>
          <w:color w:val="auto"/>
        </w:rPr>
        <w:t>. The Company will have the power and the right to deduct or withhold, or require the Partcipant to remit to the Company,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applicable federal, state, and local taxes, domestc or foreign, required by law or regulaton to be withheld with respect to the exercise of the Optons. The Partcipant may elect to satsfy the withholding requirement, in whole or in part, by having the Company withhold Shares that otherwise would be issued upon exercise of the Optons, with the number of Shares withheld having a Fair Market Value on the date the tax is to be determined equal to the minimum statutory total tax that could be imposed on the transacton </w:t>
      </w:r>
      <w:r>
        <w:rPr>
          <w:rFonts w:ascii="Calibri" w:cs="Calibri" w:eastAsia="Calibri" w:hAnsi="Calibri"/>
          <w:sz w:val="21"/>
          <w:szCs w:val="21"/>
          <w:color w:val="auto"/>
        </w:rPr>
        <w:t>(or such other amount that will not cause</w:t>
      </w:r>
      <w:r>
        <w:rPr>
          <w:rFonts w:ascii="Calibri" w:cs="Calibri" w:eastAsia="Calibri" w:hAnsi="Calibri"/>
          <w:sz w:val="18"/>
          <w:szCs w:val="18"/>
          <w:color w:val="auto"/>
        </w:rPr>
        <w:t xml:space="preserve"> </w:t>
      </w:r>
      <w:r>
        <w:rPr>
          <w:rFonts w:ascii="Calibri" w:cs="Calibri" w:eastAsia="Calibri" w:hAnsi="Calibri"/>
          <w:sz w:val="21"/>
          <w:szCs w:val="21"/>
          <w:color w:val="auto"/>
        </w:rPr>
        <w:t xml:space="preserve">an adverse accountng consequence or cost) </w:t>
      </w:r>
      <w:r>
        <w:rPr>
          <w:rFonts w:ascii="Calibri" w:cs="Calibri" w:eastAsia="Calibri" w:hAnsi="Calibri"/>
          <w:sz w:val="17"/>
          <w:szCs w:val="17"/>
          <w:color w:val="auto"/>
        </w:rPr>
        <w:t>(rounding up to the nearest whole Share). Any electon will be subject to any restrictons or</w:t>
      </w:r>
      <w:r>
        <w:rPr>
          <w:rFonts w:ascii="Calibri" w:cs="Calibri" w:eastAsia="Calibri" w:hAnsi="Calibri"/>
          <w:sz w:val="21"/>
          <w:szCs w:val="21"/>
          <w:color w:val="auto"/>
        </w:rPr>
        <w:t xml:space="preserve"> </w:t>
      </w:r>
      <w:r>
        <w:rPr>
          <w:rFonts w:ascii="Calibri" w:cs="Calibri" w:eastAsia="Calibri" w:hAnsi="Calibri"/>
          <w:sz w:val="17"/>
          <w:szCs w:val="17"/>
          <w:color w:val="auto"/>
        </w:rPr>
        <w:t>limitatons that the Commitee, in its sole discreton, deems appropriate.</w:t>
      </w:r>
    </w:p>
    <w:p>
      <w:pPr>
        <w:spacing w:after="0" w:line="44" w:lineRule="exact"/>
        <w:rPr>
          <w:rFonts w:ascii="Arial" w:cs="Arial" w:eastAsia="Arial" w:hAnsi="Arial"/>
          <w:sz w:val="22"/>
          <w:szCs w:val="22"/>
          <w:color w:val="auto"/>
        </w:rPr>
      </w:pPr>
    </w:p>
    <w:p>
      <w:pPr>
        <w:ind w:left="660" w:right="20" w:hanging="328"/>
        <w:spacing w:after="0" w:line="221" w:lineRule="auto"/>
        <w:tabs>
          <w:tab w:leader="none" w:pos="652" w:val="left"/>
        </w:tabs>
        <w:numPr>
          <w:ilvl w:val="0"/>
          <w:numId w:val="45"/>
        </w:numPr>
        <w:rPr>
          <w:rFonts w:ascii="Arial" w:cs="Arial" w:eastAsia="Arial" w:hAnsi="Arial"/>
          <w:sz w:val="22"/>
          <w:szCs w:val="22"/>
          <w:color w:val="auto"/>
        </w:rPr>
      </w:pPr>
      <w:r>
        <w:rPr>
          <w:rFonts w:ascii="Calibri" w:cs="Calibri" w:eastAsia="Calibri" w:hAnsi="Calibri"/>
          <w:sz w:val="18"/>
          <w:szCs w:val="18"/>
          <w:b w:val="1"/>
          <w:bCs w:val="1"/>
          <w:color w:val="auto"/>
        </w:rPr>
        <w:t xml:space="preserve">Automatc Exercise in Certain Circumstances. </w:t>
      </w:r>
      <w:r>
        <w:rPr>
          <w:rFonts w:ascii="Calibri" w:cs="Calibri" w:eastAsia="Calibri" w:hAnsi="Calibri"/>
          <w:sz w:val="18"/>
          <w:szCs w:val="18"/>
          <w:color w:val="auto"/>
        </w:rPr>
        <w:t>Subject to subsecton 2(i) of this Agreement, at close of business on the expiraton date (or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preceding trading day if the expiraton date is not a trading day), if the Exercise Spread Test (defned below) is met, the Opton will be automatcally exercised using the “net exercise” method described below, without regard to the notce requirement and with additonal Shares retained for purposes of satsfying the applicable tax withholdings (the “Automatc Exercise”). The Opton satsfes the “Exercise Spread Test” if the per Share spread between the closing price of the Company's common stock and the Grant Price (the “Exercise Spread”) on the expiraton date is at least one dollar. If the Exercise Spread Test is not satsfed, the unexercised portons of the Opton will expire as of close of business on the expiraton date. An Automatc Exercise will not occur if the Partcipant (and, if applicable, the Partcipant’s authorized legal representatve) waives this subsecton 2(h) in writng. The Automatc Exercise procedure is provided as a convenience and as a protecton against inadvertent expiraton of an Opton. Because any exercise of an Opton is normally your responsibility, you hereby waive any claims against the Company or any of its employees or agents if an Automatc Exercise does not occur for any reason and the Opton expires.</w:t>
      </w:r>
    </w:p>
    <w:p>
      <w:pPr>
        <w:spacing w:after="0" w:line="50"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45"/>
        </w:numPr>
        <w:rPr>
          <w:rFonts w:ascii="Arial" w:cs="Arial" w:eastAsia="Arial" w:hAnsi="Arial"/>
          <w:sz w:val="22"/>
          <w:szCs w:val="22"/>
          <w:color w:val="auto"/>
        </w:rPr>
      </w:pPr>
      <w:r>
        <w:rPr>
          <w:rFonts w:ascii="Calibri" w:cs="Calibri" w:eastAsia="Calibri" w:hAnsi="Calibri"/>
          <w:sz w:val="18"/>
          <w:szCs w:val="18"/>
          <w:b w:val="1"/>
          <w:bCs w:val="1"/>
          <w:color w:val="auto"/>
        </w:rPr>
        <w:t xml:space="preserve">Compliance with Laws and Regulatons. </w:t>
      </w:r>
      <w:r>
        <w:rPr>
          <w:rFonts w:ascii="Calibri" w:cs="Calibri" w:eastAsia="Calibri" w:hAnsi="Calibri"/>
          <w:sz w:val="18"/>
          <w:szCs w:val="18"/>
          <w:color w:val="auto"/>
        </w:rPr>
        <w:t>Notwithstanding anything to the contrary in this Agreement, the Company will not be obligated to issue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Shares under this Agreement or allow the exercise of the Optons by the Partcipant if doing so violates or is not in compliance with any laws, rules or regulatons of the United States or any state or country. The Partcipant understands that, if applicable, the laws of the country where the Partcipant is working at the tme of grant, vestng, and/or exercise of the Optons (including any rules or regulatons governing securites, foreign exchange, tax, labor or other maters) may restrict or prevent exercise of the Optons or may subject the Partcipant to additonal procedural or regulatory requirements that the Partcipant is solely responsible for and that the Partcipant will have to independently fulfll. The Company reserves the right to impose other requirements on the Partcipant’s partcipaton in the Plan, awards under the Plan, and any Shares acquired under the Plan, if the Company</w:t>
      </w:r>
    </w:p>
    <w:p>
      <w:pPr>
        <w:sectPr>
          <w:pgSz w:w="11900" w:h="16838" w:orient="portrait"/>
          <w:cols w:equalWidth="0" w:num="1">
            <w:col w:w="11240"/>
          </w:cols>
          <w:pgMar w:left="320" w:top="1400" w:right="339" w:bottom="1440" w:gutter="0" w:footer="0" w:header="0"/>
        </w:sectPr>
      </w:pPr>
    </w:p>
    <w:bookmarkStart w:id="68" w:name="page69"/>
    <w:bookmarkEnd w:id="68"/>
    <w:p>
      <w:pPr>
        <w:ind w:left="660"/>
        <w:spacing w:after="0"/>
        <w:rPr>
          <w:sz w:val="20"/>
          <w:szCs w:val="20"/>
          <w:color w:val="auto"/>
        </w:rPr>
      </w:pPr>
      <w:r>
        <w:rPr>
          <w:rFonts w:ascii="Calibri" w:cs="Calibri" w:eastAsia="Calibri" w:hAnsi="Calibri"/>
          <w:sz w:val="18"/>
          <w:szCs w:val="18"/>
          <w:color w:val="auto"/>
        </w:rPr>
        <w:t>determines the requirement is necessary or advisable to comply with applicable law or facilitate the administraton of the Plan.</w:t>
      </w:r>
    </w:p>
    <w:p>
      <w:pPr>
        <w:spacing w:after="0" w:line="42" w:lineRule="exact"/>
        <w:rPr>
          <w:sz w:val="20"/>
          <w:szCs w:val="20"/>
          <w:color w:val="auto"/>
        </w:rPr>
      </w:pPr>
    </w:p>
    <w:p>
      <w:pPr>
        <w:jc w:val="both"/>
        <w:ind w:left="660" w:hanging="328"/>
        <w:spacing w:after="0" w:line="216" w:lineRule="auto"/>
        <w:tabs>
          <w:tab w:leader="none" w:pos="651" w:val="left"/>
        </w:tabs>
        <w:numPr>
          <w:ilvl w:val="0"/>
          <w:numId w:val="46"/>
        </w:numPr>
        <w:rPr>
          <w:rFonts w:ascii="Arial" w:cs="Arial" w:eastAsia="Arial" w:hAnsi="Arial"/>
          <w:sz w:val="22"/>
          <w:szCs w:val="22"/>
          <w:color w:val="auto"/>
        </w:rPr>
      </w:pPr>
      <w:r>
        <w:rPr>
          <w:rFonts w:ascii="Calibri" w:cs="Calibri" w:eastAsia="Calibri" w:hAnsi="Calibri"/>
          <w:sz w:val="18"/>
          <w:szCs w:val="18"/>
          <w:b w:val="1"/>
          <w:bCs w:val="1"/>
          <w:color w:val="auto"/>
        </w:rPr>
        <w:t xml:space="preserve">Partcipant Covenants and Forfeiture and Clawback Provisions. </w:t>
      </w:r>
      <w:r>
        <w:rPr>
          <w:rFonts w:ascii="Calibri" w:cs="Calibri" w:eastAsia="Calibri" w:hAnsi="Calibri"/>
          <w:sz w:val="18"/>
          <w:szCs w:val="18"/>
          <w:color w:val="auto"/>
        </w:rPr>
        <w:t>The Partcipant acknowledges and agrees that the Optons, whether previously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vested or not, may be cancelled in full, and the Partcipant may be required to return to the Company any Shares received on setlement of vested Optons or the net afer-tax income, or the pre-tax value to the extent required by applicable law and/or the Company’s Recoupment of Incentve-Based Compensaton Policy 40-05, from the dispositon of any Shares received upon setlement of vested Optons, to the extent required by applicable law and/or the Company Policy 40-05, or if the Commitee, in its sole discreton, determines that the Partcipant:</w:t>
      </w:r>
    </w:p>
    <w:p>
      <w:pPr>
        <w:spacing w:after="0" w:line="7"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22"/>
          <w:szCs w:val="22"/>
          <w:color w:val="auto"/>
        </w:rPr>
      </w:pPr>
      <w:r>
        <w:rPr>
          <w:rFonts w:ascii="Calibri" w:cs="Calibri" w:eastAsia="Calibri" w:hAnsi="Calibri"/>
          <w:sz w:val="18"/>
          <w:szCs w:val="18"/>
          <w:color w:val="auto"/>
        </w:rPr>
        <w:t>Has engaged in any actvity in violaton of Company policies, including the Company’s Code of Conduct;</w:t>
      </w:r>
    </w:p>
    <w:p>
      <w:pPr>
        <w:spacing w:after="0" w:line="24" w:lineRule="exact"/>
        <w:rPr>
          <w:rFonts w:ascii="Arial" w:cs="Arial" w:eastAsia="Arial" w:hAnsi="Arial"/>
          <w:sz w:val="22"/>
          <w:szCs w:val="22"/>
          <w:color w:val="auto"/>
        </w:rPr>
      </w:pPr>
    </w:p>
    <w:p>
      <w:pPr>
        <w:ind w:left="640" w:hanging="308"/>
        <w:spacing w:after="0" w:line="206" w:lineRule="auto"/>
        <w:tabs>
          <w:tab w:leader="none" w:pos="640" w:val="left"/>
        </w:tabs>
        <w:numPr>
          <w:ilvl w:val="0"/>
          <w:numId w:val="47"/>
        </w:numPr>
        <w:rPr>
          <w:rFonts w:ascii="Arial" w:cs="Arial" w:eastAsia="Arial" w:hAnsi="Arial"/>
          <w:sz w:val="22"/>
          <w:szCs w:val="22"/>
          <w:color w:val="auto"/>
        </w:rPr>
      </w:pPr>
      <w:r>
        <w:rPr>
          <w:rFonts w:ascii="Calibri" w:cs="Calibri" w:eastAsia="Calibri" w:hAnsi="Calibri"/>
          <w:sz w:val="18"/>
          <w:szCs w:val="18"/>
          <w:color w:val="auto"/>
        </w:rPr>
        <w:t>Has engaged in conduct materially adverse to the best interests of the Company or its Afliates; or</w:t>
      </w:r>
    </w:p>
    <w:p>
      <w:pPr>
        <w:spacing w:after="0" w:line="41" w:lineRule="exact"/>
        <w:rPr>
          <w:rFonts w:ascii="Arial" w:cs="Arial" w:eastAsia="Arial" w:hAnsi="Arial"/>
          <w:sz w:val="22"/>
          <w:szCs w:val="22"/>
          <w:color w:val="auto"/>
        </w:rPr>
      </w:pPr>
    </w:p>
    <w:p>
      <w:pPr>
        <w:ind w:left="660" w:hanging="328"/>
        <w:spacing w:after="0" w:line="211" w:lineRule="auto"/>
        <w:tabs>
          <w:tab w:leader="none" w:pos="652" w:val="left"/>
        </w:tabs>
        <w:numPr>
          <w:ilvl w:val="0"/>
          <w:numId w:val="47"/>
        </w:numPr>
        <w:rPr>
          <w:rFonts w:ascii="Arial" w:cs="Arial" w:eastAsia="Arial" w:hAnsi="Arial"/>
          <w:sz w:val="22"/>
          <w:szCs w:val="22"/>
          <w:color w:val="auto"/>
        </w:rPr>
      </w:pPr>
      <w:r>
        <w:rPr>
          <w:rFonts w:ascii="Calibri" w:cs="Calibri" w:eastAsia="Calibri" w:hAnsi="Calibri"/>
          <w:sz w:val="18"/>
          <w:szCs w:val="18"/>
          <w:color w:val="auto"/>
        </w:rPr>
        <w:t>Uses, discloses, misappropriates or transfers confdental or proprietary informaton concerning the Company or its Afliates (except as required by the Partcipant’s work responsibilites with the Company or its Afliates);</w:t>
      </w:r>
    </w:p>
    <w:p>
      <w:pPr>
        <w:spacing w:after="0" w:line="41"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47"/>
        </w:numPr>
        <w:rPr>
          <w:rFonts w:ascii="Arial" w:cs="Arial" w:eastAsia="Arial" w:hAnsi="Arial"/>
          <w:sz w:val="22"/>
          <w:szCs w:val="22"/>
          <w:color w:val="auto"/>
        </w:rPr>
      </w:pPr>
      <w:r>
        <w:rPr>
          <w:rFonts w:ascii="Calibri" w:cs="Calibri" w:eastAsia="Calibri" w:hAnsi="Calibri"/>
          <w:sz w:val="18"/>
          <w:szCs w:val="18"/>
          <w:color w:val="auto"/>
        </w:rPr>
        <w:t xml:space="preserve">Directly or indirectly, hires or solicits or arranges for the hiring or solicitaton of any employee or customer of the Company or its Afliates, or encourages any employee to leave the Company or an Afliate any tme during the Partcipant’s employment and for 12 months afer terminaton of his or her employment (subject to applicable restrictons included in </w:t>
      </w:r>
      <w:r>
        <w:rPr>
          <w:rFonts w:ascii="Calibri" w:cs="Calibri" w:eastAsia="Calibri" w:hAnsi="Calibri"/>
          <w:sz w:val="21"/>
          <w:szCs w:val="21"/>
          <w:u w:val="single" w:color="auto"/>
          <w:color w:val="auto"/>
        </w:rPr>
        <w:t>Exhibit 1</w:t>
      </w:r>
      <w:r>
        <w:rPr>
          <w:rFonts w:ascii="Calibri" w:cs="Calibri" w:eastAsia="Calibri" w:hAnsi="Calibri"/>
          <w:sz w:val="18"/>
          <w:szCs w:val="18"/>
          <w:color w:val="auto"/>
        </w:rPr>
        <w:t xml:space="preserve"> atached hereto); or</w:t>
      </w:r>
    </w:p>
    <w:p>
      <w:pPr>
        <w:spacing w:after="0" w:line="9" w:lineRule="exact"/>
        <w:rPr>
          <w:rFonts w:ascii="Arial" w:cs="Arial" w:eastAsia="Arial" w:hAnsi="Arial"/>
          <w:sz w:val="22"/>
          <w:szCs w:val="22"/>
          <w:color w:val="auto"/>
        </w:rPr>
      </w:pPr>
    </w:p>
    <w:p>
      <w:pPr>
        <w:ind w:left="640" w:hanging="308"/>
        <w:spacing w:after="0"/>
        <w:tabs>
          <w:tab w:leader="none" w:pos="640" w:val="left"/>
        </w:tabs>
        <w:numPr>
          <w:ilvl w:val="0"/>
          <w:numId w:val="47"/>
        </w:numPr>
        <w:rPr>
          <w:rFonts w:ascii="Arial" w:cs="Arial" w:eastAsia="Arial" w:hAnsi="Arial"/>
          <w:sz w:val="22"/>
          <w:szCs w:val="22"/>
          <w:color w:val="auto"/>
        </w:rPr>
      </w:pPr>
      <w:r>
        <w:rPr>
          <w:rFonts w:ascii="Calibri" w:cs="Calibri" w:eastAsia="Calibri" w:hAnsi="Calibri"/>
          <w:sz w:val="18"/>
          <w:szCs w:val="18"/>
          <w:color w:val="auto"/>
        </w:rPr>
        <w:t xml:space="preserve">Violates the non-competton covenant set forth in </w:t>
      </w:r>
      <w:r>
        <w:rPr>
          <w:rFonts w:ascii="Calibri" w:cs="Calibri" w:eastAsia="Calibri" w:hAnsi="Calibri"/>
          <w:sz w:val="21"/>
          <w:szCs w:val="21"/>
          <w:u w:val="single" w:color="auto"/>
          <w:color w:val="auto"/>
        </w:rPr>
        <w:t>Appendix A</w:t>
      </w:r>
      <w:r>
        <w:rPr>
          <w:rFonts w:ascii="Calibri" w:cs="Calibri" w:eastAsia="Calibri" w:hAnsi="Calibri"/>
          <w:sz w:val="18"/>
          <w:szCs w:val="18"/>
          <w:color w:val="auto"/>
        </w:rPr>
        <w:t xml:space="preserve"> of this Agreement (the “</w:t>
      </w:r>
      <w:r>
        <w:rPr>
          <w:rFonts w:ascii="Calibri" w:cs="Calibri" w:eastAsia="Calibri" w:hAnsi="Calibri"/>
          <w:sz w:val="21"/>
          <w:szCs w:val="21"/>
          <w:b w:val="1"/>
          <w:bCs w:val="1"/>
          <w:u w:val="single" w:color="auto"/>
          <w:color w:val="auto"/>
        </w:rPr>
        <w:t>Non-Competton Covenant</w:t>
      </w:r>
      <w:r>
        <w:rPr>
          <w:rFonts w:ascii="Calibri" w:cs="Calibri" w:eastAsia="Calibri" w:hAnsi="Calibri"/>
          <w:sz w:val="18"/>
          <w:szCs w:val="18"/>
          <w:color w:val="auto"/>
        </w:rPr>
        <w:t>”) at any tme during</w:t>
      </w:r>
    </w:p>
    <w:p>
      <w:pPr>
        <w:ind w:left="660"/>
        <w:spacing w:after="0" w:line="225" w:lineRule="auto"/>
        <w:rPr>
          <w:sz w:val="20"/>
          <w:szCs w:val="20"/>
          <w:color w:val="auto"/>
        </w:rPr>
      </w:pPr>
      <w:r>
        <w:rPr>
          <w:rFonts w:ascii="Calibri" w:cs="Calibri" w:eastAsia="Calibri" w:hAnsi="Calibri"/>
          <w:sz w:val="18"/>
          <w:szCs w:val="18"/>
          <w:color w:val="auto"/>
        </w:rPr>
        <w:t>the Partcipant’s employment and for 12 months afer terminaton of his or her employment.</w:t>
      </w:r>
    </w:p>
    <w:p>
      <w:pPr>
        <w:jc w:val="both"/>
        <w:ind w:firstLine="972"/>
        <w:spacing w:after="0" w:line="221" w:lineRule="auto"/>
        <w:rPr>
          <w:sz w:val="20"/>
          <w:szCs w:val="20"/>
          <w:color w:val="auto"/>
        </w:rPr>
      </w:pPr>
      <w:r>
        <w:rPr>
          <w:rFonts w:ascii="Calibri" w:cs="Calibri" w:eastAsia="Calibri" w:hAnsi="Calibri"/>
          <w:sz w:val="18"/>
          <w:szCs w:val="18"/>
          <w:color w:val="auto"/>
        </w:rPr>
        <w:t>The Partcipant agrees, understands and acknowledges that the scope and duraton of the Partcipant obligatons contained in this Agreement are reasonable and necessary to protect a legitmate, protectable interest of the Company and its Afliates, and that the Commitee, in its sole discreton, may require the Partcipant, as a conditon to lapsing any restrictons on the Optons, to acknowledge in writng that the Partcipant has not engaged, and is not in the process of engaging, in any of the actvites described in this subsecton.</w:t>
      </w:r>
    </w:p>
    <w:p>
      <w:pPr>
        <w:spacing w:after="0" w:line="1" w:lineRule="exact"/>
        <w:rPr>
          <w:sz w:val="20"/>
          <w:szCs w:val="20"/>
          <w:color w:val="auto"/>
        </w:rPr>
      </w:pPr>
    </w:p>
    <w:p>
      <w:pPr>
        <w:jc w:val="both"/>
        <w:ind w:firstLine="972"/>
        <w:spacing w:after="0" w:line="224" w:lineRule="auto"/>
        <w:rPr>
          <w:sz w:val="20"/>
          <w:szCs w:val="20"/>
          <w:color w:val="auto"/>
        </w:rPr>
      </w:pPr>
      <w:r>
        <w:rPr>
          <w:rFonts w:ascii="Calibri" w:cs="Calibri" w:eastAsia="Calibri" w:hAnsi="Calibri"/>
          <w:sz w:val="18"/>
          <w:szCs w:val="18"/>
          <w:color w:val="auto"/>
        </w:rPr>
        <w:t>The obligatons in this subsecton are in additon to any other agreements related to non-competton, non-solicitaton and preservaton of Company confdental and proprietary informaton entered into between the Partcipant and the Company, or otherwise applicable to the Partcipant,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OPTIONS OR THE GROSS TAXABLE PROCEEDS FROM THE DISPOSITION OF ANY SHARES RECEIVED UPON SETTLEMENT OF EXERCISED OPTIONS IF THE PARTICIPANT SHOULD CHOOSE TO VIOLATE THIS PARAGRAPH DURING THE OBLIGATION PERIOD. Nothing in this Agreement prohibits the Partcipant from voluntarily communicatng, without notce to or approval by the Company, with any federal government agency about a potental violaton of a federal law or regulaton.</w:t>
      </w:r>
    </w:p>
    <w:p>
      <w:pPr>
        <w:spacing w:after="0" w:line="48" w:lineRule="exact"/>
        <w:rPr>
          <w:sz w:val="20"/>
          <w:szCs w:val="20"/>
          <w:color w:val="auto"/>
        </w:rPr>
      </w:pPr>
    </w:p>
    <w:p>
      <w:pPr>
        <w:jc w:val="both"/>
        <w:ind w:left="660" w:hanging="328"/>
        <w:spacing w:after="0" w:line="216" w:lineRule="auto"/>
        <w:tabs>
          <w:tab w:leader="none" w:pos="651" w:val="left"/>
        </w:tabs>
        <w:numPr>
          <w:ilvl w:val="0"/>
          <w:numId w:val="48"/>
        </w:numPr>
        <w:rPr>
          <w:rFonts w:ascii="Arial" w:cs="Arial" w:eastAsia="Arial" w:hAnsi="Arial"/>
          <w:sz w:val="22"/>
          <w:szCs w:val="22"/>
          <w:color w:val="auto"/>
        </w:rPr>
      </w:pPr>
      <w:r>
        <w:rPr>
          <w:rFonts w:ascii="Calibri" w:cs="Calibri" w:eastAsia="Calibri" w:hAnsi="Calibri"/>
          <w:sz w:val="18"/>
          <w:szCs w:val="18"/>
          <w:b w:val="1"/>
          <w:bCs w:val="1"/>
          <w:color w:val="auto"/>
        </w:rPr>
        <w:t>Injunctve Acton</w:t>
      </w:r>
      <w:r>
        <w:rPr>
          <w:rFonts w:ascii="Calibri" w:cs="Calibri" w:eastAsia="Calibri" w:hAnsi="Calibri"/>
          <w:sz w:val="18"/>
          <w:szCs w:val="18"/>
          <w:color w:val="auto"/>
        </w:rPr>
        <w:t>. The Partcipant acknowledges that if the Partcipant violates the terms of subsecton 2(j), the injury that would be sufered by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and/or an Afliate as a result of a breach of the provisions of this Agreement (including any covenant described in subsecton 2(j)) would be irreparable and that an award of monetary damages to the Company and/or an Afliate for such a breach would be an inadequate remedy. Consequently, the Company and/or an Afliate shall have the right, in additon to any other rights it may have, including the right to forfeiture and clawback under this Agreement, to obtain injunctve relief to restrain any breach or threatened breach or otherwise to specifcally enforce any provision of this Agreement, and the Company and/or an Afliate will not be obligated to post bond or other security in seeking such relief. Without limitng the Company’s or Afliate’s rights under subsecton 2(j) or any other remedies of the Company or an Afliate, if the Partcipant breaches any covenant described in subsecton 2(j), the Company will have the right to cancel this Agreement.</w:t>
      </w:r>
    </w:p>
    <w:p>
      <w:pPr>
        <w:spacing w:after="0" w:line="46" w:lineRule="exact"/>
        <w:rPr>
          <w:rFonts w:ascii="Arial" w:cs="Arial" w:eastAsia="Arial" w:hAnsi="Arial"/>
          <w:sz w:val="22"/>
          <w:szCs w:val="22"/>
          <w:color w:val="auto"/>
        </w:rPr>
      </w:pPr>
    </w:p>
    <w:p>
      <w:pPr>
        <w:ind w:left="660" w:hanging="328"/>
        <w:spacing w:after="0" w:line="211" w:lineRule="auto"/>
        <w:tabs>
          <w:tab w:leader="none" w:pos="651" w:val="left"/>
        </w:tabs>
        <w:numPr>
          <w:ilvl w:val="0"/>
          <w:numId w:val="48"/>
        </w:numPr>
        <w:rPr>
          <w:rFonts w:ascii="Arial" w:cs="Arial" w:eastAsia="Arial" w:hAnsi="Arial"/>
          <w:sz w:val="22"/>
          <w:szCs w:val="22"/>
          <w:color w:val="auto"/>
        </w:rPr>
      </w:pPr>
      <w:r>
        <w:rPr>
          <w:rFonts w:ascii="Calibri" w:cs="Calibri" w:eastAsia="Calibri" w:hAnsi="Calibri"/>
          <w:sz w:val="18"/>
          <w:szCs w:val="18"/>
          <w:b w:val="1"/>
          <w:bCs w:val="1"/>
          <w:color w:val="auto"/>
        </w:rPr>
        <w:t>Electronic Delivery and Acceptance</w:t>
      </w:r>
      <w:r>
        <w:rPr>
          <w:rFonts w:ascii="Calibri" w:cs="Calibri" w:eastAsia="Calibri" w:hAnsi="Calibri"/>
          <w:sz w:val="18"/>
          <w:szCs w:val="18"/>
          <w:color w:val="auto"/>
        </w:rPr>
        <w:t>. The Partcipant consents to electronic delivery of any Plan documents. The Partcipant consents to any and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procedures that the Company has established or may</w:t>
      </w:r>
    </w:p>
    <w:p>
      <w:pPr>
        <w:sectPr>
          <w:pgSz w:w="11900" w:h="16838" w:orient="portrait"/>
          <w:cols w:equalWidth="0" w:num="1">
            <w:col w:w="11240"/>
          </w:cols>
          <w:pgMar w:left="320" w:top="1395" w:right="339" w:bottom="1440" w:gutter="0" w:footer="0" w:header="0"/>
        </w:sectPr>
      </w:pPr>
    </w:p>
    <w:bookmarkStart w:id="69" w:name="page70"/>
    <w:bookmarkEnd w:id="69"/>
    <w:p>
      <w:pPr>
        <w:jc w:val="both"/>
        <w:ind w:left="660"/>
        <w:spacing w:after="0" w:line="228" w:lineRule="auto"/>
        <w:rPr>
          <w:sz w:val="20"/>
          <w:szCs w:val="20"/>
          <w:color w:val="auto"/>
        </w:rPr>
      </w:pPr>
      <w:r>
        <w:rPr>
          <w:rFonts w:ascii="Calibri" w:cs="Calibri" w:eastAsia="Calibri" w:hAnsi="Calibri"/>
          <w:sz w:val="18"/>
          <w:szCs w:val="18"/>
          <w:color w:val="auto"/>
        </w:rPr>
        <w:t>establish for an electronic signature system for delivery and acceptance of Plan related documents. The Partcipant agrees that his, her or their electronic signature is the same as, and will have the same force and efect as, his, her or their manual signature. The Partcipant understands and agrees that if this Agreement is not accepted within 90 days of the Grant Date, the award is forfeited in full. Partcipant agrees that these procedures and delivery may be efected by a third party engaged by the Company to provide administratve services related to the Plan.</w:t>
      </w:r>
    </w:p>
    <w:p>
      <w:pPr>
        <w:spacing w:after="0" w:line="43" w:lineRule="exact"/>
        <w:rPr>
          <w:sz w:val="20"/>
          <w:szCs w:val="20"/>
          <w:color w:val="auto"/>
        </w:rPr>
      </w:pPr>
    </w:p>
    <w:p>
      <w:pPr>
        <w:jc w:val="both"/>
        <w:ind w:left="660" w:hanging="328"/>
        <w:spacing w:after="0" w:line="222" w:lineRule="auto"/>
        <w:tabs>
          <w:tab w:leader="none" w:pos="652" w:val="left"/>
        </w:tabs>
        <w:numPr>
          <w:ilvl w:val="0"/>
          <w:numId w:val="49"/>
        </w:numPr>
        <w:rPr>
          <w:rFonts w:ascii="Arial" w:cs="Arial" w:eastAsia="Arial" w:hAnsi="Arial"/>
          <w:sz w:val="22"/>
          <w:szCs w:val="22"/>
          <w:color w:val="auto"/>
        </w:rPr>
      </w:pPr>
      <w:r>
        <w:rPr>
          <w:rFonts w:ascii="Calibri" w:cs="Calibri" w:eastAsia="Calibri" w:hAnsi="Calibri"/>
          <w:sz w:val="18"/>
          <w:szCs w:val="18"/>
          <w:b w:val="1"/>
          <w:bCs w:val="1"/>
          <w:color w:val="auto"/>
        </w:rPr>
        <w:t>Right of Set-Of</w:t>
      </w:r>
      <w:r>
        <w:rPr>
          <w:rFonts w:ascii="Calibri" w:cs="Calibri" w:eastAsia="Calibri" w:hAnsi="Calibri"/>
          <w:sz w:val="18"/>
          <w:szCs w:val="18"/>
          <w:color w:val="auto"/>
        </w:rPr>
        <w:t>. If the Company in its reasonable judgment determines that the Partcipant owes the Company or an Afliate any amount due to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loan, obligaton or indebtedness, including amounts owed under the Company’s tax equalizaton program or the Company’s policies with respect to travel and business expenses, and if the Partcipant has not satsfed such obligaton(s), then the Company may instruct the plan administrator to withhold and/or sell Shares acquired by the Partcipant on exercise of the Optons (to the extent such Shares are not subject to Code Secton 409A), or the Company may deduct funds equal to the amount of the obligaton from other funds due to the Partcipant from the Company to the maximum extent permited by Code Secton 409A.</w:t>
      </w:r>
    </w:p>
    <w:p>
      <w:pPr>
        <w:spacing w:after="0" w:line="44" w:lineRule="exact"/>
        <w:rPr>
          <w:rFonts w:ascii="Arial" w:cs="Arial" w:eastAsia="Arial" w:hAnsi="Arial"/>
          <w:sz w:val="22"/>
          <w:szCs w:val="22"/>
          <w:color w:val="auto"/>
        </w:rPr>
      </w:pPr>
    </w:p>
    <w:p>
      <w:pPr>
        <w:jc w:val="both"/>
        <w:ind w:left="660" w:hanging="328"/>
        <w:spacing w:after="0" w:line="219" w:lineRule="auto"/>
        <w:tabs>
          <w:tab w:leader="none" w:pos="651" w:val="left"/>
        </w:tabs>
        <w:numPr>
          <w:ilvl w:val="0"/>
          <w:numId w:val="49"/>
        </w:numPr>
        <w:rPr>
          <w:rFonts w:ascii="Arial" w:cs="Arial" w:eastAsia="Arial" w:hAnsi="Arial"/>
          <w:sz w:val="22"/>
          <w:szCs w:val="22"/>
          <w:color w:val="auto"/>
        </w:rPr>
      </w:pPr>
      <w:r>
        <w:rPr>
          <w:rFonts w:ascii="Calibri" w:cs="Calibri" w:eastAsia="Calibri" w:hAnsi="Calibri"/>
          <w:sz w:val="18"/>
          <w:szCs w:val="18"/>
          <w:b w:val="1"/>
          <w:bCs w:val="1"/>
          <w:color w:val="auto"/>
        </w:rPr>
        <w:t>Data Privacy</w:t>
      </w:r>
      <w:r>
        <w:rPr>
          <w:rFonts w:ascii="Calibri" w:cs="Calibri" w:eastAsia="Calibri" w:hAnsi="Calibri"/>
          <w:sz w:val="18"/>
          <w:szCs w:val="18"/>
          <w:color w:val="auto"/>
        </w:rPr>
        <w:t>. Partcipant acknowledges and consents to the collecton, use, processing and transfer of personal data. Partcipant is not obliged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consent to such collecton, use, processing and transfer of personal data. However, failure to provide the consent may afect Partcipant’s ability to partcipate in the Plan. The Company holds certain personal informaton about Partcipant, that may include his/her name, home address and telephone number, date of birth, social security number or other employee identfcaton number, salary grade, hire data, salary, natonality, job ttle, or details of all optons or performance stock units or any other enttlement to Shares of stock awarded, canceled, purchased, vested, or unvested, for the purpose of managing and administering the Plan (“</w:t>
      </w:r>
      <w:r>
        <w:rPr>
          <w:rFonts w:ascii="Calibri" w:cs="Calibri" w:eastAsia="Calibri" w:hAnsi="Calibri"/>
          <w:sz w:val="21"/>
          <w:szCs w:val="21"/>
          <w:b w:val="1"/>
          <w:bCs w:val="1"/>
          <w:color w:val="auto"/>
        </w:rPr>
        <w:t>Data</w:t>
      </w:r>
      <w:r>
        <w:rPr>
          <w:rFonts w:ascii="Calibri" w:cs="Calibri" w:eastAsia="Calibri" w:hAnsi="Calibri"/>
          <w:sz w:val="18"/>
          <w:szCs w:val="18"/>
          <w:color w:val="auto"/>
        </w:rPr>
        <w:t>”). The Company and its Afliates will transfer Data amongst themselves as necessary for the purpose of implementaton, administraton and management of Partcipant’s partcipaton in the Plan, and the Company or its Afliates may each further transfer Data to any third partes assistng the Company with the implementaton, administraton and management of the Plan. These recipients may be located throughout the world, including the United States. The Partcipant authorizes them to receive, possess, use, retain and transfer the Data, in electronic or other form, for the purposes of implementng, administering and managing partcipaton in the Plan, including any transfer of Data that may be required for the administraton of the Plan and/or the subsequent holding of Shares of stock on Partcipant’s behalf to a broker or other third party with whom Partcipant may elect to deposit any Shares of stock acquired pursuant to the Plan. Partcipant may, at any tme, review Data, require any necessary amendments to it or withdraw this consent in writng by contactng Partcipant’s designated Human Resources professional; however, withdrawing consent may afect Partcipant’s ability to partcipate in the Plan. All Data will be managed in compliance with the Company’s Data Privacy Guidelines and applicable employee notfcatons, which may contain more stringent requirements, but in any case will not be less stringent than this subsecton 2(n).</w:t>
      </w:r>
    </w:p>
    <w:p>
      <w:pPr>
        <w:spacing w:after="0" w:line="47" w:lineRule="exact"/>
        <w:rPr>
          <w:rFonts w:ascii="Arial" w:cs="Arial" w:eastAsia="Arial" w:hAnsi="Arial"/>
          <w:sz w:val="22"/>
          <w:szCs w:val="22"/>
          <w:color w:val="auto"/>
        </w:rPr>
      </w:pPr>
    </w:p>
    <w:p>
      <w:pPr>
        <w:ind w:left="660" w:hanging="328"/>
        <w:spacing w:after="0" w:line="218" w:lineRule="auto"/>
        <w:tabs>
          <w:tab w:leader="none" w:pos="651" w:val="left"/>
        </w:tabs>
        <w:numPr>
          <w:ilvl w:val="0"/>
          <w:numId w:val="49"/>
        </w:numPr>
        <w:rPr>
          <w:rFonts w:ascii="Arial" w:cs="Arial" w:eastAsia="Arial" w:hAnsi="Arial"/>
          <w:sz w:val="22"/>
          <w:szCs w:val="22"/>
          <w:color w:val="auto"/>
        </w:rPr>
      </w:pPr>
      <w:r>
        <w:rPr>
          <w:rFonts w:ascii="Calibri" w:cs="Calibri" w:eastAsia="Calibri" w:hAnsi="Calibri"/>
          <w:sz w:val="18"/>
          <w:szCs w:val="18"/>
          <w:b w:val="1"/>
          <w:bCs w:val="1"/>
          <w:color w:val="auto"/>
        </w:rPr>
        <w:t>Governing Law</w:t>
      </w:r>
      <w:r>
        <w:rPr>
          <w:rFonts w:ascii="Calibri" w:cs="Calibri" w:eastAsia="Calibri" w:hAnsi="Calibri"/>
          <w:sz w:val="18"/>
          <w:szCs w:val="18"/>
          <w:color w:val="auto"/>
        </w:rPr>
        <w:t>. This Agreement is governed and construed in accordance with the laws of the State of Indiana, excluding any conficts or choice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law rule or principle that might otherwise refer constructon or interpretaton of this Agreement to the substantve law of another jurisdicton.</w:t>
      </w:r>
    </w:p>
    <w:p>
      <w:pPr>
        <w:spacing w:after="0" w:line="41" w:lineRule="exact"/>
        <w:rPr>
          <w:rFonts w:ascii="Arial" w:cs="Arial" w:eastAsia="Arial" w:hAnsi="Arial"/>
          <w:sz w:val="22"/>
          <w:szCs w:val="22"/>
          <w:color w:val="auto"/>
        </w:rPr>
      </w:pPr>
    </w:p>
    <w:p>
      <w:pPr>
        <w:jc w:val="both"/>
        <w:ind w:left="660" w:hanging="328"/>
        <w:spacing w:after="0" w:line="219" w:lineRule="auto"/>
        <w:tabs>
          <w:tab w:leader="none" w:pos="659" w:val="left"/>
        </w:tabs>
        <w:numPr>
          <w:ilvl w:val="0"/>
          <w:numId w:val="49"/>
        </w:numPr>
        <w:rPr>
          <w:rFonts w:ascii="Arial" w:cs="Arial" w:eastAsia="Arial" w:hAnsi="Arial"/>
          <w:sz w:val="22"/>
          <w:szCs w:val="22"/>
          <w:color w:val="auto"/>
        </w:rPr>
      </w:pPr>
      <w:r>
        <w:rPr>
          <w:rFonts w:ascii="Calibri" w:cs="Calibri" w:eastAsia="Calibri" w:hAnsi="Calibri"/>
          <w:sz w:val="18"/>
          <w:szCs w:val="18"/>
          <w:b w:val="1"/>
          <w:bCs w:val="1"/>
          <w:color w:val="auto"/>
        </w:rPr>
        <w:t>Consent to Jurisdicton</w:t>
      </w:r>
      <w:r>
        <w:rPr>
          <w:rFonts w:ascii="Calibri" w:cs="Calibri" w:eastAsia="Calibri" w:hAnsi="Calibri"/>
          <w:sz w:val="18"/>
          <w:szCs w:val="18"/>
          <w:color w:val="auto"/>
        </w:rPr>
        <w:t>. Each party hereby submits and consents to the exclusive jurisdicton of the state or federal courts in the State of Indiana,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in each case, appellate courts therefrom, with respect to any suit, acton or proceeding brought by any party arising under or relatng to this Agreement.</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By signing a copy of this Agreement, the Partcipant acknowledges that s/he has received a copy of the Plan and that s/he has read and understands the Plan and this Agreement and agrees to their terms and conditons. The Partcipant also acknowledges that the Optons awarded under to this Agreement must be exercised prior to the</w:t>
      </w:r>
    </w:p>
    <w:p>
      <w:pPr>
        <w:sectPr>
          <w:pgSz w:w="11900" w:h="16838" w:orient="portrait"/>
          <w:cols w:equalWidth="0" w:num="1">
            <w:col w:w="11240"/>
          </w:cols>
          <w:pgMar w:left="320" w:top="1427" w:right="339" w:bottom="1440" w:gutter="0" w:footer="0" w:header="0"/>
        </w:sectPr>
      </w:pPr>
    </w:p>
    <w:bookmarkStart w:id="70" w:name="page71"/>
    <w:bookmarkEnd w:id="70"/>
    <w:p>
      <w:pPr>
        <w:spacing w:after="0" w:line="227" w:lineRule="auto"/>
        <w:rPr>
          <w:sz w:val="20"/>
          <w:szCs w:val="20"/>
          <w:color w:val="auto"/>
        </w:rPr>
      </w:pPr>
      <w:r>
        <w:rPr>
          <w:rFonts w:ascii="Calibri" w:cs="Calibri" w:eastAsia="Calibri" w:hAnsi="Calibri"/>
          <w:sz w:val="18"/>
          <w:szCs w:val="18"/>
          <w:i w:val="1"/>
          <w:iCs w:val="1"/>
          <w:color w:val="auto"/>
        </w:rPr>
        <w:t>expiraton date, that it is the Partcipant's responsibility to exercise the Optons, and that the Company has no further responsibility to notfy the Partcipant of the expiraton of the Optons.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Agreed to: </w:t>
      </w:r>
      <w:r>
        <w:rPr>
          <w:rFonts w:ascii="Calibri" w:cs="Calibri" w:eastAsia="Calibri" w:hAnsi="Calibri"/>
          <w:sz w:val="21"/>
          <w:szCs w:val="21"/>
          <w:b w:val="1"/>
          <w:bCs w:val="1"/>
          <w:color w:val="auto"/>
        </w:rPr>
        <w:t>XYLEM INC.</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 _____________________________</w:t>
      </w:r>
    </w:p>
    <w:p>
      <w:pPr>
        <w:spacing w:after="0" w:line="235" w:lineRule="auto"/>
        <w:rPr>
          <w:sz w:val="20"/>
          <w:szCs w:val="20"/>
          <w:color w:val="auto"/>
        </w:rPr>
      </w:pPr>
      <w:r>
        <w:rPr>
          <w:rFonts w:ascii="Calibri" w:cs="Calibri" w:eastAsia="Calibri" w:hAnsi="Calibri"/>
          <w:sz w:val="18"/>
          <w:szCs w:val="18"/>
          <w:color w:val="auto"/>
        </w:rPr>
        <w:t>Partcipant Mathew Pine, President and CEO</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(Online Acceptance Consttutes Agreement)</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Dated: _________________ Dated: ###GRANT_DATE###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Appendix A Non-Competton Covenant</w:t>
      </w:r>
    </w:p>
    <w:p>
      <w:pPr>
        <w:spacing w:after="0" w:line="2"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22"/>
          <w:szCs w:val="22"/>
          <w:color w:val="auto"/>
        </w:rPr>
      </w:pPr>
      <w:r>
        <w:rPr>
          <w:rFonts w:ascii="Calibri" w:cs="Calibri" w:eastAsia="Calibri" w:hAnsi="Calibri"/>
          <w:sz w:val="18"/>
          <w:szCs w:val="18"/>
          <w:u w:val="single" w:color="auto"/>
          <w:color w:val="auto"/>
        </w:rPr>
        <w:t>Defnitons</w:t>
      </w:r>
      <w:r>
        <w:rPr>
          <w:rFonts w:ascii="Calibri" w:cs="Calibri" w:eastAsia="Calibri" w:hAnsi="Calibri"/>
          <w:sz w:val="18"/>
          <w:szCs w:val="18"/>
          <w:color w:val="auto"/>
        </w:rPr>
        <w:t>.</w:t>
      </w:r>
    </w:p>
    <w:p>
      <w:pPr>
        <w:spacing w:after="0" w:line="17" w:lineRule="exact"/>
        <w:rPr>
          <w:sz w:val="20"/>
          <w:szCs w:val="20"/>
          <w:color w:val="auto"/>
        </w:rPr>
      </w:pPr>
    </w:p>
    <w:p>
      <w:pPr>
        <w:jc w:val="both"/>
        <w:ind w:left="660" w:hanging="328"/>
        <w:spacing w:after="0" w:line="224" w:lineRule="auto"/>
        <w:tabs>
          <w:tab w:leader="none" w:pos="651" w:val="left"/>
        </w:tabs>
        <w:numPr>
          <w:ilvl w:val="0"/>
          <w:numId w:val="51"/>
        </w:numPr>
        <w:rPr>
          <w:rFonts w:ascii="Arial" w:cs="Arial" w:eastAsia="Arial" w:hAnsi="Arial"/>
          <w:sz w:val="22"/>
          <w:szCs w:val="22"/>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Competng Products</w:t>
      </w:r>
      <w:r>
        <w:rPr>
          <w:rFonts w:ascii="Calibri" w:cs="Calibri" w:eastAsia="Calibri" w:hAnsi="Calibri"/>
          <w:sz w:val="18"/>
          <w:szCs w:val="18"/>
          <w:color w:val="auto"/>
        </w:rPr>
        <w:t>” means products or services sold by the Company and/or its Afliates</w:t>
      </w:r>
      <w:r>
        <w:rPr>
          <w:rFonts w:ascii="Calibri" w:cs="Calibri" w:eastAsia="Calibri" w:hAnsi="Calibri"/>
          <w:sz w:val="18"/>
          <w:szCs w:val="18"/>
          <w:color w:val="0000FF"/>
        </w:rPr>
        <w:t>[1]</w:t>
      </w:r>
      <w:r>
        <w:rPr>
          <w:rFonts w:ascii="Calibri" w:cs="Calibri" w:eastAsia="Calibri" w:hAnsi="Calibri"/>
          <w:sz w:val="18"/>
          <w:szCs w:val="18"/>
          <w:color w:val="auto"/>
        </w:rPr>
        <w:t>, or any prospectve product or service the Company and/or its Afliates took steps to develop, and for which the Partcipant had any responsibility during the 24 months preceding the terminaton of the Partcipant’s employment;</w:t>
      </w:r>
    </w:p>
    <w:p>
      <w:pPr>
        <w:spacing w:after="0" w:line="11" w:lineRule="exact"/>
        <w:rPr>
          <w:rFonts w:ascii="Arial" w:cs="Arial" w:eastAsia="Arial" w:hAnsi="Arial"/>
          <w:sz w:val="22"/>
          <w:szCs w:val="22"/>
          <w:color w:val="auto"/>
        </w:rPr>
      </w:pPr>
    </w:p>
    <w:p>
      <w:pPr>
        <w:ind w:left="660" w:hanging="328"/>
        <w:spacing w:after="0" w:line="230" w:lineRule="auto"/>
        <w:tabs>
          <w:tab w:leader="none" w:pos="651" w:val="left"/>
        </w:tabs>
        <w:numPr>
          <w:ilvl w:val="0"/>
          <w:numId w:val="51"/>
        </w:numPr>
        <w:rPr>
          <w:rFonts w:ascii="Arial" w:cs="Arial" w:eastAsia="Arial" w:hAnsi="Arial"/>
          <w:sz w:val="22"/>
          <w:szCs w:val="22"/>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Restricted Territory</w:t>
      </w:r>
      <w:r>
        <w:rPr>
          <w:rFonts w:ascii="Calibri" w:cs="Calibri" w:eastAsia="Calibri" w:hAnsi="Calibri"/>
          <w:sz w:val="18"/>
          <w:szCs w:val="18"/>
          <w:color w:val="auto"/>
        </w:rPr>
        <w:t>” means the geographic territory over which the Partcipant had responsibility during the 24 months preceding the terminaton of the Partcipant’s employment.</w:t>
      </w:r>
    </w:p>
    <w:p>
      <w:pPr>
        <w:spacing w:after="0" w:line="3"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22"/>
          <w:szCs w:val="22"/>
          <w:color w:val="auto"/>
        </w:rPr>
      </w:pPr>
      <w:r>
        <w:rPr>
          <w:rFonts w:ascii="Calibri" w:cs="Calibri" w:eastAsia="Calibri" w:hAnsi="Calibri"/>
          <w:sz w:val="18"/>
          <w:szCs w:val="18"/>
          <w:u w:val="single" w:color="auto"/>
          <w:color w:val="auto"/>
        </w:rPr>
        <w:t>Non-Competton</w:t>
      </w:r>
      <w:r>
        <w:rPr>
          <w:rFonts w:ascii="Calibri" w:cs="Calibri" w:eastAsia="Calibri" w:hAnsi="Calibri"/>
          <w:sz w:val="18"/>
          <w:szCs w:val="18"/>
          <w:color w:val="auto"/>
        </w:rPr>
        <w:t>.</w:t>
      </w:r>
    </w:p>
    <w:p>
      <w:pPr>
        <w:spacing w:after="0" w:line="24" w:lineRule="exact"/>
        <w:rPr>
          <w:sz w:val="20"/>
          <w:szCs w:val="20"/>
          <w:color w:val="auto"/>
        </w:rPr>
      </w:pPr>
    </w:p>
    <w:p>
      <w:pPr>
        <w:ind w:firstLine="324"/>
        <w:spacing w:after="0" w:line="208" w:lineRule="auto"/>
        <w:rPr>
          <w:sz w:val="20"/>
          <w:szCs w:val="20"/>
          <w:color w:val="auto"/>
        </w:rPr>
      </w:pPr>
      <w:r>
        <w:rPr>
          <w:rFonts w:ascii="Calibri" w:cs="Calibri" w:eastAsia="Calibri" w:hAnsi="Calibri"/>
          <w:sz w:val="18"/>
          <w:szCs w:val="18"/>
          <w:color w:val="auto"/>
        </w:rPr>
        <w:t>During the Partcipant’s employment and for 12 months afer terminaton of the Partcipant’s employment, the Partcipant will not directly or indirectly, on behalf of the Partcipant or in conjuncton with any other person or entty:</w:t>
      </w:r>
    </w:p>
    <w:p>
      <w:pPr>
        <w:spacing w:after="0" w:line="2"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22"/>
          <w:szCs w:val="22"/>
          <w:color w:val="auto"/>
        </w:rPr>
      </w:pPr>
      <w:r>
        <w:rPr>
          <w:rFonts w:ascii="Calibri" w:cs="Calibri" w:eastAsia="Calibri" w:hAnsi="Calibri"/>
          <w:sz w:val="18"/>
          <w:szCs w:val="18"/>
          <w:color w:val="auto"/>
        </w:rPr>
        <w:t>own, invest in, or provide fnancing to any business that sells Competng Products in the Restricted Territory;</w:t>
      </w:r>
    </w:p>
    <w:p>
      <w:pPr>
        <w:spacing w:after="0" w:line="28"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53"/>
        </w:numPr>
        <w:rPr>
          <w:rFonts w:ascii="Arial" w:cs="Arial" w:eastAsia="Arial" w:hAnsi="Arial"/>
          <w:sz w:val="22"/>
          <w:szCs w:val="22"/>
          <w:color w:val="auto"/>
        </w:rPr>
      </w:pPr>
      <w:r>
        <w:rPr>
          <w:rFonts w:ascii="Calibri" w:cs="Calibri" w:eastAsia="Calibri" w:hAnsi="Calibri"/>
          <w:sz w:val="18"/>
          <w:szCs w:val="18"/>
          <w:color w:val="auto"/>
        </w:rPr>
        <w:t>work in the Restricted Territory for any person or entty that sells Competng Products, in any role: (1) that is similar to any positon the Partcipant held with the Company and its Afliates during the 24 months preceding the terminaton of the Partcipant’s employment, (2) that is executve, leadership, managerial, or strategic in nature, or (3) that may cause the Partcipant to inevitably rely upon or disclose the Company’s and/or its Afliates’ confdental or proprietary informaton or trade secrets.</w:t>
      </w:r>
    </w:p>
    <w:p>
      <w:pPr>
        <w:spacing w:after="0" w:line="45" w:lineRule="exact"/>
        <w:rPr>
          <w:sz w:val="20"/>
          <w:szCs w:val="20"/>
          <w:color w:val="auto"/>
        </w:rPr>
      </w:pPr>
    </w:p>
    <w:p>
      <w:pPr>
        <w:ind w:left="660" w:hanging="328"/>
        <w:spacing w:after="0" w:line="211" w:lineRule="auto"/>
        <w:tabs>
          <w:tab w:leader="none" w:pos="651" w:val="left"/>
        </w:tabs>
        <w:numPr>
          <w:ilvl w:val="0"/>
          <w:numId w:val="54"/>
        </w:numPr>
        <w:rPr>
          <w:rFonts w:ascii="Arial" w:cs="Arial" w:eastAsia="Arial" w:hAnsi="Arial"/>
          <w:sz w:val="22"/>
          <w:szCs w:val="22"/>
          <w:color w:val="auto"/>
        </w:rPr>
      </w:pPr>
      <w:r>
        <w:rPr>
          <w:rFonts w:ascii="Calibri" w:cs="Calibri" w:eastAsia="Calibri" w:hAnsi="Calibri"/>
          <w:sz w:val="18"/>
          <w:szCs w:val="18"/>
          <w:u w:val="single" w:color="auto"/>
          <w:color w:val="auto"/>
        </w:rPr>
        <w:t>Jurisdicton-and Other Specifc Requirements</w:t>
      </w:r>
      <w:r>
        <w:rPr>
          <w:rFonts w:ascii="Calibri" w:cs="Calibri" w:eastAsia="Calibri" w:hAnsi="Calibri"/>
          <w:sz w:val="18"/>
          <w:szCs w:val="18"/>
          <w:color w:val="auto"/>
        </w:rPr>
        <w:t>. A Partcipant residing in a jurisdicton identfed on Exhibit 1 will be subject to the jurisdicton-specifc and other applicable requirements set forth on Exhibit 1.</w:t>
      </w:r>
    </w:p>
    <w:p>
      <w:pPr>
        <w:spacing w:after="0" w:line="41"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54"/>
        </w:numPr>
        <w:rPr>
          <w:rFonts w:ascii="Arial" w:cs="Arial" w:eastAsia="Arial" w:hAnsi="Arial"/>
          <w:sz w:val="22"/>
          <w:szCs w:val="22"/>
          <w:color w:val="auto"/>
        </w:rPr>
      </w:pPr>
      <w:r>
        <w:rPr>
          <w:rFonts w:ascii="Calibri" w:cs="Calibri" w:eastAsia="Calibri" w:hAnsi="Calibri"/>
          <w:sz w:val="18"/>
          <w:szCs w:val="18"/>
          <w:u w:val="single" w:color="auto"/>
          <w:color w:val="auto"/>
        </w:rPr>
        <w:t>Subsequent Employment Protocol</w:t>
      </w:r>
      <w:r>
        <w:rPr>
          <w:rFonts w:ascii="Calibri" w:cs="Calibri" w:eastAsia="Calibri" w:hAnsi="Calibri"/>
          <w:sz w:val="18"/>
          <w:szCs w:val="18"/>
          <w:color w:val="auto"/>
        </w:rPr>
        <w:t>. During the Partcipant’s employment and for 12 months afer terminaton of the Partcipant’s employment, prior to acceptng employment with any person or entty, the Partcipant will provide the Partcipant’s prospectve employer with a copy of this Agreement, which includes the Partcipant Obligatons. Additonally, at least 7 days before acceptng subsequent employment, the Partcipant will notfy the Company of the Partcipant’s prospectve employer’s name, address and telephone number, and a descripton of the job dutes and geographic locaton for which the Partcipant is being considered.</w:t>
      </w:r>
    </w:p>
    <w:p>
      <w:pPr>
        <w:spacing w:after="0" w:line="6" w:lineRule="exact"/>
        <w:rPr>
          <w:rFonts w:ascii="Arial" w:cs="Arial" w:eastAsia="Arial" w:hAnsi="Arial"/>
          <w:sz w:val="22"/>
          <w:szCs w:val="22"/>
          <w:color w:val="auto"/>
        </w:rPr>
      </w:pPr>
    </w:p>
    <w:p>
      <w:pPr>
        <w:ind w:left="640" w:hanging="308"/>
        <w:spacing w:after="0"/>
        <w:tabs>
          <w:tab w:leader="none" w:pos="640" w:val="left"/>
        </w:tabs>
        <w:numPr>
          <w:ilvl w:val="0"/>
          <w:numId w:val="54"/>
        </w:numPr>
        <w:rPr>
          <w:rFonts w:ascii="Arial" w:cs="Arial" w:eastAsia="Arial" w:hAnsi="Arial"/>
          <w:sz w:val="22"/>
          <w:szCs w:val="22"/>
          <w:color w:val="auto"/>
        </w:rPr>
      </w:pPr>
      <w:r>
        <w:rPr>
          <w:rFonts w:ascii="Calibri" w:cs="Calibri" w:eastAsia="Calibri" w:hAnsi="Calibri"/>
          <w:sz w:val="18"/>
          <w:szCs w:val="18"/>
          <w:u w:val="single" w:color="auto"/>
          <w:color w:val="auto"/>
        </w:rPr>
        <w:t>Certfcatons</w:t>
      </w:r>
      <w:r>
        <w:rPr>
          <w:rFonts w:ascii="Calibri" w:cs="Calibri" w:eastAsia="Calibri" w:hAnsi="Calibri"/>
          <w:sz w:val="18"/>
          <w:szCs w:val="18"/>
          <w:color w:val="auto"/>
        </w:rPr>
        <w:t>. By executng this Agreement, which includes the Partcipant Obligatons set forth above, the Partcipant certfes that the Partcipant:</w:t>
      </w:r>
    </w:p>
    <w:p>
      <w:pPr>
        <w:spacing w:after="0" w:line="23" w:lineRule="exact"/>
        <w:rPr>
          <w:rFonts w:ascii="Arial" w:cs="Arial" w:eastAsia="Arial" w:hAnsi="Arial"/>
          <w:sz w:val="22"/>
          <w:szCs w:val="22"/>
          <w:color w:val="auto"/>
        </w:rPr>
      </w:pPr>
    </w:p>
    <w:p>
      <w:pPr>
        <w:ind w:left="660" w:hanging="4"/>
        <w:spacing w:after="0" w:line="200" w:lineRule="auto"/>
        <w:tabs>
          <w:tab w:leader="none" w:pos="917"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has not and will not use or disclose to the Company or its Afliates any confdental informaton and/or trade secrets belonging to others, including the Partcipant’s prior employers; (b) will not use any prior inventons made by the Partcipant and which the Company and</w:t>
      </w:r>
    </w:p>
    <w:p>
      <w:pPr>
        <w:sectPr>
          <w:pgSz w:w="11900" w:h="16838" w:orient="portrait"/>
          <w:cols w:equalWidth="0" w:num="1">
            <w:col w:w="11240"/>
          </w:cols>
          <w:pgMar w:left="320" w:top="1400" w:right="339" w:bottom="1440" w:gutter="0" w:footer="0" w:header="0"/>
        </w:sectPr>
      </w:pPr>
    </w:p>
    <w:bookmarkStart w:id="71" w:name="page72"/>
    <w:bookmarkEnd w:id="71"/>
    <w:p>
      <w:pPr>
        <w:ind w:left="660"/>
        <w:spacing w:after="0" w:line="227" w:lineRule="auto"/>
        <w:rPr>
          <w:sz w:val="20"/>
          <w:szCs w:val="20"/>
          <w:color w:val="auto"/>
        </w:rPr>
      </w:pPr>
      <w:r>
        <w:rPr>
          <w:rFonts w:ascii="Calibri" w:cs="Calibri" w:eastAsia="Calibri" w:hAnsi="Calibri"/>
          <w:sz w:val="18"/>
          <w:szCs w:val="18"/>
          <w:color w:val="auto"/>
        </w:rPr>
        <w:t>its Afliates is not legally enttled to learn of or use; and (c) is not subject to any prior agreements that would prevent the Partcipant from fully performing the Partcipant’s dutes for the Company and its Afliates.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Exhibit 1</w:t>
      </w:r>
    </w:p>
    <w:p>
      <w:pPr>
        <w:jc w:val="center"/>
        <w:spacing w:after="0" w:line="221" w:lineRule="auto"/>
        <w:rPr>
          <w:sz w:val="20"/>
          <w:szCs w:val="20"/>
          <w:color w:val="auto"/>
        </w:rPr>
      </w:pPr>
      <w:r>
        <w:rPr>
          <w:rFonts w:ascii="Calibri" w:cs="Calibri" w:eastAsia="Calibri" w:hAnsi="Calibri"/>
          <w:sz w:val="18"/>
          <w:szCs w:val="18"/>
          <w:b w:val="1"/>
          <w:bCs w:val="1"/>
          <w:u w:val="single" w:color="auto"/>
          <w:color w:val="auto"/>
        </w:rPr>
        <w:t>State and Other Specifc Requirements</w:t>
      </w:r>
    </w:p>
    <w:p>
      <w:pPr>
        <w:jc w:val="center"/>
        <w:spacing w:after="0" w:line="221" w:lineRule="auto"/>
        <w:rPr>
          <w:sz w:val="20"/>
          <w:szCs w:val="20"/>
          <w:color w:val="auto"/>
        </w:rPr>
      </w:pPr>
      <w:r>
        <w:rPr>
          <w:rFonts w:ascii="Calibri" w:cs="Calibri" w:eastAsia="Calibri" w:hAnsi="Calibri"/>
          <w:sz w:val="18"/>
          <w:szCs w:val="18"/>
          <w:b w:val="1"/>
          <w:bCs w:val="1"/>
          <w:color w:val="auto"/>
        </w:rPr>
        <w:t>COLORADO</w:t>
      </w:r>
    </w:p>
    <w:p>
      <w:pPr>
        <w:jc w:val="both"/>
        <w:ind w:firstLine="648"/>
        <w:spacing w:after="0"/>
        <w:rPr>
          <w:sz w:val="20"/>
          <w:szCs w:val="20"/>
          <w:color w:val="auto"/>
        </w:rPr>
      </w:pPr>
      <w:r>
        <w:rPr>
          <w:rFonts w:ascii="Calibri" w:cs="Calibri" w:eastAsia="Calibri" w:hAnsi="Calibri"/>
          <w:sz w:val="18"/>
          <w:szCs w:val="18"/>
          <w:color w:val="auto"/>
        </w:rPr>
        <w:t xml:space="preserve">Paragraph 2(j)(v) </w:t>
      </w:r>
      <w:r>
        <w:rPr>
          <w:rFonts w:ascii="Calibri" w:cs="Calibri" w:eastAsia="Calibri" w:hAnsi="Calibri"/>
          <w:sz w:val="21"/>
          <w:szCs w:val="21"/>
          <w:color w:val="auto"/>
        </w:rPr>
        <w:t>does not apply unless the employee who, when the covenant not to compete is signed and when it is</w:t>
      </w:r>
      <w:r>
        <w:rPr>
          <w:rFonts w:ascii="Calibri" w:cs="Calibri" w:eastAsia="Calibri" w:hAnsi="Calibri"/>
          <w:sz w:val="18"/>
          <w:szCs w:val="18"/>
          <w:color w:val="auto"/>
        </w:rPr>
        <w:t xml:space="preserve"> </w:t>
      </w:r>
      <w:r>
        <w:rPr>
          <w:rFonts w:ascii="Calibri" w:cs="Calibri" w:eastAsia="Calibri" w:hAnsi="Calibri"/>
          <w:sz w:val="21"/>
          <w:szCs w:val="21"/>
          <w:color w:val="auto"/>
        </w:rPr>
        <w:t xml:space="preserve">enforced, earns at least $112,500 as of 2023 (adjusted on a yearly basis). </w:t>
      </w:r>
      <w:r>
        <w:rPr>
          <w:rFonts w:ascii="Calibri" w:cs="Calibri" w:eastAsia="Calibri" w:hAnsi="Calibri"/>
          <w:sz w:val="17"/>
          <w:szCs w:val="17"/>
          <w:color w:val="auto"/>
        </w:rPr>
        <w:t>Paragraph 2(j)(iv)</w:t>
      </w:r>
      <w:r>
        <w:rPr>
          <w:rFonts w:ascii="Calibri" w:cs="Calibri" w:eastAsia="Calibri" w:hAnsi="Calibri"/>
          <w:sz w:val="21"/>
          <w:szCs w:val="21"/>
          <w:color w:val="auto"/>
        </w:rPr>
        <w:t xml:space="preserve"> does not apply unless the employee who, when the covenant not to solicit is entered and when it is enforced, earns at least $67,500 as of 2023 (adjusted on a yearly basis).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DISTRICT OF COLUMBIA</w:t>
      </w:r>
    </w:p>
    <w:p>
      <w:pPr>
        <w:jc w:val="both"/>
        <w:ind w:firstLine="648"/>
        <w:spacing w:after="0" w:line="221" w:lineRule="auto"/>
        <w:rPr>
          <w:sz w:val="20"/>
          <w:szCs w:val="20"/>
          <w:color w:val="auto"/>
        </w:rPr>
      </w:pPr>
      <w:r>
        <w:rPr>
          <w:rFonts w:ascii="Calibri" w:cs="Calibri" w:eastAsia="Calibri" w:hAnsi="Calibri"/>
          <w:sz w:val="18"/>
          <w:szCs w:val="18"/>
          <w:color w:val="auto"/>
        </w:rPr>
        <w:t>Paragraph 2(j)(v) does not apply to employees earning less than $150,000 in 2023. This amount may increase each calendar year according to the Consumer Price Index for All Urban Consumers in the Washington Metropolitan Statstcal Area.</w:t>
      </w:r>
    </w:p>
    <w:p>
      <w:pPr>
        <w:jc w:val="center"/>
        <w:spacing w:after="0" w:line="221" w:lineRule="auto"/>
        <w:rPr>
          <w:sz w:val="20"/>
          <w:szCs w:val="20"/>
          <w:color w:val="auto"/>
        </w:rPr>
      </w:pPr>
      <w:r>
        <w:rPr>
          <w:rFonts w:ascii="Calibri" w:cs="Calibri" w:eastAsia="Calibri" w:hAnsi="Calibri"/>
          <w:sz w:val="18"/>
          <w:szCs w:val="18"/>
          <w:b w:val="1"/>
          <w:bCs w:val="1"/>
          <w:color w:val="auto"/>
        </w:rPr>
        <w:t>GEORGIA</w:t>
      </w:r>
    </w:p>
    <w:p>
      <w:pPr>
        <w:jc w:val="both"/>
        <w:ind w:right="20" w:firstLine="648"/>
        <w:spacing w:after="0" w:line="221" w:lineRule="auto"/>
        <w:rPr>
          <w:sz w:val="20"/>
          <w:szCs w:val="20"/>
          <w:color w:val="auto"/>
        </w:rPr>
      </w:pPr>
      <w:r>
        <w:rPr>
          <w:rFonts w:ascii="Calibri" w:cs="Calibri" w:eastAsia="Calibri" w:hAnsi="Calibri"/>
          <w:sz w:val="18"/>
          <w:szCs w:val="18"/>
          <w:color w:val="auto"/>
        </w:rPr>
        <w:t>For employees residing in Georgia, Paragraph 2(j)(iv) shall apply in the United States, which the employee agrees is a reasonable geographic territory in which the Company and/or an Afliate does business.</w:t>
      </w:r>
    </w:p>
    <w:p>
      <w:pPr>
        <w:jc w:val="center"/>
        <w:spacing w:after="0" w:line="221" w:lineRule="auto"/>
        <w:rPr>
          <w:sz w:val="20"/>
          <w:szCs w:val="20"/>
          <w:color w:val="auto"/>
        </w:rPr>
      </w:pPr>
      <w:r>
        <w:rPr>
          <w:rFonts w:ascii="Calibri" w:cs="Calibri" w:eastAsia="Calibri" w:hAnsi="Calibri"/>
          <w:sz w:val="18"/>
          <w:szCs w:val="18"/>
          <w:b w:val="1"/>
          <w:bCs w:val="1"/>
          <w:color w:val="auto"/>
        </w:rPr>
        <w:t>ILLINOIS</w:t>
      </w:r>
    </w:p>
    <w:p>
      <w:pPr>
        <w:ind w:left="660"/>
        <w:spacing w:after="0" w:line="234" w:lineRule="auto"/>
        <w:rPr>
          <w:sz w:val="20"/>
          <w:szCs w:val="20"/>
          <w:color w:val="auto"/>
        </w:rPr>
      </w:pPr>
      <w:r>
        <w:rPr>
          <w:rFonts w:ascii="Calibri" w:cs="Calibri" w:eastAsia="Calibri" w:hAnsi="Calibri"/>
          <w:sz w:val="17"/>
          <w:szCs w:val="17"/>
          <w:color w:val="auto"/>
        </w:rPr>
        <w:t>Paragraph 2(j)(v) does not apply unless the employee’s annual compensaton exceeds $75,000 per year (which statutorily increases every fve years).</w:t>
      </w:r>
    </w:p>
    <w:p>
      <w:pPr>
        <w:spacing w:after="0" w:line="221" w:lineRule="auto"/>
        <w:rPr>
          <w:sz w:val="20"/>
          <w:szCs w:val="20"/>
          <w:color w:val="auto"/>
        </w:rPr>
      </w:pPr>
      <w:r>
        <w:rPr>
          <w:rFonts w:ascii="Calibri" w:cs="Calibri" w:eastAsia="Calibri" w:hAnsi="Calibri"/>
          <w:sz w:val="18"/>
          <w:szCs w:val="18"/>
          <w:color w:val="auto"/>
        </w:rPr>
        <w:t>Paragraph 2(j)(iv) does not apply unless the employee’s annual compensaton exceeds $45,000 per year (which statutorily increases every 5 years).</w:t>
      </w:r>
    </w:p>
    <w:p>
      <w:pPr>
        <w:ind w:left="5220"/>
        <w:spacing w:after="0" w:line="222" w:lineRule="auto"/>
        <w:rPr>
          <w:sz w:val="20"/>
          <w:szCs w:val="20"/>
          <w:color w:val="auto"/>
        </w:rPr>
      </w:pPr>
      <w:r>
        <w:rPr>
          <w:rFonts w:ascii="Calibri" w:cs="Calibri" w:eastAsia="Calibri" w:hAnsi="Calibri"/>
          <w:sz w:val="18"/>
          <w:szCs w:val="18"/>
          <w:b w:val="1"/>
          <w:bCs w:val="1"/>
          <w:color w:val="auto"/>
        </w:rPr>
        <w:t>LOUISIANA</w:t>
      </w:r>
    </w:p>
    <w:p>
      <w:pPr>
        <w:ind w:left="660"/>
        <w:spacing w:after="0" w:line="206" w:lineRule="auto"/>
        <w:rPr>
          <w:sz w:val="20"/>
          <w:szCs w:val="20"/>
          <w:color w:val="auto"/>
        </w:rPr>
      </w:pPr>
      <w:r>
        <w:rPr>
          <w:rFonts w:ascii="Calibri" w:cs="Calibri" w:eastAsia="Calibri" w:hAnsi="Calibri"/>
          <w:sz w:val="18"/>
          <w:szCs w:val="18"/>
          <w:color w:val="auto"/>
        </w:rPr>
        <w:t>For employees who perform work in Louisiana, Paragraphs 2(j)(iv) and 2(j)(v) shall only apply in the St Tammany Parish.</w:t>
      </w:r>
    </w:p>
    <w:p>
      <w:pPr>
        <w:jc w:val="center"/>
        <w:spacing w:after="0" w:line="221" w:lineRule="auto"/>
        <w:rPr>
          <w:sz w:val="20"/>
          <w:szCs w:val="20"/>
          <w:color w:val="auto"/>
        </w:rPr>
      </w:pPr>
      <w:r>
        <w:rPr>
          <w:rFonts w:ascii="Calibri" w:cs="Calibri" w:eastAsia="Calibri" w:hAnsi="Calibri"/>
          <w:sz w:val="18"/>
          <w:szCs w:val="18"/>
          <w:b w:val="1"/>
          <w:bCs w:val="1"/>
          <w:color w:val="auto"/>
        </w:rPr>
        <w:t>MAINE</w:t>
      </w:r>
    </w:p>
    <w:p>
      <w:pPr>
        <w:spacing w:after="0" w:line="1"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Maine when this Agreement is signed, Paragraphs 2(j)(iv) and 2(j)(v) do not take efect untl 6 months afer the Agreement is signed, or 12 months afer the employee’s start of employment with the Company and/or an Afliate for 12 months, whichever is later.</w:t>
      </w:r>
    </w:p>
    <w:p>
      <w:pPr>
        <w:ind w:left="5200"/>
        <w:spacing w:after="0" w:line="221" w:lineRule="auto"/>
        <w:rPr>
          <w:sz w:val="20"/>
          <w:szCs w:val="20"/>
          <w:color w:val="auto"/>
        </w:rPr>
      </w:pPr>
      <w:r>
        <w:rPr>
          <w:rFonts w:ascii="Calibri" w:cs="Calibri" w:eastAsia="Calibri" w:hAnsi="Calibri"/>
          <w:sz w:val="18"/>
          <w:szCs w:val="18"/>
          <w:b w:val="1"/>
          <w:bCs w:val="1"/>
          <w:color w:val="auto"/>
        </w:rPr>
        <w:t>MARYLAND</w:t>
      </w:r>
    </w:p>
    <w:p>
      <w:pPr>
        <w:ind w:left="660"/>
        <w:spacing w:after="0" w:line="221" w:lineRule="auto"/>
        <w:rPr>
          <w:sz w:val="20"/>
          <w:szCs w:val="20"/>
          <w:color w:val="auto"/>
        </w:rPr>
      </w:pPr>
      <w:r>
        <w:rPr>
          <w:rFonts w:ascii="Calibri" w:cs="Calibri" w:eastAsia="Calibri" w:hAnsi="Calibri"/>
          <w:sz w:val="18"/>
          <w:szCs w:val="18"/>
          <w:color w:val="auto"/>
        </w:rPr>
        <w:t>Paragraph 2(j)(v) does not apply if the employee earns equal to or less than (a) $15 per hour; or (b) $31,200 annually.</w:t>
      </w:r>
    </w:p>
    <w:p>
      <w:pPr>
        <w:ind w:left="4980"/>
        <w:spacing w:after="0" w:line="221" w:lineRule="auto"/>
        <w:rPr>
          <w:sz w:val="20"/>
          <w:szCs w:val="20"/>
          <w:color w:val="auto"/>
        </w:rPr>
      </w:pPr>
      <w:r>
        <w:rPr>
          <w:rFonts w:ascii="Calibri" w:cs="Calibri" w:eastAsia="Calibri" w:hAnsi="Calibri"/>
          <w:sz w:val="18"/>
          <w:szCs w:val="18"/>
          <w:b w:val="1"/>
          <w:bCs w:val="1"/>
          <w:color w:val="auto"/>
        </w:rPr>
        <w:t>MASSACHUSETTS</w:t>
      </w:r>
    </w:p>
    <w:p>
      <w:pPr>
        <w:spacing w:after="0" w:line="15" w:lineRule="exact"/>
        <w:rPr>
          <w:sz w:val="20"/>
          <w:szCs w:val="20"/>
          <w:color w:val="auto"/>
        </w:rPr>
      </w:pPr>
    </w:p>
    <w:p>
      <w:pPr>
        <w:jc w:val="both"/>
        <w:ind w:firstLine="648"/>
        <w:spacing w:after="0" w:line="226" w:lineRule="auto"/>
        <w:rPr>
          <w:sz w:val="20"/>
          <w:szCs w:val="20"/>
          <w:color w:val="auto"/>
        </w:rPr>
      </w:pPr>
      <w:r>
        <w:rPr>
          <w:rFonts w:ascii="Calibri" w:cs="Calibri" w:eastAsia="Calibri" w:hAnsi="Calibri"/>
          <w:sz w:val="18"/>
          <w:szCs w:val="18"/>
          <w:color w:val="auto"/>
        </w:rPr>
        <w:t>For employees working in Massachusets, Paragraph 2(o) of the Agreement will not apply. Further, if the Company chooses to enforce the non-competton provisions set forth in Paragraph 2(j)(v) of the Agreement, then the Company will contnue to pay the employee at least 50% of the employee’s highest base salary that the employee earned at the Company or an Afliate (as applicable) in the 2 years before the end of employee’s employment. The Company will pay this amount for 12 months following the employee’s terminaton. The restricton set forth in Paragraph 2(j)(v) of the Agreement will not apply if the employee is involuntarily terminated without cause.</w:t>
      </w:r>
    </w:p>
    <w:p>
      <w:pPr>
        <w:spacing w:after="0" w:line="230" w:lineRule="exact"/>
        <w:rPr>
          <w:sz w:val="20"/>
          <w:szCs w:val="20"/>
          <w:color w:val="auto"/>
        </w:rPr>
      </w:pPr>
    </w:p>
    <w:p>
      <w:pPr>
        <w:ind w:left="5320"/>
        <w:spacing w:after="0"/>
        <w:rPr>
          <w:sz w:val="20"/>
          <w:szCs w:val="20"/>
          <w:color w:val="auto"/>
        </w:rPr>
      </w:pPr>
      <w:r>
        <w:rPr>
          <w:rFonts w:ascii="Calibri" w:cs="Calibri" w:eastAsia="Calibri" w:hAnsi="Calibri"/>
          <w:sz w:val="18"/>
          <w:szCs w:val="18"/>
          <w:b w:val="1"/>
          <w:bCs w:val="1"/>
          <w:color w:val="auto"/>
        </w:rPr>
        <w:t>NEVADA</w:t>
      </w:r>
    </w:p>
    <w:p>
      <w:pPr>
        <w:ind w:left="660"/>
        <w:spacing w:after="0" w:line="206" w:lineRule="auto"/>
        <w:rPr>
          <w:sz w:val="20"/>
          <w:szCs w:val="20"/>
          <w:color w:val="auto"/>
        </w:rPr>
      </w:pPr>
      <w:r>
        <w:rPr>
          <w:rFonts w:ascii="Calibri" w:cs="Calibri" w:eastAsia="Calibri" w:hAnsi="Calibri"/>
          <w:sz w:val="18"/>
          <w:szCs w:val="18"/>
          <w:color w:val="auto"/>
        </w:rPr>
        <w:t>Paragraph 2(j)(v) does not apply if the employee is paid solely on an hourly wage basis, exclusive of any tps or gratuites.</w:t>
      </w:r>
    </w:p>
    <w:p>
      <w:pPr>
        <w:ind w:left="4980"/>
        <w:spacing w:after="0" w:line="221" w:lineRule="auto"/>
        <w:rPr>
          <w:sz w:val="20"/>
          <w:szCs w:val="20"/>
          <w:color w:val="auto"/>
        </w:rPr>
      </w:pPr>
      <w:r>
        <w:rPr>
          <w:rFonts w:ascii="Calibri" w:cs="Calibri" w:eastAsia="Calibri" w:hAnsi="Calibri"/>
          <w:sz w:val="18"/>
          <w:szCs w:val="18"/>
          <w:b w:val="1"/>
          <w:bCs w:val="1"/>
          <w:color w:val="auto"/>
        </w:rPr>
        <w:t>NEW HAMPSHIRE</w:t>
      </w:r>
    </w:p>
    <w:p>
      <w:pPr>
        <w:ind w:left="660"/>
        <w:spacing w:after="0" w:line="221" w:lineRule="auto"/>
        <w:rPr>
          <w:sz w:val="20"/>
          <w:szCs w:val="20"/>
          <w:color w:val="auto"/>
        </w:rPr>
      </w:pPr>
      <w:r>
        <w:rPr>
          <w:rFonts w:ascii="Calibri" w:cs="Calibri" w:eastAsia="Calibri" w:hAnsi="Calibri"/>
          <w:sz w:val="18"/>
          <w:szCs w:val="18"/>
          <w:color w:val="auto"/>
        </w:rPr>
        <w:t>Paragraph 2(j)(v) does not apply if the employee earns an hourly rate less than or equal to 200 percent of the federal minimum wage.</w:t>
      </w:r>
    </w:p>
    <w:p>
      <w:pPr>
        <w:ind w:left="5040"/>
        <w:spacing w:after="0" w:line="221" w:lineRule="auto"/>
        <w:rPr>
          <w:sz w:val="20"/>
          <w:szCs w:val="20"/>
          <w:color w:val="auto"/>
        </w:rPr>
      </w:pPr>
      <w:r>
        <w:rPr>
          <w:rFonts w:ascii="Calibri" w:cs="Calibri" w:eastAsia="Calibri" w:hAnsi="Calibri"/>
          <w:sz w:val="18"/>
          <w:szCs w:val="18"/>
          <w:b w:val="1"/>
          <w:bCs w:val="1"/>
          <w:color w:val="auto"/>
        </w:rPr>
        <w:t>NORTH DAKOTA</w:t>
      </w:r>
    </w:p>
    <w:p>
      <w:pPr>
        <w:spacing w:after="0" w:line="1"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North Dakota at the tme of executon of this Agreement (including the Partcipant Obligatons incorporated herein), Paragraphs 2(j)(iv) and 2(j)(v) will not apply.</w:t>
      </w:r>
    </w:p>
    <w:p>
      <w:pPr>
        <w:jc w:val="center"/>
        <w:spacing w:after="0" w:line="221" w:lineRule="auto"/>
        <w:rPr>
          <w:sz w:val="20"/>
          <w:szCs w:val="20"/>
          <w:color w:val="auto"/>
        </w:rPr>
      </w:pPr>
      <w:r>
        <w:rPr>
          <w:rFonts w:ascii="Calibri" w:cs="Calibri" w:eastAsia="Calibri" w:hAnsi="Calibri"/>
          <w:sz w:val="18"/>
          <w:szCs w:val="18"/>
          <w:b w:val="1"/>
          <w:bCs w:val="1"/>
          <w:color w:val="auto"/>
        </w:rPr>
        <w:t>OKLAHOMA</w:t>
      </w:r>
    </w:p>
    <w:p>
      <w:pPr>
        <w:sectPr>
          <w:pgSz w:w="11900" w:h="16838" w:orient="portrait"/>
          <w:cols w:equalWidth="0" w:num="1">
            <w:col w:w="11240"/>
          </w:cols>
          <w:pgMar w:left="320" w:top="1400" w:right="339" w:bottom="1440" w:gutter="0" w:footer="0" w:header="0"/>
        </w:sectPr>
      </w:pPr>
    </w:p>
    <w:bookmarkStart w:id="72" w:name="page73"/>
    <w:bookmarkEnd w:id="72"/>
    <w:p>
      <w:pPr>
        <w:jc w:val="both"/>
        <w:ind w:firstLine="648"/>
        <w:spacing w:after="0" w:line="225" w:lineRule="auto"/>
        <w:rPr>
          <w:sz w:val="20"/>
          <w:szCs w:val="20"/>
          <w:color w:val="auto"/>
        </w:rPr>
      </w:pPr>
      <w:r>
        <w:rPr>
          <w:rFonts w:ascii="Calibri" w:cs="Calibri" w:eastAsia="Calibri" w:hAnsi="Calibri"/>
          <w:sz w:val="18"/>
          <w:szCs w:val="18"/>
          <w:color w:val="auto"/>
        </w:rPr>
        <w:t>For employees residing in Oklahoma at the tme of executon of this Agreement (including the Partcipant Obligatons incorporated herein), Paragraph 2(j)(v) will not apply and Paragraph 2(j)(iv) will only apply to the extent that Paragraph prohibits the employee from directly solicitng the sale of goods, services or a combinaton of goods and services from the established customers of the Company and/or its Afliates.</w:t>
      </w:r>
    </w:p>
    <w:p>
      <w:pPr>
        <w:jc w:val="center"/>
        <w:spacing w:after="0" w:line="223" w:lineRule="auto"/>
        <w:rPr>
          <w:sz w:val="20"/>
          <w:szCs w:val="20"/>
          <w:color w:val="auto"/>
        </w:rPr>
      </w:pPr>
      <w:r>
        <w:rPr>
          <w:rFonts w:ascii="Calibri" w:cs="Calibri" w:eastAsia="Calibri" w:hAnsi="Calibri"/>
          <w:sz w:val="18"/>
          <w:szCs w:val="18"/>
          <w:b w:val="1"/>
          <w:bCs w:val="1"/>
          <w:color w:val="auto"/>
        </w:rPr>
        <w:t>OREGON</w:t>
      </w:r>
    </w:p>
    <w:p>
      <w:pPr>
        <w:jc w:val="both"/>
        <w:ind w:firstLine="648"/>
        <w:spacing w:after="0" w:line="218" w:lineRule="auto"/>
        <w:rPr>
          <w:sz w:val="20"/>
          <w:szCs w:val="20"/>
          <w:color w:val="auto"/>
        </w:rPr>
      </w:pPr>
      <w:r>
        <w:rPr>
          <w:rFonts w:ascii="Calibri" w:cs="Calibri" w:eastAsia="Calibri" w:hAnsi="Calibri"/>
          <w:sz w:val="18"/>
          <w:szCs w:val="18"/>
          <w:color w:val="auto"/>
        </w:rPr>
        <w:t>For employees residing in Oregon when they sign this Agreement (including the Partcipant Obligatons incorporated herein), the Company shall provide a copy of a signed, writen copy of the Agreement (including the Partcipant Obligatons incorporated herein) within 30 days afer the date of terminaton of the employee’s employment with the Company or its Afliate, as applicable. Paragraph 2(j)(v) shall only apply if the total amount of the employee's annual compensaton, at the tme of the employee's terminaton, exceeds $100,533, adjusted annually for infaton pursuant to the Consumer Price Index for All Urban Consumers, West Region (All Items).</w:t>
      </w:r>
    </w:p>
    <w:p>
      <w:pPr>
        <w:jc w:val="center"/>
        <w:spacing w:after="0" w:line="222" w:lineRule="auto"/>
        <w:rPr>
          <w:sz w:val="20"/>
          <w:szCs w:val="20"/>
          <w:color w:val="auto"/>
        </w:rPr>
      </w:pPr>
      <w:r>
        <w:rPr>
          <w:rFonts w:ascii="Calibri" w:cs="Calibri" w:eastAsia="Calibri" w:hAnsi="Calibri"/>
          <w:sz w:val="18"/>
          <w:szCs w:val="18"/>
          <w:b w:val="1"/>
          <w:bCs w:val="1"/>
          <w:color w:val="auto"/>
        </w:rPr>
        <w:t>VIRGINIA</w:t>
      </w:r>
    </w:p>
    <w:p>
      <w:pPr>
        <w:jc w:val="both"/>
        <w:ind w:firstLine="648"/>
        <w:spacing w:after="0" w:line="221" w:lineRule="auto"/>
        <w:rPr>
          <w:sz w:val="20"/>
          <w:szCs w:val="20"/>
          <w:color w:val="auto"/>
        </w:rPr>
      </w:pPr>
      <w:r>
        <w:rPr>
          <w:rFonts w:ascii="Calibri" w:cs="Calibri" w:eastAsia="Calibri" w:hAnsi="Calibri"/>
          <w:sz w:val="18"/>
          <w:szCs w:val="18"/>
          <w:color w:val="auto"/>
        </w:rPr>
        <w:t>Paragraph 2(j)(v) does not apply if an employee’s average weekly earnings are less than the average weekly wage of the Commonwealth as determined pursuant to subsecton B of § 65.2-500.</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WASHINGTON</w:t>
      </w:r>
    </w:p>
    <w:p>
      <w:pPr>
        <w:spacing w:after="0" w:line="15" w:lineRule="exact"/>
        <w:rPr>
          <w:sz w:val="20"/>
          <w:szCs w:val="20"/>
          <w:color w:val="auto"/>
        </w:rPr>
      </w:pPr>
    </w:p>
    <w:p>
      <w:pPr>
        <w:jc w:val="both"/>
        <w:ind w:firstLine="648"/>
        <w:spacing w:after="0" w:line="242" w:lineRule="auto"/>
        <w:rPr>
          <w:sz w:val="20"/>
          <w:szCs w:val="20"/>
          <w:color w:val="auto"/>
        </w:rPr>
      </w:pPr>
      <w:r>
        <w:rPr>
          <w:rFonts w:ascii="Calibri" w:cs="Calibri" w:eastAsia="Calibri" w:hAnsi="Calibri"/>
          <w:sz w:val="17"/>
          <w:szCs w:val="17"/>
          <w:color w:val="auto"/>
        </w:rPr>
        <w:t>For employees residing in Washington, Paragraph 2(o) will not apply. Further, if an employee is terminated as the result of a layof, and the Company chooses to enforce the non-competton provisions set forth in Paragraph 2(j)(v) of the Agreement, then the Company or its Afliate, as applicable, will contnue to pay the Employee’s base salary for twelve months following the layof , less any earnings the employee has received from the employee’s then-current employer. Paragraph 2(j)(v) shall only apply if the employee’s earnings, when annualized, exceed $100,000 per year, to be adjusted for infaton.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hanging="252"/>
        <w:spacing w:after="0"/>
        <w:tabs>
          <w:tab w:leader="none" w:pos="260" w:val="left"/>
        </w:tabs>
        <w:numPr>
          <w:ilvl w:val="0"/>
          <w:numId w:val="55"/>
        </w:numPr>
        <w:rPr>
          <w:rFonts w:ascii="Calibri" w:cs="Calibri" w:eastAsia="Calibri" w:hAnsi="Calibri"/>
          <w:sz w:val="18"/>
          <w:szCs w:val="18"/>
          <w:color w:val="0000FF"/>
        </w:rPr>
      </w:pPr>
      <w:r>
        <w:rPr>
          <w:rFonts w:ascii="Calibri" w:cs="Calibri" w:eastAsia="Calibri" w:hAnsi="Calibri"/>
          <w:sz w:val="22"/>
          <w:szCs w:val="22"/>
          <w:color w:val="auto"/>
        </w:rPr>
        <w:t>This term carries the same meaning as how it is defned in Xylem’s Omnibus Incentve Plan.</w:t>
      </w:r>
    </w:p>
    <w:p>
      <w:pPr>
        <w:sectPr>
          <w:pgSz w:w="11900" w:h="16838" w:orient="portrait"/>
          <w:cols w:equalWidth="0" w:num="1">
            <w:col w:w="11240"/>
          </w:cols>
          <w:pgMar w:left="320" w:top="1400" w:right="339" w:bottom="1440" w:gutter="0" w:footer="0" w:header="0"/>
        </w:sectPr>
      </w:pPr>
    </w:p>
    <w:bookmarkStart w:id="73" w:name="page74"/>
    <w:bookmarkEnd w:id="73"/>
    <w:p>
      <w:pPr>
        <w:jc w:val="center"/>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2011 OMNIBUS INCENTIVE PLAN</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2024 PERFORMANCE SHARE UNIT GRANT AGREEMENT</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color w:val="auto"/>
        </w:rPr>
        <w:t>This Agreement (the “</w:t>
      </w:r>
      <w:r>
        <w:rPr>
          <w:rFonts w:ascii="Calibri" w:cs="Calibri" w:eastAsia="Calibri" w:hAnsi="Calibri"/>
          <w:sz w:val="21"/>
          <w:szCs w:val="21"/>
          <w:b w:val="1"/>
          <w:bCs w:val="1"/>
          <w:color w:val="auto"/>
        </w:rPr>
        <w:t>Agreement</w:t>
      </w:r>
      <w:r>
        <w:rPr>
          <w:rFonts w:ascii="Calibri" w:cs="Calibri" w:eastAsia="Calibri" w:hAnsi="Calibri"/>
          <w:sz w:val="18"/>
          <w:szCs w:val="18"/>
          <w:color w:val="auto"/>
        </w:rPr>
        <w:t>”) between Xylem Inc. (the “</w:t>
      </w:r>
      <w:r>
        <w:rPr>
          <w:rFonts w:ascii="Calibri" w:cs="Calibri" w:eastAsia="Calibri" w:hAnsi="Calibri"/>
          <w:sz w:val="21"/>
          <w:szCs w:val="21"/>
          <w:b w:val="1"/>
          <w:bCs w:val="1"/>
          <w:color w:val="auto"/>
        </w:rPr>
        <w:t>Company</w:t>
      </w:r>
      <w:r>
        <w:rPr>
          <w:rFonts w:ascii="Calibri" w:cs="Calibri" w:eastAsia="Calibri" w:hAnsi="Calibri"/>
          <w:sz w:val="18"/>
          <w:szCs w:val="18"/>
          <w:color w:val="auto"/>
        </w:rPr>
        <w:t xml:space="preserve">”) and </w:t>
      </w:r>
      <w:r>
        <w:rPr>
          <w:rFonts w:ascii="Calibri" w:cs="Calibri" w:eastAsia="Calibri" w:hAnsi="Calibri"/>
          <w:sz w:val="21"/>
          <w:szCs w:val="21"/>
          <w:b w:val="1"/>
          <w:bCs w:val="1"/>
          <w:color w:val="auto"/>
        </w:rPr>
        <w:t>###PARTICIPANT_NAME###</w:t>
      </w:r>
      <w:r>
        <w:rPr>
          <w:rFonts w:ascii="Calibri" w:cs="Calibri" w:eastAsia="Calibri" w:hAnsi="Calibri"/>
          <w:sz w:val="18"/>
          <w:szCs w:val="18"/>
          <w:color w:val="auto"/>
        </w:rPr>
        <w:t xml:space="preserve"> (the “</w:t>
      </w:r>
      <w:r>
        <w:rPr>
          <w:rFonts w:ascii="Calibri" w:cs="Calibri" w:eastAsia="Calibri" w:hAnsi="Calibri"/>
          <w:sz w:val="21"/>
          <w:szCs w:val="21"/>
          <w:b w:val="1"/>
          <w:bCs w:val="1"/>
          <w:color w:val="auto"/>
        </w:rPr>
        <w:t>Partcipant</w:t>
      </w:r>
      <w:r>
        <w:rPr>
          <w:rFonts w:ascii="Calibri" w:cs="Calibri" w:eastAsia="Calibri" w:hAnsi="Calibri"/>
          <w:sz w:val="18"/>
          <w:szCs w:val="18"/>
          <w:color w:val="auto"/>
        </w:rPr>
        <w:t>”) is efectve as of</w:t>
      </w:r>
    </w:p>
    <w:p>
      <w:pPr>
        <w:spacing w:after="0" w:line="218" w:lineRule="auto"/>
        <w:rPr>
          <w:sz w:val="20"/>
          <w:szCs w:val="20"/>
          <w:color w:val="auto"/>
        </w:rPr>
      </w:pPr>
      <w:r>
        <w:rPr>
          <w:rFonts w:ascii="Calibri" w:cs="Calibri" w:eastAsia="Calibri" w:hAnsi="Calibri"/>
          <w:sz w:val="22"/>
          <w:szCs w:val="22"/>
          <w:b w:val="1"/>
          <w:bCs w:val="1"/>
          <w:color w:val="auto"/>
        </w:rPr>
        <w:t>###GRANT_DATE###</w:t>
      </w:r>
      <w:r>
        <w:rPr>
          <w:rFonts w:ascii="Calibri" w:cs="Calibri" w:eastAsia="Calibri" w:hAnsi="Calibri"/>
          <w:sz w:val="17"/>
          <w:szCs w:val="17"/>
          <w:color w:val="auto"/>
        </w:rPr>
        <w:t>. Capitalized terms that are not defned in this Agreement are defned in the Company’s 2011 Omnibus Incentve Plan (Amended</w:t>
      </w:r>
    </w:p>
    <w:p>
      <w:pPr>
        <w:spacing w:after="0" w:line="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and Restated on February 24, 2016) (the “</w:t>
      </w:r>
      <w:r>
        <w:rPr>
          <w:rFonts w:ascii="Calibri" w:cs="Calibri" w:eastAsia="Calibri" w:hAnsi="Calibri"/>
          <w:sz w:val="21"/>
          <w:szCs w:val="21"/>
          <w:b w:val="1"/>
          <w:bCs w:val="1"/>
          <w:color w:val="auto"/>
        </w:rPr>
        <w:t>Plan</w:t>
      </w:r>
      <w:r>
        <w:rPr>
          <w:rFonts w:ascii="Calibri" w:cs="Calibri" w:eastAsia="Calibri" w:hAnsi="Calibri"/>
          <w:sz w:val="18"/>
          <w:szCs w:val="18"/>
          <w:color w:val="auto"/>
        </w:rPr>
        <w:t>”). This Agreement is only being provided in English. The Partcipant is an employee of the Company or an Afliate. In recogniton of the Partcipant’s valued services, the Company, through the Leadership Development and Compensaton Commitee of its Board of Directors (the “</w:t>
      </w:r>
      <w:r>
        <w:rPr>
          <w:rFonts w:ascii="Calibri" w:cs="Calibri" w:eastAsia="Calibri" w:hAnsi="Calibri"/>
          <w:sz w:val="21"/>
          <w:szCs w:val="21"/>
          <w:b w:val="1"/>
          <w:bCs w:val="1"/>
          <w:color w:val="auto"/>
        </w:rPr>
        <w:t>Commitee</w:t>
      </w:r>
      <w:r>
        <w:rPr>
          <w:rFonts w:ascii="Calibri" w:cs="Calibri" w:eastAsia="Calibri" w:hAnsi="Calibri"/>
          <w:sz w:val="18"/>
          <w:szCs w:val="18"/>
          <w:color w:val="auto"/>
        </w:rPr>
        <w:t>”), is providing the Partcipant an inducement to remain employed and an incentve for increased eforts while employed. In consideraton of the terms and conditons in this Agreement, the partes agree as follows:</w:t>
      </w:r>
    </w:p>
    <w:p>
      <w:pPr>
        <w:spacing w:after="0" w:line="9" w:lineRule="exact"/>
        <w:rPr>
          <w:sz w:val="20"/>
          <w:szCs w:val="20"/>
          <w:color w:val="auto"/>
        </w:rPr>
      </w:pPr>
    </w:p>
    <w:p>
      <w:pPr>
        <w:jc w:val="both"/>
        <w:ind w:left="660" w:hanging="328"/>
        <w:spacing w:after="0" w:line="230" w:lineRule="auto"/>
        <w:tabs>
          <w:tab w:leader="none" w:pos="651" w:val="left"/>
        </w:tabs>
        <w:numPr>
          <w:ilvl w:val="0"/>
          <w:numId w:val="56"/>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Grant of Performance Share Units</w:t>
      </w:r>
      <w:r>
        <w:rPr>
          <w:rFonts w:ascii="Calibri" w:cs="Calibri" w:eastAsia="Calibri" w:hAnsi="Calibri"/>
          <w:sz w:val="18"/>
          <w:szCs w:val="18"/>
          <w:color w:val="auto"/>
        </w:rPr>
        <w:t>. The Company confrms the grant on</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###GRANT_DATE###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w:t>
      </w:r>
      <w:r>
        <w:rPr>
          <w:rFonts w:ascii="Calibri" w:cs="Calibri" w:eastAsia="Calibri" w:hAnsi="Calibri"/>
          <w:sz w:val="21"/>
          <w:szCs w:val="21"/>
          <w:b w:val="1"/>
          <w:bCs w:val="1"/>
          <w:color w:val="auto"/>
        </w:rPr>
        <w:t>Grant Date</w:t>
      </w:r>
      <w:r>
        <w:rPr>
          <w:rFonts w:ascii="Calibri" w:cs="Calibri" w:eastAsia="Calibri" w:hAnsi="Calibri"/>
          <w:sz w:val="18"/>
          <w:szCs w:val="18"/>
          <w:color w:val="auto"/>
        </w:rPr>
        <w:t>”) to the Partcipant,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target number of </w:t>
      </w:r>
      <w:r>
        <w:rPr>
          <w:rFonts w:ascii="Calibri" w:cs="Calibri" w:eastAsia="Calibri" w:hAnsi="Calibri"/>
          <w:sz w:val="21"/>
          <w:szCs w:val="21"/>
          <w:b w:val="1"/>
          <w:bCs w:val="1"/>
          <w:color w:val="auto"/>
        </w:rPr>
        <w:t>###TOTAL_AWARDS###</w:t>
      </w:r>
      <w:r>
        <w:rPr>
          <w:rFonts w:ascii="Calibri" w:cs="Calibri" w:eastAsia="Calibri" w:hAnsi="Calibri"/>
          <w:sz w:val="18"/>
          <w:szCs w:val="18"/>
          <w:color w:val="auto"/>
        </w:rPr>
        <w:t xml:space="preserve"> Performance Share Units (“</w:t>
      </w:r>
      <w:r>
        <w:rPr>
          <w:rFonts w:ascii="Calibri" w:cs="Calibri" w:eastAsia="Calibri" w:hAnsi="Calibri"/>
          <w:sz w:val="21"/>
          <w:szCs w:val="21"/>
          <w:b w:val="1"/>
          <w:bCs w:val="1"/>
          <w:color w:val="auto"/>
        </w:rPr>
        <w:t>PSUs</w:t>
      </w:r>
      <w:r>
        <w:rPr>
          <w:rFonts w:ascii="Calibri" w:cs="Calibri" w:eastAsia="Calibri" w:hAnsi="Calibri"/>
          <w:sz w:val="18"/>
          <w:szCs w:val="18"/>
          <w:color w:val="auto"/>
        </w:rPr>
        <w:t xml:space="preserve">”). All PSUs granted under this Agreement are intended to be Performance Based Awards. </w:t>
      </w:r>
      <w:r>
        <w:rPr>
          <w:rFonts w:ascii="Calibri" w:cs="Calibri" w:eastAsia="Calibri" w:hAnsi="Calibri"/>
          <w:sz w:val="21"/>
          <w:szCs w:val="21"/>
          <w:color w:val="auto"/>
        </w:rPr>
        <w:t>Th</w:t>
      </w:r>
      <w:r>
        <w:rPr>
          <w:rFonts w:ascii="Calibri" w:cs="Calibri" w:eastAsia="Calibri" w:hAnsi="Calibri"/>
          <w:sz w:val="18"/>
          <w:szCs w:val="18"/>
          <w:color w:val="auto"/>
        </w:rPr>
        <w:t>e PSUs are notonal units of measurement denominated in Shares of common stock (</w:t>
      </w:r>
      <w:r>
        <w:rPr>
          <w:rFonts w:ascii="Calibri" w:cs="Calibri" w:eastAsia="Calibri" w:hAnsi="Calibri"/>
          <w:sz w:val="21"/>
          <w:szCs w:val="21"/>
          <w:i w:val="1"/>
          <w:iCs w:val="1"/>
          <w:color w:val="auto"/>
        </w:rPr>
        <w:t>i.e</w:t>
      </w:r>
      <w:r>
        <w:rPr>
          <w:rFonts w:ascii="Calibri" w:cs="Calibri" w:eastAsia="Calibri" w:hAnsi="Calibri"/>
          <w:sz w:val="18"/>
          <w:szCs w:val="18"/>
          <w:color w:val="auto"/>
        </w:rPr>
        <w:t>., one PSU is equivalent in</w:t>
      </w:r>
    </w:p>
    <w:p>
      <w:pPr>
        <w:ind w:left="660"/>
        <w:spacing w:after="0" w:line="225" w:lineRule="auto"/>
        <w:rPr>
          <w:sz w:val="20"/>
          <w:szCs w:val="20"/>
          <w:color w:val="auto"/>
        </w:rPr>
      </w:pPr>
      <w:r>
        <w:rPr>
          <w:rFonts w:ascii="Calibri" w:cs="Calibri" w:eastAsia="Calibri" w:hAnsi="Calibri"/>
          <w:sz w:val="18"/>
          <w:szCs w:val="18"/>
          <w:color w:val="auto"/>
        </w:rPr>
        <w:t>value to one Share of common stock of the Company).</w:t>
      </w:r>
    </w:p>
    <w:p>
      <w:pPr>
        <w:spacing w:after="0" w:line="1" w:lineRule="exact"/>
        <w:rPr>
          <w:sz w:val="20"/>
          <w:szCs w:val="20"/>
          <w:color w:val="auto"/>
        </w:rPr>
      </w:pPr>
    </w:p>
    <w:p>
      <w:pPr>
        <w:ind w:firstLine="324"/>
        <w:spacing w:after="0" w:line="221" w:lineRule="auto"/>
        <w:rPr>
          <w:sz w:val="20"/>
          <w:szCs w:val="20"/>
          <w:color w:val="auto"/>
        </w:rPr>
      </w:pPr>
      <w:r>
        <w:rPr>
          <w:rFonts w:ascii="Calibri" w:cs="Calibri" w:eastAsia="Calibri" w:hAnsi="Calibri"/>
          <w:sz w:val="18"/>
          <w:szCs w:val="18"/>
          <w:color w:val="auto"/>
        </w:rPr>
        <w:t>The PSUs represent an unfunded, unsecured right to receive Shares and dividend equivalent payments in the future if the conditons in the Plan and this Agreement are satsfed.</w:t>
      </w:r>
    </w:p>
    <w:p>
      <w:pPr>
        <w:ind w:left="340"/>
        <w:spacing w:after="0" w:line="221" w:lineRule="auto"/>
        <w:rPr>
          <w:sz w:val="20"/>
          <w:szCs w:val="20"/>
          <w:color w:val="auto"/>
        </w:rPr>
      </w:pPr>
      <w:r>
        <w:rPr>
          <w:rFonts w:ascii="Calibri" w:cs="Calibri" w:eastAsia="Calibri" w:hAnsi="Calibri"/>
          <w:sz w:val="18"/>
          <w:szCs w:val="18"/>
          <w:b w:val="1"/>
          <w:bCs w:val="1"/>
          <w:color w:val="auto"/>
        </w:rPr>
        <w:t>Nature of the Grant:</w:t>
      </w:r>
    </w:p>
    <w:p>
      <w:pPr>
        <w:spacing w:after="0" w:line="42" w:lineRule="exact"/>
        <w:rPr>
          <w:sz w:val="20"/>
          <w:szCs w:val="20"/>
          <w:color w:val="auto"/>
        </w:rPr>
      </w:pPr>
    </w:p>
    <w:p>
      <w:pPr>
        <w:jc w:val="both"/>
        <w:ind w:left="660" w:hanging="328"/>
        <w:spacing w:after="0" w:line="209" w:lineRule="auto"/>
        <w:tabs>
          <w:tab w:leader="none" w:pos="651" w:val="left"/>
        </w:tabs>
        <w:numPr>
          <w:ilvl w:val="0"/>
          <w:numId w:val="57"/>
        </w:numPr>
        <w:rPr>
          <w:rFonts w:ascii="Arial" w:cs="Arial" w:eastAsia="Arial" w:hAnsi="Arial"/>
          <w:sz w:val="22"/>
          <w:szCs w:val="22"/>
          <w:color w:val="auto"/>
        </w:rPr>
      </w:pPr>
      <w:r>
        <w:rPr>
          <w:rFonts w:ascii="Calibri" w:cs="Calibri" w:eastAsia="Calibri" w:hAnsi="Calibri"/>
          <w:sz w:val="18"/>
          <w:szCs w:val="18"/>
          <w:color w:val="auto"/>
        </w:rPr>
        <w:t>The grant of the PSUs is voluntary and occasional and does not create any contractual or other right to receive future grants of PSUs, or benefts in lieu of PSUs, even if PSUs have been granted in the past. All decisions with respect to future PSUs or other grants, if any, will be at the sole discreton of the Company;</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57"/>
        </w:numPr>
        <w:rPr>
          <w:rFonts w:ascii="Arial" w:cs="Arial" w:eastAsia="Arial" w:hAnsi="Arial"/>
          <w:sz w:val="22"/>
          <w:szCs w:val="22"/>
          <w:color w:val="auto"/>
        </w:rPr>
      </w:pPr>
      <w:r>
        <w:rPr>
          <w:rFonts w:ascii="Calibri" w:cs="Calibri" w:eastAsia="Calibri" w:hAnsi="Calibri"/>
          <w:sz w:val="18"/>
          <w:szCs w:val="18"/>
          <w:color w:val="auto"/>
        </w:rPr>
        <w:t>The Partcipant is voluntarily partcipatng in the Plan;</w:t>
      </w:r>
    </w:p>
    <w:p>
      <w:pPr>
        <w:spacing w:after="0" w:line="285" w:lineRule="exact"/>
        <w:rPr>
          <w:sz w:val="20"/>
          <w:szCs w:val="20"/>
          <w:color w:val="auto"/>
        </w:rPr>
      </w:pPr>
    </w:p>
    <w:p>
      <w:pPr>
        <w:jc w:val="both"/>
        <w:ind w:left="660" w:hanging="328"/>
        <w:spacing w:after="0" w:line="214" w:lineRule="auto"/>
        <w:tabs>
          <w:tab w:leader="none" w:pos="651" w:val="left"/>
        </w:tabs>
        <w:numPr>
          <w:ilvl w:val="0"/>
          <w:numId w:val="58"/>
        </w:numPr>
        <w:rPr>
          <w:rFonts w:ascii="Arial" w:cs="Arial" w:eastAsia="Arial" w:hAnsi="Arial"/>
          <w:sz w:val="22"/>
          <w:szCs w:val="22"/>
          <w:color w:val="auto"/>
        </w:rPr>
      </w:pPr>
      <w:r>
        <w:rPr>
          <w:rFonts w:ascii="Calibri" w:cs="Calibri" w:eastAsia="Calibri" w:hAnsi="Calibri"/>
          <w:sz w:val="18"/>
          <w:szCs w:val="18"/>
          <w:color w:val="auto"/>
        </w:rPr>
        <w:t>The PSUs and the Shares subject to the PSUs, are not part of normal or expected compensaton for any purpose, including for purposes of calculatng any severance, resignaton, terminaton, redundancy, dismissal, end-of-service payments, bonuses, pension or retrement or welfare benefts or similar payments;</w:t>
      </w:r>
    </w:p>
    <w:p>
      <w:pPr>
        <w:spacing w:after="0" w:line="2" w:lineRule="exact"/>
        <w:rPr>
          <w:rFonts w:ascii="Arial" w:cs="Arial" w:eastAsia="Arial" w:hAnsi="Arial"/>
          <w:sz w:val="22"/>
          <w:szCs w:val="22"/>
          <w:color w:val="auto"/>
        </w:rPr>
      </w:pPr>
    </w:p>
    <w:p>
      <w:pPr>
        <w:ind w:left="640" w:hanging="308"/>
        <w:spacing w:after="0"/>
        <w:tabs>
          <w:tab w:leader="none" w:pos="640" w:val="left"/>
        </w:tabs>
        <w:numPr>
          <w:ilvl w:val="0"/>
          <w:numId w:val="58"/>
        </w:numPr>
        <w:rPr>
          <w:rFonts w:ascii="Arial" w:cs="Arial" w:eastAsia="Arial" w:hAnsi="Arial"/>
          <w:sz w:val="22"/>
          <w:szCs w:val="22"/>
          <w:color w:val="auto"/>
        </w:rPr>
      </w:pPr>
      <w:r>
        <w:rPr>
          <w:rFonts w:ascii="Calibri" w:cs="Calibri" w:eastAsia="Calibri" w:hAnsi="Calibri"/>
          <w:sz w:val="18"/>
          <w:szCs w:val="18"/>
          <w:color w:val="auto"/>
        </w:rPr>
        <w:t>Future value of the underlying Shares is unknown, indeterminable and cannot be predicted with certainty;</w:t>
      </w:r>
    </w:p>
    <w:p>
      <w:pPr>
        <w:spacing w:after="0" w:line="41" w:lineRule="exact"/>
        <w:rPr>
          <w:rFonts w:ascii="Arial" w:cs="Arial" w:eastAsia="Arial" w:hAnsi="Arial"/>
          <w:sz w:val="22"/>
          <w:szCs w:val="22"/>
          <w:color w:val="auto"/>
        </w:rPr>
      </w:pPr>
    </w:p>
    <w:p>
      <w:pPr>
        <w:ind w:left="660" w:hanging="328"/>
        <w:spacing w:after="0" w:line="211" w:lineRule="auto"/>
        <w:tabs>
          <w:tab w:leader="none" w:pos="652" w:val="left"/>
        </w:tabs>
        <w:numPr>
          <w:ilvl w:val="0"/>
          <w:numId w:val="58"/>
        </w:numPr>
        <w:rPr>
          <w:rFonts w:ascii="Arial" w:cs="Arial" w:eastAsia="Arial" w:hAnsi="Arial"/>
          <w:sz w:val="22"/>
          <w:szCs w:val="22"/>
          <w:color w:val="auto"/>
        </w:rPr>
      </w:pPr>
      <w:r>
        <w:rPr>
          <w:rFonts w:ascii="Calibri" w:cs="Calibri" w:eastAsia="Calibri" w:hAnsi="Calibri"/>
          <w:sz w:val="18"/>
          <w:szCs w:val="18"/>
          <w:color w:val="auto"/>
        </w:rPr>
        <w:t>No claim or enttlement to compensaton or damages will arise from forfeiture of the PSUs resultng from the terminaton of the Partcipant's employment; and</w:t>
      </w:r>
    </w:p>
    <w:p>
      <w:pPr>
        <w:spacing w:after="0" w:line="41" w:lineRule="exact"/>
        <w:rPr>
          <w:rFonts w:ascii="Arial" w:cs="Arial" w:eastAsia="Arial" w:hAnsi="Arial"/>
          <w:sz w:val="22"/>
          <w:szCs w:val="22"/>
          <w:color w:val="auto"/>
        </w:rPr>
      </w:pPr>
    </w:p>
    <w:p>
      <w:pPr>
        <w:jc w:val="both"/>
        <w:ind w:left="660" w:hanging="328"/>
        <w:spacing w:after="0" w:line="214" w:lineRule="auto"/>
        <w:tabs>
          <w:tab w:leader="none" w:pos="651" w:val="left"/>
        </w:tabs>
        <w:numPr>
          <w:ilvl w:val="0"/>
          <w:numId w:val="58"/>
        </w:numPr>
        <w:rPr>
          <w:rFonts w:ascii="Arial" w:cs="Arial" w:eastAsia="Arial" w:hAnsi="Arial"/>
          <w:sz w:val="22"/>
          <w:szCs w:val="22"/>
          <w:color w:val="auto"/>
        </w:rPr>
      </w:pPr>
      <w:r>
        <w:rPr>
          <w:rFonts w:ascii="Calibri" w:cs="Calibri" w:eastAsia="Calibri" w:hAnsi="Calibri"/>
          <w:sz w:val="18"/>
          <w:szCs w:val="18"/>
          <w:color w:val="auto"/>
        </w:rPr>
        <w:t>The Company will not be liable for any foreign exchange rate fuctuaton between the Partcipant’s local currency and the United States Dollar that may afect the value of the PSUs or of any amounts due to the Partcipant pursuant to the setlement of the PSUs or the subsequent sale of any Shares acquired upon setlement.</w:t>
      </w:r>
    </w:p>
    <w:p>
      <w:pPr>
        <w:spacing w:after="0" w:line="3"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Terms and Conditons.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PSUs are subject to the following additonal terms and conditons:</w:t>
      </w:r>
    </w:p>
    <w:p>
      <w:pPr>
        <w:spacing w:after="0" w:line="42" w:lineRule="exact"/>
        <w:rPr>
          <w:sz w:val="20"/>
          <w:szCs w:val="20"/>
          <w:color w:val="auto"/>
        </w:rPr>
      </w:pPr>
    </w:p>
    <w:p>
      <w:pPr>
        <w:ind w:left="660" w:hanging="328"/>
        <w:spacing w:after="0" w:line="204" w:lineRule="auto"/>
        <w:tabs>
          <w:tab w:leader="none" w:pos="651" w:val="left"/>
        </w:tabs>
        <w:numPr>
          <w:ilvl w:val="0"/>
          <w:numId w:val="60"/>
        </w:numPr>
        <w:rPr>
          <w:rFonts w:ascii="Arial" w:cs="Arial" w:eastAsia="Arial" w:hAnsi="Arial"/>
          <w:sz w:val="22"/>
          <w:szCs w:val="22"/>
          <w:color w:val="auto"/>
        </w:rPr>
      </w:pPr>
      <w:r>
        <w:rPr>
          <w:rFonts w:ascii="Calibri" w:cs="Calibri" w:eastAsia="Calibri" w:hAnsi="Calibri"/>
          <w:sz w:val="18"/>
          <w:szCs w:val="18"/>
          <w:b w:val="1"/>
          <w:bCs w:val="1"/>
          <w:color w:val="auto"/>
        </w:rPr>
        <w:t>Restrictons</w:t>
      </w:r>
      <w:r>
        <w:rPr>
          <w:rFonts w:ascii="Calibri" w:cs="Calibri" w:eastAsia="Calibri" w:hAnsi="Calibri"/>
          <w:sz w:val="18"/>
          <w:szCs w:val="18"/>
          <w:color w:val="auto"/>
        </w:rPr>
        <w:t>. Except as otherwise provided in the Plan and this Agreement, the PSUs cannot be sold, assigned, pledged, exchanged, transferred,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hypothecated or encumbered, other than to the Company as a result of forfeiture.</w:t>
      </w:r>
    </w:p>
    <w:p>
      <w:pPr>
        <w:spacing w:after="0" w:line="42" w:lineRule="exact"/>
        <w:rPr>
          <w:rFonts w:ascii="Arial" w:cs="Arial" w:eastAsia="Arial" w:hAnsi="Arial"/>
          <w:sz w:val="22"/>
          <w:szCs w:val="22"/>
          <w:color w:val="auto"/>
        </w:rPr>
      </w:pPr>
    </w:p>
    <w:p>
      <w:pPr>
        <w:jc w:val="both"/>
        <w:ind w:left="660" w:hanging="328"/>
        <w:spacing w:after="0" w:line="229" w:lineRule="auto"/>
        <w:tabs>
          <w:tab w:leader="none" w:pos="651" w:val="left"/>
        </w:tabs>
        <w:numPr>
          <w:ilvl w:val="0"/>
          <w:numId w:val="60"/>
        </w:numPr>
        <w:rPr>
          <w:rFonts w:ascii="Arial" w:cs="Arial" w:eastAsia="Arial" w:hAnsi="Arial"/>
          <w:sz w:val="21"/>
          <w:szCs w:val="21"/>
          <w:color w:val="auto"/>
        </w:rPr>
      </w:pPr>
      <w:r>
        <w:rPr>
          <w:rFonts w:ascii="Calibri" w:cs="Calibri" w:eastAsia="Calibri" w:hAnsi="Calibri"/>
          <w:sz w:val="17"/>
          <w:szCs w:val="17"/>
          <w:b w:val="1"/>
          <w:bCs w:val="1"/>
          <w:color w:val="auto"/>
        </w:rPr>
        <w:t>Votng and Dividend Equivalent Rights</w:t>
      </w:r>
      <w:r>
        <w:rPr>
          <w:rFonts w:ascii="Calibri" w:cs="Calibri" w:eastAsia="Calibri" w:hAnsi="Calibri"/>
          <w:sz w:val="17"/>
          <w:szCs w:val="17"/>
          <w:color w:val="auto"/>
        </w:rPr>
        <w:t>. The Partcipant will not have any privileges of a shareholder of the Company with respect to the PSUs,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including without limitaton any right to vote such Shares or to receive dividends, unless and untl Shares are delivered to the Partcipant on the vestng of the PSUs. Dividend equivalents will be earned for each PSU that vests and the amount will equal the total dividends declared on a Share, where the record date of the dividend is between the Grant Date of this Award and the date a Share is issued on vestng of the PSU. Any dividend equivalents earned will be paid in cash to the Partcipant as and when the Shares subject to the vested PSUs are issued. No dividend equivalents will</w:t>
      </w:r>
    </w:p>
    <w:p>
      <w:pPr>
        <w:sectPr>
          <w:pgSz w:w="11900" w:h="16838" w:orient="portrait"/>
          <w:cols w:equalWidth="0" w:num="1">
            <w:col w:w="11240"/>
          </w:cols>
          <w:pgMar w:left="320" w:top="1395" w:right="339" w:bottom="1440" w:gutter="0" w:footer="0" w:header="0"/>
        </w:sectPr>
      </w:pPr>
    </w:p>
    <w:bookmarkStart w:id="74" w:name="page75"/>
    <w:bookmarkEnd w:id="74"/>
    <w:p>
      <w:pPr>
        <w:ind w:left="660"/>
        <w:spacing w:after="0"/>
        <w:rPr>
          <w:sz w:val="20"/>
          <w:szCs w:val="20"/>
          <w:color w:val="auto"/>
        </w:rPr>
      </w:pPr>
      <w:r>
        <w:rPr>
          <w:rFonts w:ascii="Calibri" w:cs="Calibri" w:eastAsia="Calibri" w:hAnsi="Calibri"/>
          <w:sz w:val="18"/>
          <w:szCs w:val="18"/>
          <w:color w:val="auto"/>
        </w:rPr>
        <w:t>be earned or paid with respect to any porton of the PSUs that are not earned and/or do not vest. Dividend equivalents will not accrue interest.</w:t>
      </w:r>
    </w:p>
    <w:p>
      <w:pPr>
        <w:spacing w:after="0" w:line="42" w:lineRule="exact"/>
        <w:rPr>
          <w:sz w:val="20"/>
          <w:szCs w:val="20"/>
          <w:color w:val="auto"/>
        </w:rPr>
      </w:pPr>
    </w:p>
    <w:p>
      <w:pPr>
        <w:jc w:val="both"/>
        <w:ind w:left="660" w:hanging="328"/>
        <w:spacing w:after="0" w:line="219" w:lineRule="auto"/>
        <w:tabs>
          <w:tab w:leader="none" w:pos="652" w:val="left"/>
        </w:tabs>
        <w:numPr>
          <w:ilvl w:val="0"/>
          <w:numId w:val="61"/>
        </w:numPr>
        <w:rPr>
          <w:rFonts w:ascii="Arial" w:cs="Arial" w:eastAsia="Arial" w:hAnsi="Arial"/>
          <w:sz w:val="22"/>
          <w:szCs w:val="22"/>
          <w:color w:val="auto"/>
        </w:rPr>
      </w:pPr>
      <w:r>
        <w:rPr>
          <w:rFonts w:ascii="Calibri" w:cs="Calibri" w:eastAsia="Calibri" w:hAnsi="Calibri"/>
          <w:sz w:val="18"/>
          <w:szCs w:val="18"/>
          <w:b w:val="1"/>
          <w:bCs w:val="1"/>
          <w:color w:val="auto"/>
        </w:rPr>
        <w:t xml:space="preserve">Earning of PSUs. </w:t>
      </w:r>
      <w:r>
        <w:rPr>
          <w:rFonts w:ascii="Calibri" w:cs="Calibri" w:eastAsia="Calibri" w:hAnsi="Calibri"/>
          <w:sz w:val="18"/>
          <w:szCs w:val="18"/>
          <w:color w:val="auto"/>
        </w:rPr>
        <w:t>The Partcipant can earn between 0% and 200% of the target number of PSUs granted under this Agreement, with vestng to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based on the achievement of a pre-set third year Xylem Revenue performance target, a pre-set third year Xylem Adjusted Earnings Before Interest, Taxes, Depreciaton and Amortzaton </w:t>
      </w:r>
      <w:r>
        <w:rPr>
          <w:rFonts w:ascii="Calibri" w:cs="Calibri" w:eastAsia="Calibri" w:hAnsi="Calibri"/>
          <w:sz w:val="21"/>
          <w:szCs w:val="21"/>
          <w:color w:val="auto"/>
        </w:rPr>
        <w:t>(“</w:t>
      </w:r>
      <w:r>
        <w:rPr>
          <w:rFonts w:ascii="Calibri" w:cs="Calibri" w:eastAsia="Calibri" w:hAnsi="Calibri"/>
          <w:sz w:val="21"/>
          <w:szCs w:val="21"/>
          <w:b w:val="1"/>
          <w:bCs w:val="1"/>
          <w:color w:val="auto"/>
        </w:rPr>
        <w:t>EBITDA</w:t>
      </w:r>
      <w:r>
        <w:rPr>
          <w:rFonts w:ascii="Calibri" w:cs="Calibri" w:eastAsia="Calibri" w:hAnsi="Calibri"/>
          <w:sz w:val="21"/>
          <w:szCs w:val="21"/>
          <w:color w:val="auto"/>
        </w:rPr>
        <w:t>”)</w:t>
      </w:r>
      <w:r>
        <w:rPr>
          <w:rFonts w:ascii="Calibri" w:cs="Calibri" w:eastAsia="Calibri" w:hAnsi="Calibri"/>
          <w:sz w:val="18"/>
          <w:szCs w:val="18"/>
          <w:color w:val="auto"/>
        </w:rPr>
        <w:t xml:space="preserve"> performance target, and a 3-year Xylem Total Shareholder Return (“</w:t>
      </w:r>
      <w:r>
        <w:rPr>
          <w:rFonts w:ascii="Calibri" w:cs="Calibri" w:eastAsia="Calibri" w:hAnsi="Calibri"/>
          <w:sz w:val="21"/>
          <w:szCs w:val="21"/>
          <w:b w:val="1"/>
          <w:bCs w:val="1"/>
          <w:color w:val="auto"/>
        </w:rPr>
        <w:t>TSR</w:t>
      </w:r>
      <w:r>
        <w:rPr>
          <w:rFonts w:ascii="Calibri" w:cs="Calibri" w:eastAsia="Calibri" w:hAnsi="Calibri"/>
          <w:sz w:val="18"/>
          <w:szCs w:val="18"/>
          <w:color w:val="auto"/>
        </w:rPr>
        <w:t xml:space="preserve">”) relatve to companies in the S&amp;P 500 index (excluding Financial Services companies) pursuant to the performance scales set forth on </w:t>
      </w:r>
      <w:r>
        <w:rPr>
          <w:rFonts w:ascii="Calibri" w:cs="Calibri" w:eastAsia="Calibri" w:hAnsi="Calibri"/>
          <w:sz w:val="21"/>
          <w:szCs w:val="21"/>
          <w:u w:val="single" w:color="auto"/>
          <w:color w:val="auto"/>
        </w:rPr>
        <w:t>Exhibit A</w:t>
      </w:r>
      <w:r>
        <w:rPr>
          <w:rFonts w:ascii="Calibri" w:cs="Calibri" w:eastAsia="Calibri" w:hAnsi="Calibri"/>
          <w:sz w:val="18"/>
          <w:szCs w:val="18"/>
          <w:color w:val="auto"/>
        </w:rPr>
        <w:t xml:space="preserve">, by the end of the 3-year performance period covering fscal years 2024-2026 (the </w:t>
      </w:r>
      <w:r>
        <w:rPr>
          <w:rFonts w:ascii="Calibri" w:cs="Calibri" w:eastAsia="Calibri" w:hAnsi="Calibri"/>
          <w:sz w:val="21"/>
          <w:szCs w:val="21"/>
          <w:b w:val="1"/>
          <w:bCs w:val="1"/>
          <w:color w:val="auto"/>
        </w:rPr>
        <w:t>“Performance Period”</w:t>
      </w:r>
      <w:r>
        <w:rPr>
          <w:rFonts w:ascii="Calibri" w:cs="Calibri" w:eastAsia="Calibri" w:hAnsi="Calibri"/>
          <w:sz w:val="18"/>
          <w:szCs w:val="18"/>
          <w:color w:val="auto"/>
        </w:rPr>
        <w:t xml:space="preserve">). The Commitee will determine and certfy the results of the level of achievement against such targets and the associated number of PSUs earned as described in </w:t>
      </w:r>
      <w:r>
        <w:rPr>
          <w:rFonts w:ascii="Calibri" w:cs="Calibri" w:eastAsia="Calibri" w:hAnsi="Calibri"/>
          <w:sz w:val="21"/>
          <w:szCs w:val="21"/>
          <w:u w:val="single" w:color="auto"/>
          <w:color w:val="auto"/>
        </w:rPr>
        <w:t>Exhibit A</w:t>
      </w:r>
      <w:r>
        <w:rPr>
          <w:rFonts w:ascii="Calibri" w:cs="Calibri" w:eastAsia="Calibri" w:hAnsi="Calibri"/>
          <w:sz w:val="18"/>
          <w:szCs w:val="18"/>
          <w:color w:val="auto"/>
        </w:rPr>
        <w:t>.</w:t>
      </w:r>
    </w:p>
    <w:p>
      <w:pPr>
        <w:spacing w:after="0" w:line="4" w:lineRule="exact"/>
        <w:rPr>
          <w:sz w:val="20"/>
          <w:szCs w:val="20"/>
          <w:color w:val="auto"/>
        </w:rPr>
      </w:pPr>
    </w:p>
    <w:p>
      <w:pPr>
        <w:jc w:val="both"/>
        <w:ind w:firstLine="648"/>
        <w:spacing w:after="0" w:line="225" w:lineRule="auto"/>
        <w:rPr>
          <w:sz w:val="20"/>
          <w:szCs w:val="20"/>
          <w:color w:val="auto"/>
        </w:rPr>
      </w:pPr>
      <w:r>
        <w:rPr>
          <w:rFonts w:ascii="Calibri" w:cs="Calibri" w:eastAsia="Calibri" w:hAnsi="Calibri"/>
          <w:sz w:val="18"/>
          <w:szCs w:val="18"/>
          <w:b w:val="1"/>
          <w:bCs w:val="1"/>
          <w:color w:val="auto"/>
        </w:rPr>
        <w:t>Vestng and Payment</w:t>
      </w:r>
      <w:r>
        <w:rPr>
          <w:rFonts w:ascii="Calibri" w:cs="Calibri" w:eastAsia="Calibri" w:hAnsi="Calibri"/>
          <w:sz w:val="18"/>
          <w:szCs w:val="18"/>
          <w:color w:val="auto"/>
        </w:rPr>
        <w:t>. Any earned PSUs will vest on</w:t>
      </w:r>
      <w:r>
        <w:rPr>
          <w:rFonts w:ascii="Calibri" w:cs="Calibri" w:eastAsia="Calibri" w:hAnsi="Calibri"/>
          <w:sz w:val="18"/>
          <w:szCs w:val="18"/>
          <w:b w:val="1"/>
          <w:bCs w:val="1"/>
          <w:color w:val="auto"/>
        </w:rPr>
        <w:t xml:space="preserve"> March 1, 2027 </w:t>
      </w:r>
      <w:r>
        <w:rPr>
          <w:rFonts w:ascii="Calibri" w:cs="Calibri" w:eastAsia="Calibri" w:hAnsi="Calibri"/>
          <w:sz w:val="18"/>
          <w:szCs w:val="18"/>
          <w:color w:val="auto"/>
        </w:rPr>
        <w:t>(the</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“Vestng Date”</w:t>
      </w:r>
      <w:r>
        <w:rPr>
          <w:rFonts w:ascii="Calibri" w:cs="Calibri" w:eastAsia="Calibri" w:hAnsi="Calibri"/>
          <w:sz w:val="18"/>
          <w:szCs w:val="18"/>
          <w:color w:val="auto"/>
        </w:rPr>
        <w:t>) so long as the Partcipant has been actvely employed 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Company or an Afliate from the Grant Date through the Vestng Date. Actve employment does not include any potental severance period or an approved leave of absence greater than 6 months</w:t>
      </w:r>
      <w:r>
        <w:rPr>
          <w:rFonts w:ascii="Calibri" w:cs="Calibri" w:eastAsia="Calibri" w:hAnsi="Calibri"/>
          <w:sz w:val="21"/>
          <w:szCs w:val="21"/>
          <w:color w:val="auto"/>
        </w:rPr>
        <w:t>.</w:t>
      </w:r>
    </w:p>
    <w:p>
      <w:pPr>
        <w:spacing w:after="0" w:line="2"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For China-based Partcipants, the Company will provide a cash payment equivalent to the Fair Market Value of the shares vested as soon as practcable following the Vestng Date.</w:t>
      </w:r>
    </w:p>
    <w:p>
      <w:pPr>
        <w:jc w:val="both"/>
        <w:ind w:firstLine="648"/>
        <w:spacing w:after="0" w:line="221" w:lineRule="auto"/>
        <w:rPr>
          <w:sz w:val="20"/>
          <w:szCs w:val="20"/>
          <w:color w:val="auto"/>
        </w:rPr>
      </w:pPr>
      <w:r>
        <w:rPr>
          <w:rFonts w:ascii="Calibri" w:cs="Calibri" w:eastAsia="Calibri" w:hAnsi="Calibri"/>
          <w:sz w:val="18"/>
          <w:szCs w:val="18"/>
          <w:color w:val="auto"/>
        </w:rPr>
        <w:t>Except as provided in subsecton 2(h), on vestng of the PSUs, including vestng pursuant to subsectons 2(d) or 2(e), the Company will deliver to the Partcipant (i) one Share for each vested PSU, with any fractonal Shares resultng from proraton pursuant to subsecton 2(d) and 2(e) to be rounded to the nearest whole Share, and (ii) an amount in cash atributable to dividend equivalents earned in accordance with subsecton 2(b), less Shares withheld in accordance with subsecton 2(f).</w:t>
      </w:r>
    </w:p>
    <w:p>
      <w:pPr>
        <w:spacing w:after="0" w:line="42" w:lineRule="exact"/>
        <w:rPr>
          <w:sz w:val="20"/>
          <w:szCs w:val="20"/>
          <w:color w:val="auto"/>
        </w:rPr>
      </w:pPr>
    </w:p>
    <w:p>
      <w:pPr>
        <w:jc w:val="both"/>
        <w:ind w:left="660" w:hanging="328"/>
        <w:spacing w:after="0" w:line="212" w:lineRule="auto"/>
        <w:tabs>
          <w:tab w:leader="none" w:pos="651" w:val="left"/>
        </w:tabs>
        <w:numPr>
          <w:ilvl w:val="0"/>
          <w:numId w:val="62"/>
        </w:numPr>
        <w:rPr>
          <w:rFonts w:ascii="Arial" w:cs="Arial" w:eastAsia="Arial" w:hAnsi="Arial"/>
          <w:sz w:val="22"/>
          <w:szCs w:val="22"/>
          <w:color w:val="auto"/>
        </w:rPr>
      </w:pPr>
      <w:r>
        <w:rPr>
          <w:rFonts w:ascii="Calibri" w:cs="Calibri" w:eastAsia="Calibri" w:hAnsi="Calibri"/>
          <w:sz w:val="18"/>
          <w:szCs w:val="18"/>
          <w:b w:val="1"/>
          <w:bCs w:val="1"/>
          <w:color w:val="auto"/>
        </w:rPr>
        <w:t xml:space="preserve">Efect of Change in Control. </w:t>
      </w:r>
      <w:r>
        <w:rPr>
          <w:rFonts w:ascii="Calibri" w:cs="Calibri" w:eastAsia="Calibri" w:hAnsi="Calibri"/>
          <w:sz w:val="18"/>
          <w:szCs w:val="18"/>
          <w:color w:val="auto"/>
        </w:rPr>
        <w:t>In the event of a Change in Control prior to the end of the Performance Period, if the acquiring or surviving company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transacton assumes or contnues any then-outstanding PSUs, any unvested PSUs will be deemed to have satsfed all applicable performance targets at the target level (i.e. 100%), and will be converted to service-based restricted stock units, which will contnue to vest based on the PSUs’ service-based vestng criteria untl the Vestng Date.</w:t>
      </w:r>
    </w:p>
    <w:p>
      <w:pPr>
        <w:spacing w:after="0" w:line="1" w:lineRule="exact"/>
        <w:rPr>
          <w:rFonts w:ascii="Arial" w:cs="Arial" w:eastAsia="Arial" w:hAnsi="Arial"/>
          <w:sz w:val="22"/>
          <w:szCs w:val="22"/>
          <w:color w:val="auto"/>
        </w:rPr>
      </w:pPr>
    </w:p>
    <w:p>
      <w:pPr>
        <w:ind w:left="660"/>
        <w:spacing w:after="0" w:line="221" w:lineRule="auto"/>
        <w:rPr>
          <w:rFonts w:ascii="Arial" w:cs="Arial" w:eastAsia="Arial" w:hAnsi="Arial"/>
          <w:sz w:val="22"/>
          <w:szCs w:val="22"/>
          <w:color w:val="auto"/>
        </w:rPr>
      </w:pPr>
      <w:r>
        <w:rPr>
          <w:rFonts w:ascii="Calibri" w:cs="Calibri" w:eastAsia="Calibri" w:hAnsi="Calibri"/>
          <w:sz w:val="18"/>
          <w:szCs w:val="18"/>
          <w:color w:val="auto"/>
        </w:rPr>
        <w:t>If the Partcipant’s actve employment with the Company or an Afliate is terminated by the Company or an Afliate without Cause or by the</w:t>
      </w:r>
    </w:p>
    <w:p>
      <w:pPr>
        <w:jc w:val="both"/>
        <w:spacing w:after="0" w:line="225" w:lineRule="auto"/>
        <w:rPr>
          <w:sz w:val="20"/>
          <w:szCs w:val="20"/>
          <w:color w:val="auto"/>
        </w:rPr>
      </w:pPr>
      <w:r>
        <w:rPr>
          <w:rFonts w:ascii="Calibri" w:cs="Calibri" w:eastAsia="Calibri" w:hAnsi="Calibri"/>
          <w:sz w:val="18"/>
          <w:szCs w:val="18"/>
          <w:color w:val="auto"/>
        </w:rPr>
        <w:t xml:space="preserve">Partcipant for Good Reason (for applicable Partcipants only) within 2 years of a Change in Control, any </w:t>
      </w:r>
      <w:r>
        <w:rPr>
          <w:rFonts w:ascii="Calibri" w:cs="Calibri" w:eastAsia="Calibri" w:hAnsi="Calibri"/>
          <w:sz w:val="21"/>
          <w:szCs w:val="21"/>
          <w:color w:val="auto"/>
        </w:rPr>
        <w:t>converted and any unvested PSUs will</w:t>
      </w:r>
      <w:r>
        <w:rPr>
          <w:rFonts w:ascii="Calibri" w:cs="Calibri" w:eastAsia="Calibri" w:hAnsi="Calibri"/>
          <w:sz w:val="18"/>
          <w:szCs w:val="18"/>
          <w:color w:val="auto"/>
        </w:rPr>
        <w:t xml:space="preserve"> </w:t>
      </w:r>
      <w:r>
        <w:rPr>
          <w:rFonts w:ascii="Calibri" w:cs="Calibri" w:eastAsia="Calibri" w:hAnsi="Calibri"/>
          <w:sz w:val="21"/>
          <w:szCs w:val="21"/>
          <w:color w:val="auto"/>
        </w:rPr>
        <w:t>become 100% vested on the terminaton date.</w:t>
      </w:r>
    </w:p>
    <w:p>
      <w:pPr>
        <w:spacing w:after="0" w:line="2"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If the acquiring or surviving company in the transacton does not assume or contnue outstanding awards under the Plan, immediately prior to the Change in Control, any unvested PSUs will become 100% vested based on deemed performance at the target level (i.e. 100%).</w:t>
      </w:r>
    </w:p>
    <w:p>
      <w:pPr>
        <w:jc w:val="both"/>
        <w:ind w:firstLine="648"/>
        <w:spacing w:after="0" w:line="224"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Cause</w:t>
      </w:r>
      <w:r>
        <w:rPr>
          <w:rFonts w:ascii="Calibri" w:cs="Calibri" w:eastAsia="Calibri" w:hAnsi="Calibri"/>
          <w:sz w:val="18"/>
          <w:szCs w:val="18"/>
          <w:color w:val="auto"/>
        </w:rPr>
        <w:t xml:space="preserve">” means (i) the Partcipant’s willful and contnued failure to substantally perform his, her or their dutes with the Company or an Afliate (other than any such failure </w:t>
      </w:r>
      <w:r>
        <w:rPr>
          <w:rFonts w:ascii="Calibri" w:cs="Calibri" w:eastAsia="Calibri" w:hAnsi="Calibri"/>
          <w:sz w:val="21"/>
          <w:szCs w:val="21"/>
          <w:color w:val="auto"/>
        </w:rPr>
        <w:t>resultng</w:t>
      </w:r>
      <w:r>
        <w:rPr>
          <w:rFonts w:ascii="Calibri" w:cs="Calibri" w:eastAsia="Calibri" w:hAnsi="Calibri"/>
          <w:sz w:val="18"/>
          <w:szCs w:val="18"/>
          <w:color w:val="auto"/>
        </w:rPr>
        <w:t xml:space="preserve"> from the Partcipant’s incapacity due to physical or mental illness) or (ii) the Partcipant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2" w:lineRule="exact"/>
        <w:rPr>
          <w:sz w:val="20"/>
          <w:szCs w:val="20"/>
          <w:color w:val="auto"/>
        </w:rPr>
      </w:pPr>
    </w:p>
    <w:p>
      <w:pPr>
        <w:jc w:val="both"/>
        <w:ind w:firstLine="648"/>
        <w:spacing w:after="0" w:line="219"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Good Reason</w:t>
      </w:r>
      <w:r>
        <w:rPr>
          <w:rFonts w:ascii="Calibri" w:cs="Calibri" w:eastAsia="Calibri" w:hAnsi="Calibri"/>
          <w:sz w:val="18"/>
          <w:szCs w:val="18"/>
          <w:color w:val="auto"/>
        </w:rPr>
        <w:t>” means, without the Partcipant’s express writen consent (i) a reducton in annual target total cash compensaton (base salary and target bonus), (ii) the assignment of any dutes inconsistent in any material adverse respect with the Partcipant’s positon, authority, dutes or responsibilites, (iii) any other acton by the Company or an Afliate which results in a material diminuton in such positon, authority, dutes or responsibilites; or (iv) the Company or an Afliate requiring the Partcipant to relocate to a work locaton 50 miles or more from the locaton where the Partcipant was principally working immediately prior to the Change in Control. The Partcipant must give notce within 90 days of any Good Reason event.</w:t>
      </w:r>
    </w:p>
    <w:p>
      <w:pPr>
        <w:spacing w:after="0" w:line="4"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Good Reason only applies to Company or Afliate employees who are at the tme of terminaton of employment, or were at any tme during the 2 year period immediately preceding the Change in Control, covered by the Xylem Special Senior Executve Severance Pay Plan or the Xylem Enhanced Severance Pay Plan and will exclude an isolated, insubstantal and inadvertent acton not taken in bad faith that is resolved by the Company or an Afliate within 30 days of receiving notce.</w:t>
      </w:r>
    </w:p>
    <w:p>
      <w:pPr>
        <w:sectPr>
          <w:pgSz w:w="11900" w:h="16838" w:orient="portrait"/>
          <w:cols w:equalWidth="0" w:num="1">
            <w:col w:w="11240"/>
          </w:cols>
          <w:pgMar w:left="320" w:top="1395" w:right="339" w:bottom="1440" w:gutter="0" w:footer="0" w:header="0"/>
        </w:sectPr>
      </w:pPr>
    </w:p>
    <w:bookmarkStart w:id="75" w:name="page76"/>
    <w:bookmarkEnd w:id="75"/>
    <w:p>
      <w:pPr>
        <w:spacing w:after="0" w:line="14" w:lineRule="exact"/>
        <w:rPr>
          <w:sz w:val="20"/>
          <w:szCs w:val="20"/>
          <w:color w:val="auto"/>
        </w:rPr>
      </w:pPr>
    </w:p>
    <w:p>
      <w:pPr>
        <w:jc w:val="both"/>
        <w:ind w:left="660" w:hanging="328"/>
        <w:spacing w:after="0" w:line="216" w:lineRule="auto"/>
        <w:tabs>
          <w:tab w:leader="none" w:pos="651" w:val="left"/>
        </w:tabs>
        <w:numPr>
          <w:ilvl w:val="0"/>
          <w:numId w:val="63"/>
        </w:numPr>
        <w:rPr>
          <w:rFonts w:ascii="Arial" w:cs="Arial" w:eastAsia="Arial" w:hAnsi="Arial"/>
          <w:sz w:val="22"/>
          <w:szCs w:val="22"/>
          <w:color w:val="auto"/>
        </w:rPr>
      </w:pPr>
      <w:r>
        <w:rPr>
          <w:rFonts w:ascii="Calibri" w:cs="Calibri" w:eastAsia="Calibri" w:hAnsi="Calibri"/>
          <w:sz w:val="18"/>
          <w:szCs w:val="18"/>
          <w:b w:val="1"/>
          <w:bCs w:val="1"/>
          <w:color w:val="auto"/>
        </w:rPr>
        <w:t xml:space="preserve">Efect of Terminaton of Employment. </w:t>
      </w:r>
      <w:r>
        <w:rPr>
          <w:rFonts w:ascii="Calibri" w:cs="Calibri" w:eastAsia="Calibri" w:hAnsi="Calibri"/>
          <w:sz w:val="18"/>
          <w:szCs w:val="18"/>
          <w:color w:val="auto"/>
        </w:rPr>
        <w:t>Earned PSUs will only vest if the Partcipant is actvely employed by the Company or an Afliate through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Vestng Date. If the Partcipant's actve employment is terminated for any reason prior to the Vestng Date, and the terminaton consttutes a “separaton from service” within the meaning of Secton 409A of the Code and any related regulatons or other efectve guidance promulgated thereunder (“</w:t>
      </w:r>
      <w:r>
        <w:rPr>
          <w:rFonts w:ascii="Calibri" w:cs="Calibri" w:eastAsia="Calibri" w:hAnsi="Calibri"/>
          <w:sz w:val="21"/>
          <w:szCs w:val="21"/>
          <w:b w:val="1"/>
          <w:bCs w:val="1"/>
          <w:color w:val="auto"/>
        </w:rPr>
        <w:t>Secton 409A</w:t>
      </w:r>
      <w:r>
        <w:rPr>
          <w:rFonts w:ascii="Calibri" w:cs="Calibri" w:eastAsia="Calibri" w:hAnsi="Calibri"/>
          <w:sz w:val="18"/>
          <w:szCs w:val="18"/>
          <w:color w:val="auto"/>
        </w:rPr>
        <w:t>”), subject to subsecton 2(d), the following would apply to any unvested PSUs:</w:t>
      </w:r>
    </w:p>
    <w:p>
      <w:pPr>
        <w:spacing w:after="0" w:line="49" w:lineRule="exact"/>
        <w:rPr>
          <w:rFonts w:ascii="Arial" w:cs="Arial" w:eastAsia="Arial" w:hAnsi="Arial"/>
          <w:sz w:val="22"/>
          <w:szCs w:val="22"/>
          <w:color w:val="auto"/>
        </w:rPr>
      </w:pPr>
    </w:p>
    <w:p>
      <w:pPr>
        <w:ind w:left="1960" w:right="20" w:hanging="332"/>
        <w:spacing w:after="0" w:line="214" w:lineRule="auto"/>
        <w:tabs>
          <w:tab w:leader="none" w:pos="1951" w:val="left"/>
        </w:tabs>
        <w:numPr>
          <w:ilvl w:val="1"/>
          <w:numId w:val="63"/>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Death, Disability, or Retrement</w:t>
      </w:r>
      <w:r>
        <w:rPr>
          <w:rFonts w:ascii="Calibri" w:cs="Calibri" w:eastAsia="Calibri" w:hAnsi="Calibri"/>
          <w:sz w:val="18"/>
          <w:szCs w:val="18"/>
          <w:color w:val="auto"/>
        </w:rPr>
        <w:t>. A prorated porton (as described below) of the unvested PSUs will remain outstanding and therefore contnue to be eligible to vest based on actual Company performance during the Performance Period. A prorated porton (as described below) of the earned PSUs will be paid out on the Vestng Date.</w:t>
      </w:r>
    </w:p>
    <w:p>
      <w:pPr>
        <w:spacing w:after="0" w:line="1" w:lineRule="exact"/>
        <w:rPr>
          <w:rFonts w:ascii="Arial" w:cs="Arial" w:eastAsia="Arial" w:hAnsi="Arial"/>
          <w:sz w:val="22"/>
          <w:szCs w:val="22"/>
          <w:color w:val="auto"/>
        </w:rPr>
      </w:pPr>
    </w:p>
    <w:p>
      <w:pPr>
        <w:ind w:left="1940" w:hanging="312"/>
        <w:spacing w:after="0" w:line="228" w:lineRule="auto"/>
        <w:tabs>
          <w:tab w:leader="none" w:pos="1940" w:val="left"/>
        </w:tabs>
        <w:numPr>
          <w:ilvl w:val="1"/>
          <w:numId w:val="63"/>
        </w:numPr>
        <w:rPr>
          <w:rFonts w:ascii="Arial" w:cs="Arial" w:eastAsia="Arial" w:hAnsi="Arial"/>
          <w:sz w:val="22"/>
          <w:szCs w:val="22"/>
          <w:color w:val="auto"/>
        </w:rPr>
      </w:pPr>
      <w:r>
        <w:rPr>
          <w:rFonts w:ascii="Calibri" w:cs="Calibri" w:eastAsia="Calibri" w:hAnsi="Calibri"/>
          <w:sz w:val="18"/>
          <w:szCs w:val="18"/>
          <w:u w:val="single" w:color="auto"/>
          <w:color w:val="auto"/>
        </w:rPr>
        <w:t>Terminaton other than for Death, Disability, or Retrement</w:t>
      </w:r>
      <w:r>
        <w:rPr>
          <w:rFonts w:ascii="Calibri" w:cs="Calibri" w:eastAsia="Calibri" w:hAnsi="Calibri"/>
          <w:sz w:val="18"/>
          <w:szCs w:val="18"/>
          <w:color w:val="auto"/>
        </w:rPr>
        <w:t>. All PSUs will automatcally be forfeited.</w:t>
      </w:r>
    </w:p>
    <w:p>
      <w:pPr>
        <w:spacing w:after="0" w:line="25" w:lineRule="exact"/>
        <w:rPr>
          <w:sz w:val="20"/>
          <w:szCs w:val="20"/>
          <w:color w:val="auto"/>
        </w:rPr>
      </w:pPr>
    </w:p>
    <w:p>
      <w:pPr>
        <w:jc w:val="both"/>
        <w:ind w:firstLine="648"/>
        <w:spacing w:after="0" w:line="215"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Commitee upon the basis of such evidence, including independent medical reports and data, as the Commitee deems appropriate or necessary.</w:t>
      </w:r>
    </w:p>
    <w:p>
      <w:pPr>
        <w:spacing w:after="0" w:line="1"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spacing w:after="0" w:line="1" w:lineRule="exact"/>
        <w:rPr>
          <w:sz w:val="20"/>
          <w:szCs w:val="20"/>
          <w:color w:val="auto"/>
        </w:rPr>
      </w:pPr>
    </w:p>
    <w:p>
      <w:pPr>
        <w:ind w:right="200" w:firstLine="648"/>
        <w:spacing w:after="0" w:line="221" w:lineRule="auto"/>
        <w:rPr>
          <w:sz w:val="20"/>
          <w:szCs w:val="20"/>
          <w:color w:val="auto"/>
        </w:rPr>
      </w:pPr>
      <w:r>
        <w:rPr>
          <w:rFonts w:ascii="Calibri" w:cs="Calibri" w:eastAsia="Calibri" w:hAnsi="Calibri"/>
          <w:sz w:val="18"/>
          <w:szCs w:val="18"/>
          <w:b w:val="1"/>
          <w:bCs w:val="1"/>
          <w:color w:val="auto"/>
        </w:rPr>
        <w:t>Prorated Vestng</w:t>
      </w:r>
      <w:r>
        <w:rPr>
          <w:rFonts w:ascii="Calibri" w:cs="Calibri" w:eastAsia="Calibri" w:hAnsi="Calibri"/>
          <w:sz w:val="18"/>
          <w:szCs w:val="18"/>
          <w:color w:val="auto"/>
        </w:rPr>
        <w:t>. The prorated porton of the PSUs that vests on the Vestng Date following the Partcipant's Death, Disability or Retrement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while Retrement Eligible) will be determined by multplying the total number of PSUs the Partcipant would have earned based on actual performance by a fracton, of which the numerator is the number of months (not to exceed 36) the Partcipant had been contnually employed since the beginning of the Performance Period untl his, her or their Death, Disability or Retrement and the denominator is 36.</w:t>
      </w:r>
    </w:p>
    <w:p>
      <w:pPr>
        <w:spacing w:after="0" w:line="42" w:lineRule="exact"/>
        <w:rPr>
          <w:sz w:val="20"/>
          <w:szCs w:val="20"/>
          <w:color w:val="auto"/>
        </w:rPr>
      </w:pPr>
    </w:p>
    <w:p>
      <w:pPr>
        <w:jc w:val="both"/>
        <w:ind w:left="660" w:hanging="328"/>
        <w:spacing w:after="0" w:line="216" w:lineRule="auto"/>
        <w:tabs>
          <w:tab w:leader="none" w:pos="651" w:val="left"/>
        </w:tabs>
        <w:numPr>
          <w:ilvl w:val="0"/>
          <w:numId w:val="64"/>
        </w:numPr>
        <w:rPr>
          <w:rFonts w:ascii="Arial" w:cs="Arial" w:eastAsia="Arial" w:hAnsi="Arial"/>
          <w:sz w:val="22"/>
          <w:szCs w:val="22"/>
          <w:color w:val="auto"/>
        </w:rPr>
      </w:pPr>
      <w:r>
        <w:rPr>
          <w:rFonts w:ascii="Calibri" w:cs="Calibri" w:eastAsia="Calibri" w:hAnsi="Calibri"/>
          <w:sz w:val="18"/>
          <w:szCs w:val="18"/>
          <w:b w:val="1"/>
          <w:bCs w:val="1"/>
          <w:color w:val="auto"/>
        </w:rPr>
        <w:t xml:space="preserve">Tax Withholding. </w:t>
      </w:r>
      <w:r>
        <w:rPr>
          <w:rFonts w:ascii="Calibri" w:cs="Calibri" w:eastAsia="Calibri" w:hAnsi="Calibri"/>
          <w:sz w:val="18"/>
          <w:szCs w:val="18"/>
          <w:color w:val="auto"/>
        </w:rPr>
        <w:t>The Company may make such provisions and take such actons as it may deem necessary for the withholding of all applicable taxes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atributable to the PSUs and any related dividend equivalents. Unless the Commitee determines otherwise, the minimum statutory tax withholding required to be withheld on delivery of the Shares (or such other amount that will not cause an adverse accountng consequence or cost) and payment of dividend equivalents will be satsfed by withholding a number of Shares having an aggregate Fair Market Value equal to the minimum statutory tax required to be withheld (or such other amount that will not cause an adverse accountng consequence or cost). If this withholding would result in a fractonal Share being withheld, the number of Shares withheld will be rounded up to the nearest whole Share. If FICA taxes are required to be withheld while the PSUs are outstanding, the withholding will be made in a manner determined by the Company.</w:t>
      </w:r>
    </w:p>
    <w:p>
      <w:pPr>
        <w:spacing w:after="0" w:line="42"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64"/>
        </w:numPr>
        <w:rPr>
          <w:rFonts w:ascii="Arial" w:cs="Arial" w:eastAsia="Arial" w:hAnsi="Arial"/>
          <w:sz w:val="22"/>
          <w:szCs w:val="22"/>
          <w:color w:val="auto"/>
        </w:rPr>
      </w:pPr>
      <w:r>
        <w:rPr>
          <w:rFonts w:ascii="Calibri" w:cs="Calibri" w:eastAsia="Calibri" w:hAnsi="Calibri"/>
          <w:sz w:val="18"/>
          <w:szCs w:val="18"/>
          <w:b w:val="1"/>
          <w:bCs w:val="1"/>
          <w:color w:val="auto"/>
        </w:rPr>
        <w:t xml:space="preserve">Partcipant Covenants and Forfeiture and Clawback Provisions. </w:t>
      </w:r>
      <w:r>
        <w:rPr>
          <w:rFonts w:ascii="Calibri" w:cs="Calibri" w:eastAsia="Calibri" w:hAnsi="Calibri"/>
          <w:sz w:val="18"/>
          <w:szCs w:val="18"/>
          <w:color w:val="auto"/>
        </w:rPr>
        <w:t>The Partcipant acknowledges and agrees that the PSUs, whether previously vested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or not, may be cancelled in full, and the Partcipant may be required to return to the Company any Shares received on setlement of vested PSUs or the net afer-tax income, or the pre-tax value to the extent required by applicable law and/or the Company’s Recoupment of Incentve-Based Compensaton Policy 40-05, from any dispositon of any Shares received upon setlement of vested PSUs, to the extent required by applicable law and/or the Company Policy 40-05, or if the Commitee, in its sole discreton, determines that the Partcipant:</w:t>
      </w:r>
    </w:p>
    <w:p>
      <w:pPr>
        <w:spacing w:after="0" w:line="14" w:lineRule="exact"/>
        <w:rPr>
          <w:rFonts w:ascii="Arial" w:cs="Arial" w:eastAsia="Arial" w:hAnsi="Arial"/>
          <w:sz w:val="22"/>
          <w:szCs w:val="22"/>
          <w:color w:val="auto"/>
        </w:rPr>
      </w:pPr>
    </w:p>
    <w:p>
      <w:pPr>
        <w:ind w:left="1260" w:hanging="199"/>
        <w:spacing w:after="0"/>
        <w:tabs>
          <w:tab w:leader="none" w:pos="126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Has engaged in any actvity in violaton of Company policies, including the Company’s Code of Conduct;</w:t>
      </w:r>
    </w:p>
    <w:p>
      <w:pPr>
        <w:spacing w:after="0" w:line="23" w:lineRule="exact"/>
        <w:rPr>
          <w:rFonts w:ascii="Calibri" w:cs="Calibri" w:eastAsia="Calibri" w:hAnsi="Calibri"/>
          <w:sz w:val="18"/>
          <w:szCs w:val="18"/>
          <w:color w:val="auto"/>
        </w:rPr>
      </w:pPr>
    </w:p>
    <w:p>
      <w:pPr>
        <w:ind w:left="1300" w:hanging="239"/>
        <w:spacing w:after="0"/>
        <w:tabs>
          <w:tab w:leader="none" w:pos="130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Has engaged in conduct materially adverse to the best interests of the Company or its Afliates; or</w:t>
      </w:r>
    </w:p>
    <w:p>
      <w:pPr>
        <w:spacing w:after="0" w:line="14" w:lineRule="exact"/>
        <w:rPr>
          <w:rFonts w:ascii="Calibri" w:cs="Calibri" w:eastAsia="Calibri" w:hAnsi="Calibri"/>
          <w:sz w:val="18"/>
          <w:szCs w:val="18"/>
          <w:color w:val="auto"/>
        </w:rPr>
      </w:pPr>
    </w:p>
    <w:p>
      <w:pPr>
        <w:ind w:firstLine="1061"/>
        <w:spacing w:after="0" w:line="235" w:lineRule="auto"/>
        <w:tabs>
          <w:tab w:leader="none" w:pos="1342"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Uses, discloses, misappropriates or transfers confdental or proprietary informaton concerning the Company or its Afliates (except as required by the Partcipant’s work responsibilites with the Company or its Afliates);</w:t>
      </w:r>
    </w:p>
    <w:p>
      <w:pPr>
        <w:sectPr>
          <w:pgSz w:w="11900" w:h="16838" w:orient="portrait"/>
          <w:cols w:equalWidth="0" w:num="1">
            <w:col w:w="11240"/>
          </w:cols>
          <w:pgMar w:left="320" w:top="1440" w:right="339" w:bottom="1440" w:gutter="0" w:footer="0" w:header="0"/>
        </w:sectPr>
      </w:pPr>
    </w:p>
    <w:bookmarkStart w:id="76" w:name="page77"/>
    <w:bookmarkEnd w:id="76"/>
    <w:p>
      <w:pPr>
        <w:jc w:val="both"/>
        <w:ind w:right="20" w:firstLine="1061"/>
        <w:spacing w:after="0" w:line="231" w:lineRule="auto"/>
        <w:tabs>
          <w:tab w:leader="none" w:pos="1328" w:val="left"/>
        </w:tabs>
        <w:numPr>
          <w:ilvl w:val="1"/>
          <w:numId w:val="65"/>
        </w:numPr>
        <w:rPr>
          <w:rFonts w:ascii="Calibri" w:cs="Calibri" w:eastAsia="Calibri" w:hAnsi="Calibri"/>
          <w:sz w:val="18"/>
          <w:szCs w:val="18"/>
          <w:color w:val="auto"/>
        </w:rPr>
      </w:pPr>
      <w:r>
        <w:rPr>
          <w:rFonts w:ascii="Calibri" w:cs="Calibri" w:eastAsia="Calibri" w:hAnsi="Calibri"/>
          <w:sz w:val="18"/>
          <w:szCs w:val="18"/>
          <w:color w:val="auto"/>
        </w:rPr>
        <w:t xml:space="preserve">Directly or indirectly, hires or solicits or arranges for the hiring or solicitaton of any employee or customer of the Company or its Afliates, or encourages any employee to leave the Company or an Afliate any tme during the Partcipant’s employment and for 12 months afer terminaton of his or her employment (subject to applicable restrictons included in </w:t>
      </w:r>
      <w:r>
        <w:rPr>
          <w:rFonts w:ascii="Calibri" w:cs="Calibri" w:eastAsia="Calibri" w:hAnsi="Calibri"/>
          <w:sz w:val="21"/>
          <w:szCs w:val="21"/>
          <w:u w:val="single" w:color="auto"/>
          <w:color w:val="auto"/>
        </w:rPr>
        <w:t>Exhibit 1</w:t>
      </w:r>
      <w:r>
        <w:rPr>
          <w:rFonts w:ascii="Calibri" w:cs="Calibri" w:eastAsia="Calibri" w:hAnsi="Calibri"/>
          <w:sz w:val="18"/>
          <w:szCs w:val="18"/>
          <w:color w:val="auto"/>
        </w:rPr>
        <w:t xml:space="preserve"> atached hereto).</w:t>
      </w:r>
    </w:p>
    <w:p>
      <w:pPr>
        <w:jc w:val="both"/>
        <w:ind w:firstLine="972"/>
        <w:spacing w:after="0" w:line="222" w:lineRule="auto"/>
        <w:rPr>
          <w:rFonts w:ascii="Calibri" w:cs="Calibri" w:eastAsia="Calibri" w:hAnsi="Calibri"/>
          <w:sz w:val="18"/>
          <w:szCs w:val="18"/>
          <w:color w:val="auto"/>
        </w:rPr>
      </w:pPr>
      <w:r>
        <w:rPr>
          <w:rFonts w:ascii="Calibri" w:cs="Calibri" w:eastAsia="Calibri" w:hAnsi="Calibri"/>
          <w:sz w:val="18"/>
          <w:szCs w:val="18"/>
          <w:color w:val="auto"/>
        </w:rPr>
        <w:t>The Partcipant agrees, understands and acknowledges that the scope and duraton of the Partcipant obligatons contained in this Agreement are reasonable and necessary to protect a legitmate, protectable interest of the Company and its Afliates, and that the Commitee, in its sole discreton, may require the Partcipant, as a conditon to lapsing any restrictons on the Optons, to acknowledge in writng that the Partcipant has not engaged, and is not in the process of engaging, in any of the actvites described in this subsecton.</w:t>
      </w:r>
    </w:p>
    <w:p>
      <w:pPr>
        <w:jc w:val="both"/>
        <w:ind w:firstLine="972"/>
        <w:spacing w:after="0" w:line="219" w:lineRule="auto"/>
        <w:rPr>
          <w:rFonts w:ascii="Calibri" w:cs="Calibri" w:eastAsia="Calibri" w:hAnsi="Calibri"/>
          <w:sz w:val="18"/>
          <w:szCs w:val="18"/>
          <w:color w:val="auto"/>
        </w:rPr>
      </w:pPr>
      <w:r>
        <w:rPr>
          <w:rFonts w:ascii="Calibri" w:cs="Calibri" w:eastAsia="Calibri" w:hAnsi="Calibri"/>
          <w:sz w:val="18"/>
          <w:szCs w:val="18"/>
          <w:color w:val="auto"/>
        </w:rPr>
        <w:t>The obligatons in this subsecton are in additon to any other agreements related to non-competton, non-solicitaton and preservaton of Company confdental and proprietary informaton entered into between the Partcipant and the Company, or otherwise applicable to the Partcipant,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Partcipant from voluntarily communicatng, without notce to or approval by the Company, with any federal government agency about a potental violaton of a federal law or regulaton.</w:t>
      </w:r>
    </w:p>
    <w:p>
      <w:pPr>
        <w:spacing w:after="0" w:line="43" w:lineRule="exact"/>
        <w:rPr>
          <w:rFonts w:ascii="Calibri" w:cs="Calibri" w:eastAsia="Calibri" w:hAnsi="Calibri"/>
          <w:sz w:val="18"/>
          <w:szCs w:val="18"/>
          <w:color w:val="auto"/>
        </w:rPr>
      </w:pPr>
    </w:p>
    <w:p>
      <w:pPr>
        <w:jc w:val="both"/>
        <w:ind w:left="660" w:hanging="328"/>
        <w:spacing w:after="0" w:line="218" w:lineRule="auto"/>
        <w:tabs>
          <w:tab w:leader="none" w:pos="651" w:val="left"/>
        </w:tabs>
        <w:numPr>
          <w:ilvl w:val="0"/>
          <w:numId w:val="66"/>
        </w:numPr>
        <w:rPr>
          <w:rFonts w:ascii="Arial" w:cs="Arial" w:eastAsia="Arial" w:hAnsi="Arial"/>
          <w:sz w:val="22"/>
          <w:szCs w:val="22"/>
          <w:color w:val="auto"/>
        </w:rPr>
      </w:pPr>
      <w:r>
        <w:rPr>
          <w:rFonts w:ascii="Calibri" w:cs="Calibri" w:eastAsia="Calibri" w:hAnsi="Calibri"/>
          <w:sz w:val="18"/>
          <w:szCs w:val="18"/>
          <w:b w:val="1"/>
          <w:bCs w:val="1"/>
          <w:color w:val="auto"/>
        </w:rPr>
        <w:t>Injunctve Acton</w:t>
      </w:r>
      <w:r>
        <w:rPr>
          <w:rFonts w:ascii="Calibri" w:cs="Calibri" w:eastAsia="Calibri" w:hAnsi="Calibri"/>
          <w:sz w:val="18"/>
          <w:szCs w:val="18"/>
          <w:color w:val="auto"/>
        </w:rPr>
        <w:t>. The Partcipant acknowledges that if the Partcipant violates the terms of subsecton 2(g), the injury that would be sufered by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and/or an Afliate as a result of a breach of the provisions of this Agreement (including any covenant described in subsecton 2(g)) would be irreparable and that an award of monetary damages to the Company and/or an Afliate for such a breach would be an inadequate remedy. Consequently, the Company and/or an Afliate shall have the right, in additon to any other rights it may have, including the right to forfeiture and clawback under this Agreement, to obtain injunctve relief to restrain any breach or threatened breach or otherwise to specifcally enforce any provision of this Agreement, and the Company and/or an Afliate will not be obligated to post bond or other security in seeking such relief. Without limitng the Company’s or Afliate’s rights under subsecton 2(g) or any other remedies of the Company or an Afliate, if the Partcipant breaches any covenant described in subsecton 2(g), the Company will have the right to cancel this Agreement.</w:t>
      </w:r>
    </w:p>
    <w:p>
      <w:pPr>
        <w:spacing w:after="0" w:line="45" w:lineRule="exact"/>
        <w:rPr>
          <w:rFonts w:ascii="Arial" w:cs="Arial" w:eastAsia="Arial" w:hAnsi="Arial"/>
          <w:sz w:val="22"/>
          <w:szCs w:val="22"/>
          <w:color w:val="auto"/>
        </w:rPr>
      </w:pPr>
    </w:p>
    <w:p>
      <w:pPr>
        <w:jc w:val="both"/>
        <w:ind w:left="660" w:hanging="328"/>
        <w:spacing w:after="0" w:line="217" w:lineRule="auto"/>
        <w:tabs>
          <w:tab w:leader="none" w:pos="651" w:val="left"/>
        </w:tabs>
        <w:numPr>
          <w:ilvl w:val="0"/>
          <w:numId w:val="66"/>
        </w:numPr>
        <w:rPr>
          <w:rFonts w:ascii="Arial" w:cs="Arial" w:eastAsia="Arial" w:hAnsi="Arial"/>
          <w:sz w:val="22"/>
          <w:szCs w:val="22"/>
          <w:color w:val="auto"/>
        </w:rPr>
      </w:pPr>
      <w:r>
        <w:rPr>
          <w:rFonts w:ascii="Calibri" w:cs="Calibri" w:eastAsia="Calibri" w:hAnsi="Calibri"/>
          <w:sz w:val="18"/>
          <w:szCs w:val="18"/>
          <w:b w:val="1"/>
          <w:bCs w:val="1"/>
          <w:color w:val="auto"/>
        </w:rPr>
        <w:t>Electronic Delivery and Acceptance</w:t>
      </w:r>
      <w:r>
        <w:rPr>
          <w:rFonts w:ascii="Calibri" w:cs="Calibri" w:eastAsia="Calibri" w:hAnsi="Calibri"/>
          <w:sz w:val="18"/>
          <w:szCs w:val="18"/>
          <w:color w:val="auto"/>
        </w:rPr>
        <w:t>. The Partcipant consents to electronic delivery of any Plan documents. The Partcipant consents to any and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procedures that the Company has established or may establish for an electronic signature system for delivery and acceptance of Plan related documents. The Partcipant agrees that his, her or their electronic signature is the same as, and will have the same force and efect as, his, her or their manual signature. The Partcipant understands and agrees that if this Agreement is not accepted within 90 days of the Grant Date, the award is forfeited in full. Partcipant agrees that these procedures and delivery may be efected by a third party engaged by the Company to provide administratve services related to the Plan.</w:t>
      </w:r>
    </w:p>
    <w:p>
      <w:pPr>
        <w:spacing w:after="0" w:line="45" w:lineRule="exact"/>
        <w:rPr>
          <w:rFonts w:ascii="Arial" w:cs="Arial" w:eastAsia="Arial" w:hAnsi="Arial"/>
          <w:sz w:val="22"/>
          <w:szCs w:val="22"/>
          <w:color w:val="auto"/>
        </w:rPr>
      </w:pPr>
    </w:p>
    <w:p>
      <w:pPr>
        <w:jc w:val="both"/>
        <w:ind w:left="660" w:hanging="328"/>
        <w:spacing w:after="0" w:line="215" w:lineRule="auto"/>
        <w:tabs>
          <w:tab w:leader="none" w:pos="652" w:val="left"/>
        </w:tabs>
        <w:numPr>
          <w:ilvl w:val="0"/>
          <w:numId w:val="66"/>
        </w:numPr>
        <w:rPr>
          <w:rFonts w:ascii="Arial" w:cs="Arial" w:eastAsia="Arial" w:hAnsi="Arial"/>
          <w:sz w:val="22"/>
          <w:szCs w:val="22"/>
          <w:color w:val="auto"/>
        </w:rPr>
      </w:pPr>
      <w:r>
        <w:rPr>
          <w:rFonts w:ascii="Calibri" w:cs="Calibri" w:eastAsia="Calibri" w:hAnsi="Calibri"/>
          <w:sz w:val="18"/>
          <w:szCs w:val="18"/>
          <w:b w:val="1"/>
          <w:bCs w:val="1"/>
          <w:color w:val="auto"/>
        </w:rPr>
        <w:t>Right of Set-Of</w:t>
      </w:r>
      <w:r>
        <w:rPr>
          <w:rFonts w:ascii="Calibri" w:cs="Calibri" w:eastAsia="Calibri" w:hAnsi="Calibri"/>
          <w:sz w:val="18"/>
          <w:szCs w:val="18"/>
          <w:color w:val="auto"/>
        </w:rPr>
        <w:t>. If the Company in its reasonable judgment determines that the Partcipant owes the Company or an Afliate any amount due to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loan, obligaton or indebtedness, including amounts owed under the Company’s tax equalizaton program or the Company’s policies with respect to travel and business expenses, and the Partcipant has not satsfed these obligaton(s), the Company may instruct the plan administrator to withhold and/or sell Shares acquired by the Partcipant on setlement of the PSUs (to the extent such PSUs are not subject to Code Secton 409A), or the Company may deduct funds equal to the amount of the obligaton from other funds due to the Partcipant from the Company to the maximum extent permited by Code Secton 409A.</w:t>
      </w:r>
    </w:p>
    <w:p>
      <w:pPr>
        <w:spacing w:after="0" w:line="43" w:lineRule="exact"/>
        <w:rPr>
          <w:rFonts w:ascii="Arial" w:cs="Arial" w:eastAsia="Arial" w:hAnsi="Arial"/>
          <w:sz w:val="22"/>
          <w:szCs w:val="22"/>
          <w:color w:val="auto"/>
        </w:rPr>
      </w:pPr>
    </w:p>
    <w:p>
      <w:pPr>
        <w:jc w:val="both"/>
        <w:ind w:left="660" w:hanging="328"/>
        <w:spacing w:after="0" w:line="214" w:lineRule="auto"/>
        <w:tabs>
          <w:tab w:leader="none" w:pos="651" w:val="left"/>
        </w:tabs>
        <w:numPr>
          <w:ilvl w:val="0"/>
          <w:numId w:val="66"/>
        </w:numPr>
        <w:rPr>
          <w:rFonts w:ascii="Arial" w:cs="Arial" w:eastAsia="Arial" w:hAnsi="Arial"/>
          <w:sz w:val="22"/>
          <w:szCs w:val="22"/>
          <w:color w:val="auto"/>
        </w:rPr>
      </w:pPr>
      <w:r>
        <w:rPr>
          <w:rFonts w:ascii="Calibri" w:cs="Calibri" w:eastAsia="Calibri" w:hAnsi="Calibri"/>
          <w:sz w:val="18"/>
          <w:szCs w:val="18"/>
          <w:b w:val="1"/>
          <w:bCs w:val="1"/>
          <w:color w:val="auto"/>
        </w:rPr>
        <w:t>Data Privacy</w:t>
      </w:r>
      <w:r>
        <w:rPr>
          <w:rFonts w:ascii="Calibri" w:cs="Calibri" w:eastAsia="Calibri" w:hAnsi="Calibri"/>
          <w:sz w:val="18"/>
          <w:szCs w:val="18"/>
          <w:color w:val="auto"/>
        </w:rPr>
        <w:t>. Partcipant acknowledges and consents to the collecton, use, processing and transfer of personal data. Partcipant is not obliged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consent to such collecton, use, processing and transfer of personal data. However, failure to provide the consent may afect Partcipant’s ability to partcipate in the Plan. The Company holds certain personal informaton about Partcipant, that may include his/her name,</w:t>
      </w:r>
    </w:p>
    <w:p>
      <w:pPr>
        <w:sectPr>
          <w:pgSz w:w="11900" w:h="16838" w:orient="portrait"/>
          <w:cols w:equalWidth="0" w:num="1">
            <w:col w:w="11240"/>
          </w:cols>
          <w:pgMar w:left="320" w:top="1427" w:right="339" w:bottom="1440" w:gutter="0" w:footer="0" w:header="0"/>
        </w:sectPr>
      </w:pPr>
    </w:p>
    <w:bookmarkStart w:id="77" w:name="page78"/>
    <w:bookmarkEnd w:id="77"/>
    <w:p>
      <w:pPr>
        <w:jc w:val="both"/>
        <w:ind w:left="328"/>
        <w:spacing w:after="0" w:line="221" w:lineRule="auto"/>
        <w:rPr>
          <w:sz w:val="20"/>
          <w:szCs w:val="20"/>
          <w:color w:val="auto"/>
        </w:rPr>
      </w:pPr>
      <w:r>
        <w:rPr>
          <w:rFonts w:ascii="Calibri" w:cs="Calibri" w:eastAsia="Calibri" w:hAnsi="Calibri"/>
          <w:sz w:val="18"/>
          <w:szCs w:val="18"/>
          <w:color w:val="auto"/>
        </w:rPr>
        <w:t>home address and telephone number, date of birth, social security number or other employee identfcaton number, salary grade, hire data, salary, natonality, job ttle, or details of all optons or performance stock units or any other enttlement to Shares of stock awarded, canceled, purchased, vested, or unvested, for the purpose of managing and administering the Plan (“</w:t>
      </w:r>
      <w:r>
        <w:rPr>
          <w:rFonts w:ascii="Calibri" w:cs="Calibri" w:eastAsia="Calibri" w:hAnsi="Calibri"/>
          <w:sz w:val="21"/>
          <w:szCs w:val="21"/>
          <w:b w:val="1"/>
          <w:bCs w:val="1"/>
          <w:color w:val="auto"/>
        </w:rPr>
        <w:t>Data</w:t>
      </w:r>
      <w:r>
        <w:rPr>
          <w:rFonts w:ascii="Calibri" w:cs="Calibri" w:eastAsia="Calibri" w:hAnsi="Calibri"/>
          <w:sz w:val="18"/>
          <w:szCs w:val="18"/>
          <w:color w:val="auto"/>
        </w:rPr>
        <w:t>”). The Company and its Afliates will transfer Data amongst themselves as necessary for the purpose of implementaton, administraton and management of Partcipant’s partcipaton in the Plan, and the Company or its Afliates may each further transfer Data to any third partes assistng the Company with the implementaton, administraton and management of the Plan. These recipients may be located throughout the world, including the United States. The Partcipant authorizes them to receive, possess, use, retain and transfer the Data, in electronic or other form, for the purposes of implementng, administering and managing partcipaton in the Plan, including any transfer of Data that may be required for the administraton of the Plan and/or the subsequent holding of Shares of stock on Partcipant’s behalf to a broker or other third party with whom Partcipant may elect to deposit any Shares of stock acquired pursuant to the Plan. Partcipant may, at any tme, review Data, require any necessary amendments to it or withdraw consent in writng by contactng Partcipant’s designated Human Resources professional; however, withdrawing consent may afect Partcipant’s ability to partcipate in the Plan. All Data will be managed in compliance with the Company’s Data Privacy Guidelines and applicable employee notfcatons, which may contain more stringent requirements, but in any case will not be less stringent than this subsecton 2(k).</w:t>
      </w:r>
    </w:p>
    <w:p>
      <w:pPr>
        <w:spacing w:after="0" w:line="49" w:lineRule="exact"/>
        <w:rPr>
          <w:sz w:val="20"/>
          <w:szCs w:val="20"/>
          <w:color w:val="auto"/>
        </w:rPr>
      </w:pPr>
    </w:p>
    <w:p>
      <w:pPr>
        <w:ind w:left="328" w:hanging="328"/>
        <w:spacing w:after="0" w:line="211" w:lineRule="auto"/>
        <w:tabs>
          <w:tab w:leader="none" w:pos="319" w:val="left"/>
        </w:tabs>
        <w:numPr>
          <w:ilvl w:val="0"/>
          <w:numId w:val="67"/>
        </w:numPr>
        <w:rPr>
          <w:rFonts w:ascii="Arial" w:cs="Arial" w:eastAsia="Arial" w:hAnsi="Arial"/>
          <w:sz w:val="22"/>
          <w:szCs w:val="22"/>
          <w:color w:val="auto"/>
        </w:rPr>
      </w:pPr>
      <w:r>
        <w:rPr>
          <w:rFonts w:ascii="Calibri" w:cs="Calibri" w:eastAsia="Calibri" w:hAnsi="Calibri"/>
          <w:sz w:val="18"/>
          <w:szCs w:val="18"/>
          <w:b w:val="1"/>
          <w:bCs w:val="1"/>
          <w:color w:val="auto"/>
        </w:rPr>
        <w:t>Stock Ownership Guidelines</w:t>
      </w:r>
      <w:r>
        <w:rPr>
          <w:rFonts w:ascii="Calibri" w:cs="Calibri" w:eastAsia="Calibri" w:hAnsi="Calibri"/>
          <w:sz w:val="18"/>
          <w:szCs w:val="18"/>
          <w:color w:val="auto"/>
        </w:rPr>
        <w:t>. If the Partcipant is or becomes subject to the Company’s Stock Ownership Guidelines and applicable retenton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requirements, the Partcipant may be limited in selling Shares obtained upon setlement of the PSUs.</w:t>
      </w:r>
    </w:p>
    <w:p>
      <w:pPr>
        <w:spacing w:after="0" w:line="8" w:lineRule="exact"/>
        <w:rPr>
          <w:rFonts w:ascii="Arial" w:cs="Arial" w:eastAsia="Arial" w:hAnsi="Arial"/>
          <w:sz w:val="22"/>
          <w:szCs w:val="22"/>
          <w:color w:val="auto"/>
        </w:rPr>
      </w:pPr>
    </w:p>
    <w:p>
      <w:pPr>
        <w:jc w:val="both"/>
        <w:ind w:left="328" w:hanging="328"/>
        <w:spacing w:after="0" w:line="233" w:lineRule="auto"/>
        <w:tabs>
          <w:tab w:leader="none" w:pos="327" w:val="left"/>
        </w:tabs>
        <w:numPr>
          <w:ilvl w:val="0"/>
          <w:numId w:val="67"/>
        </w:numPr>
        <w:rPr>
          <w:rFonts w:ascii="Arial" w:cs="Arial" w:eastAsia="Arial" w:hAnsi="Arial"/>
          <w:sz w:val="22"/>
          <w:szCs w:val="22"/>
          <w:color w:val="auto"/>
        </w:rPr>
      </w:pPr>
      <w:r>
        <w:rPr>
          <w:rFonts w:ascii="Calibri" w:cs="Calibri" w:eastAsia="Calibri" w:hAnsi="Calibri"/>
          <w:sz w:val="18"/>
          <w:szCs w:val="18"/>
          <w:b w:val="1"/>
          <w:bCs w:val="1"/>
          <w:color w:val="auto"/>
        </w:rPr>
        <w:t>Clawback Policy</w:t>
      </w:r>
      <w:r>
        <w:rPr>
          <w:rFonts w:ascii="Calibri" w:cs="Calibri" w:eastAsia="Calibri" w:hAnsi="Calibri"/>
          <w:sz w:val="18"/>
          <w:szCs w:val="18"/>
          <w:color w:val="auto"/>
        </w:rPr>
        <w:t>. If the Partcipant is covered by the Company’s Clawback Policy, the Partcipant agrees</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that the PSUs are subject to the</w:t>
      </w:r>
      <w:r>
        <w:rPr>
          <w:rFonts w:ascii="Calibri" w:cs="Calibri" w:eastAsia="Calibri" w:hAnsi="Calibri"/>
          <w:sz w:val="18"/>
          <w:szCs w:val="18"/>
          <w:b w:val="1"/>
          <w:bCs w:val="1"/>
          <w:color w:val="auto"/>
        </w:rPr>
        <w:t xml:space="preserve"> </w:t>
      </w:r>
      <w:r>
        <w:rPr>
          <w:rFonts w:ascii="Calibri" w:cs="Calibri" w:eastAsia="Calibri" w:hAnsi="Calibri"/>
          <w:sz w:val="21"/>
          <w:szCs w:val="21"/>
          <w:color w:val="auto"/>
        </w:rPr>
        <w:t xml:space="preserve">Policy </w:t>
      </w:r>
      <w:r>
        <w:rPr>
          <w:rFonts w:ascii="Calibri" w:cs="Calibri" w:eastAsia="Calibri" w:hAnsi="Calibri"/>
          <w:sz w:val="17"/>
          <w:szCs w:val="17"/>
          <w:color w:val="auto"/>
        </w:rPr>
        <w:t>and may be subject to recovery (in whole or in part) by the Company. The Partcipant agrees that the Clawback Policy may be amended from</w:t>
      </w:r>
      <w:r>
        <w:rPr>
          <w:rFonts w:ascii="Calibri" w:cs="Calibri" w:eastAsia="Calibri" w:hAnsi="Calibri"/>
          <w:sz w:val="21"/>
          <w:szCs w:val="21"/>
          <w:color w:val="auto"/>
        </w:rPr>
        <w:t xml:space="preserve"> </w:t>
      </w:r>
      <w:r>
        <w:rPr>
          <w:rFonts w:ascii="Calibri" w:cs="Calibri" w:eastAsia="Calibri" w:hAnsi="Calibri"/>
          <w:sz w:val="17"/>
          <w:szCs w:val="17"/>
          <w:color w:val="auto"/>
        </w:rPr>
        <w:t>tme to tme by the Commitee, including amendments to comply with applicable laws, regulatons or stock exchange listng requirements.</w:t>
      </w:r>
    </w:p>
    <w:p>
      <w:pPr>
        <w:spacing w:after="0" w:line="43" w:lineRule="exact"/>
        <w:rPr>
          <w:rFonts w:ascii="Arial" w:cs="Arial" w:eastAsia="Arial" w:hAnsi="Arial"/>
          <w:sz w:val="22"/>
          <w:szCs w:val="22"/>
          <w:color w:val="auto"/>
        </w:rPr>
      </w:pPr>
    </w:p>
    <w:p>
      <w:pPr>
        <w:ind w:left="328" w:hanging="328"/>
        <w:spacing w:after="0" w:line="204" w:lineRule="auto"/>
        <w:tabs>
          <w:tab w:leader="none" w:pos="319" w:val="left"/>
        </w:tabs>
        <w:numPr>
          <w:ilvl w:val="0"/>
          <w:numId w:val="67"/>
        </w:numPr>
        <w:rPr>
          <w:rFonts w:ascii="Arial" w:cs="Arial" w:eastAsia="Arial" w:hAnsi="Arial"/>
          <w:sz w:val="22"/>
          <w:szCs w:val="22"/>
          <w:color w:val="auto"/>
        </w:rPr>
      </w:pPr>
      <w:r>
        <w:rPr>
          <w:rFonts w:ascii="Calibri" w:cs="Calibri" w:eastAsia="Calibri" w:hAnsi="Calibri"/>
          <w:sz w:val="18"/>
          <w:szCs w:val="18"/>
          <w:b w:val="1"/>
          <w:bCs w:val="1"/>
          <w:color w:val="auto"/>
        </w:rPr>
        <w:t xml:space="preserve">Secton 409A Compliance. </w:t>
      </w:r>
      <w:r>
        <w:rPr>
          <w:rFonts w:ascii="Calibri" w:cs="Calibri" w:eastAsia="Calibri" w:hAnsi="Calibri"/>
          <w:sz w:val="18"/>
          <w:szCs w:val="18"/>
          <w:color w:val="auto"/>
        </w:rPr>
        <w:t>It is intended that the Plan and this Agreement comply with the requirements of Secton 409A to the extent applicable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the Plan and this Agreement will be interpreted accordingly.</w:t>
      </w:r>
    </w:p>
    <w:p>
      <w:pPr>
        <w:spacing w:after="0" w:line="42" w:lineRule="exact"/>
        <w:rPr>
          <w:rFonts w:ascii="Arial" w:cs="Arial" w:eastAsia="Arial" w:hAnsi="Arial"/>
          <w:sz w:val="22"/>
          <w:szCs w:val="22"/>
          <w:color w:val="auto"/>
        </w:rPr>
      </w:pPr>
    </w:p>
    <w:p>
      <w:pPr>
        <w:jc w:val="both"/>
        <w:ind w:left="1628" w:hanging="332"/>
        <w:spacing w:after="0" w:line="217" w:lineRule="auto"/>
        <w:tabs>
          <w:tab w:leader="none" w:pos="1619" w:val="left"/>
        </w:tabs>
        <w:numPr>
          <w:ilvl w:val="1"/>
          <w:numId w:val="67"/>
        </w:numPr>
        <w:rPr>
          <w:rFonts w:ascii="Arial" w:cs="Arial" w:eastAsia="Arial" w:hAnsi="Arial"/>
          <w:sz w:val="22"/>
          <w:szCs w:val="22"/>
          <w:color w:val="auto"/>
        </w:rPr>
      </w:pPr>
      <w:r>
        <w:rPr>
          <w:rFonts w:ascii="Calibri" w:cs="Calibri" w:eastAsia="Calibri" w:hAnsi="Calibri"/>
          <w:sz w:val="18"/>
          <w:szCs w:val="18"/>
          <w:color w:val="auto"/>
        </w:rPr>
        <w:t>If it is determined that all or a porton of the Award consttutes deferred compensaton for the purposes of Secton 409A, and if the Partcipant is a “specifed employee,” as defned in Secton 409A(a)(2)(B)(i) of the Code, at the tme of the Partcipant’s separaton from service, then, to the extent required under Secton 409A, any Shares that would otherwise be distributed (along with the cash value of all dividend equivalents that would be payable) on the Partcipant’s separaton from service, will instead be delivered (and, in the case of the dividend equivalents, paid) on the earlier of (x) the frst business day of the seventh month following the date of the Partcipant’s separaton from service or (y) the Partcipant’s death.</w:t>
      </w:r>
    </w:p>
    <w:p>
      <w:pPr>
        <w:spacing w:after="0" w:line="45" w:lineRule="exact"/>
        <w:rPr>
          <w:rFonts w:ascii="Arial" w:cs="Arial" w:eastAsia="Arial" w:hAnsi="Arial"/>
          <w:sz w:val="22"/>
          <w:szCs w:val="22"/>
          <w:color w:val="auto"/>
        </w:rPr>
      </w:pPr>
    </w:p>
    <w:p>
      <w:pPr>
        <w:jc w:val="both"/>
        <w:ind w:left="1628" w:hanging="332"/>
        <w:spacing w:after="0" w:line="217" w:lineRule="auto"/>
        <w:tabs>
          <w:tab w:leader="none" w:pos="1619" w:val="left"/>
        </w:tabs>
        <w:numPr>
          <w:ilvl w:val="1"/>
          <w:numId w:val="67"/>
        </w:numPr>
        <w:rPr>
          <w:rFonts w:ascii="Arial" w:cs="Arial" w:eastAsia="Arial" w:hAnsi="Arial"/>
          <w:sz w:val="22"/>
          <w:szCs w:val="22"/>
          <w:color w:val="auto"/>
        </w:rPr>
      </w:pPr>
      <w:r>
        <w:rPr>
          <w:rFonts w:ascii="Calibri" w:cs="Calibri" w:eastAsia="Calibri" w:hAnsi="Calibri"/>
          <w:sz w:val="18"/>
          <w:szCs w:val="18"/>
          <w:color w:val="auto"/>
        </w:rPr>
        <w:t>If it is determined that all or a porton of the Award consttutes deferred compensaton for the purposes of Secton 409A, upon an Change in Control that does not consttute a “change in the ownership” or a “change in the efectve control” of the Company or a “change in the ownership of a substantal porton of a corporaton’s assets” (as those terms are used in Secton 409A), the PSUs will vest at the tme of the Change in Control, but distributon of any PSUs (or related dividend equivalents) that consttute deferred compensaton for the purposes of Secton 409A will not be accelerated (i.e., distributon will occur when it would have occurred absent the Change in Control).</w:t>
      </w:r>
    </w:p>
    <w:p>
      <w:pPr>
        <w:sectPr>
          <w:pgSz w:w="11900" w:h="16838" w:orient="portrait"/>
          <w:cols w:equalWidth="0" w:num="1">
            <w:col w:w="10908"/>
          </w:cols>
          <w:pgMar w:left="652" w:top="1400" w:right="339" w:bottom="1440" w:gutter="0" w:footer="0" w:header="0"/>
        </w:sectPr>
      </w:pPr>
    </w:p>
    <w:bookmarkStart w:id="78" w:name="page79"/>
    <w:bookmarkEnd w:id="78"/>
    <w:p>
      <w:pPr>
        <w:spacing w:after="0" w:line="14" w:lineRule="exact"/>
        <w:rPr>
          <w:sz w:val="20"/>
          <w:szCs w:val="20"/>
          <w:color w:val="auto"/>
        </w:rPr>
      </w:pPr>
    </w:p>
    <w:p>
      <w:pPr>
        <w:ind w:left="660" w:hanging="328"/>
        <w:spacing w:after="0" w:line="222" w:lineRule="auto"/>
        <w:tabs>
          <w:tab w:leader="none" w:pos="651" w:val="left"/>
        </w:tabs>
        <w:numPr>
          <w:ilvl w:val="0"/>
          <w:numId w:val="68"/>
        </w:numPr>
        <w:rPr>
          <w:rFonts w:ascii="Arial" w:cs="Arial" w:eastAsia="Arial" w:hAnsi="Arial"/>
          <w:sz w:val="21"/>
          <w:szCs w:val="21"/>
          <w:color w:val="auto"/>
        </w:rPr>
      </w:pPr>
      <w:r>
        <w:rPr>
          <w:rFonts w:ascii="Calibri" w:cs="Calibri" w:eastAsia="Calibri" w:hAnsi="Calibri"/>
          <w:sz w:val="17"/>
          <w:szCs w:val="17"/>
          <w:b w:val="1"/>
          <w:bCs w:val="1"/>
          <w:color w:val="auto"/>
        </w:rPr>
        <w:t xml:space="preserve">Governing Law. </w:t>
      </w:r>
      <w:r>
        <w:rPr>
          <w:rFonts w:ascii="Calibri" w:cs="Calibri" w:eastAsia="Calibri" w:hAnsi="Calibri"/>
          <w:sz w:val="17"/>
          <w:szCs w:val="17"/>
          <w:color w:val="auto"/>
        </w:rPr>
        <w:t>This Agreement will be governed and construed in accordance with the laws of the State of Indiana, excluding any conficts or choice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law rule or principle that might otherwise refer constructon or interpretaton of this Agreement to the substantve law of another jurisdicton.</w:t>
      </w:r>
    </w:p>
    <w:p>
      <w:pPr>
        <w:spacing w:after="0" w:line="9" w:lineRule="exact"/>
        <w:rPr>
          <w:rFonts w:ascii="Arial" w:cs="Arial" w:eastAsia="Arial" w:hAnsi="Arial"/>
          <w:sz w:val="21"/>
          <w:szCs w:val="21"/>
          <w:color w:val="auto"/>
        </w:rPr>
      </w:pPr>
    </w:p>
    <w:p>
      <w:pPr>
        <w:jc w:val="both"/>
        <w:ind w:left="660" w:hanging="328"/>
        <w:spacing w:after="0" w:line="227" w:lineRule="auto"/>
        <w:tabs>
          <w:tab w:leader="none" w:pos="651" w:val="left"/>
        </w:tabs>
        <w:numPr>
          <w:ilvl w:val="0"/>
          <w:numId w:val="68"/>
        </w:numPr>
        <w:rPr>
          <w:rFonts w:ascii="Arial" w:cs="Arial" w:eastAsia="Arial" w:hAnsi="Arial"/>
          <w:sz w:val="22"/>
          <w:szCs w:val="22"/>
          <w:color w:val="auto"/>
        </w:rPr>
      </w:pPr>
      <w:r>
        <w:rPr>
          <w:rFonts w:ascii="Calibri" w:cs="Calibri" w:eastAsia="Calibri" w:hAnsi="Calibri"/>
          <w:sz w:val="18"/>
          <w:szCs w:val="18"/>
          <w:b w:val="1"/>
          <w:bCs w:val="1"/>
          <w:color w:val="auto"/>
        </w:rPr>
        <w:t xml:space="preserve">Consent to </w:t>
      </w:r>
      <w:r>
        <w:rPr>
          <w:rFonts w:ascii="Calibri" w:cs="Calibri" w:eastAsia="Calibri" w:hAnsi="Calibri"/>
          <w:sz w:val="21"/>
          <w:szCs w:val="21"/>
          <w:b w:val="1"/>
          <w:bCs w:val="1"/>
          <w:color w:val="auto"/>
        </w:rPr>
        <w:t>Jurisdicton</w:t>
      </w:r>
      <w:r>
        <w:rPr>
          <w:rFonts w:ascii="Calibri" w:cs="Calibri" w:eastAsia="Calibri" w:hAnsi="Calibri"/>
          <w:sz w:val="18"/>
          <w:szCs w:val="18"/>
          <w:color w:val="auto"/>
        </w:rPr>
        <w:t>. Each party hereby submits and consents to the exclusive jurisdicton of the state or federal courts in the State of Indiana,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in each case, appellate courts therefrom, with respect to any suit, acton or proceeding brought by any party arising under or relatng to this Agreement.</w:t>
      </w:r>
    </w:p>
    <w:p>
      <w:pPr>
        <w:spacing w:after="0" w:line="233" w:lineRule="exact"/>
        <w:rPr>
          <w:sz w:val="20"/>
          <w:szCs w:val="20"/>
          <w:color w:val="auto"/>
        </w:rPr>
      </w:pPr>
    </w:p>
    <w:p>
      <w:pPr>
        <w:spacing w:after="0" w:line="227" w:lineRule="auto"/>
        <w:rPr>
          <w:sz w:val="20"/>
          <w:szCs w:val="20"/>
          <w:color w:val="auto"/>
        </w:rPr>
      </w:pPr>
      <w:r>
        <w:rPr>
          <w:rFonts w:ascii="Calibri" w:cs="Calibri" w:eastAsia="Calibri" w:hAnsi="Calibri"/>
          <w:sz w:val="18"/>
          <w:szCs w:val="18"/>
          <w:i w:val="1"/>
          <w:iCs w:val="1"/>
          <w:color w:val="auto"/>
        </w:rPr>
        <w:t>By signing a copy of this Agreement, the Partcipant acknowledges that s/he has received a copy of the Plan and that s/he has read and understands the Plan and this Agreement and agrees to their terms and conditons.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Agreed to: </w:t>
      </w:r>
      <w:r>
        <w:rPr>
          <w:rFonts w:ascii="Calibri" w:cs="Calibri" w:eastAsia="Calibri" w:hAnsi="Calibri"/>
          <w:sz w:val="21"/>
          <w:szCs w:val="21"/>
          <w:b w:val="1"/>
          <w:bCs w:val="1"/>
          <w:color w:val="auto"/>
        </w:rPr>
        <w:t>XYLEM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 _____________________________</w:t>
      </w:r>
    </w:p>
    <w:p>
      <w:pPr>
        <w:spacing w:after="0" w:line="235" w:lineRule="auto"/>
        <w:rPr>
          <w:sz w:val="20"/>
          <w:szCs w:val="20"/>
          <w:color w:val="auto"/>
        </w:rPr>
      </w:pPr>
      <w:r>
        <w:rPr>
          <w:rFonts w:ascii="Calibri" w:cs="Calibri" w:eastAsia="Calibri" w:hAnsi="Calibri"/>
          <w:sz w:val="18"/>
          <w:szCs w:val="18"/>
          <w:color w:val="auto"/>
        </w:rPr>
        <w:t>Partcipant Mathew Pine, President and CEO</w:t>
      </w:r>
    </w:p>
    <w:p>
      <w:pPr>
        <w:spacing w:after="0" w:line="222" w:lineRule="auto"/>
        <w:rPr>
          <w:sz w:val="20"/>
          <w:szCs w:val="20"/>
          <w:color w:val="auto"/>
        </w:rPr>
      </w:pPr>
      <w:r>
        <w:rPr>
          <w:rFonts w:ascii="Calibri" w:cs="Calibri" w:eastAsia="Calibri" w:hAnsi="Calibri"/>
          <w:sz w:val="18"/>
          <w:szCs w:val="18"/>
          <w:color w:val="auto"/>
        </w:rPr>
        <w:t>(Online Acceptance Consttutes Agreement)</w:t>
      </w:r>
    </w:p>
    <w:p>
      <w:pPr>
        <w:spacing w:after="0" w:line="224" w:lineRule="auto"/>
        <w:rPr>
          <w:sz w:val="20"/>
          <w:szCs w:val="20"/>
          <w:color w:val="auto"/>
        </w:rPr>
      </w:pPr>
      <w:r>
        <w:rPr>
          <w:rFonts w:ascii="Calibri" w:cs="Calibri" w:eastAsia="Calibri" w:hAnsi="Calibri"/>
          <w:sz w:val="18"/>
          <w:szCs w:val="18"/>
          <w:color w:val="auto"/>
        </w:rPr>
        <w:t xml:space="preserve">Dated: _________________ Dated: </w:t>
      </w:r>
      <w:r>
        <w:rPr>
          <w:rFonts w:ascii="Calibri" w:cs="Calibri" w:eastAsia="Calibri" w:hAnsi="Calibri"/>
          <w:sz w:val="21"/>
          <w:szCs w:val="21"/>
          <w:b w:val="1"/>
          <w:bCs w:val="1"/>
          <w:color w:val="auto"/>
        </w:rPr>
        <w:t>###GRANT_DATE###</w:t>
      </w:r>
    </w:p>
    <w:p>
      <w:pPr>
        <w:spacing w:after="0" w:line="225" w:lineRule="auto"/>
        <w:rPr>
          <w:sz w:val="20"/>
          <w:szCs w:val="20"/>
          <w:color w:val="auto"/>
        </w:rPr>
      </w:pPr>
      <w:r>
        <w:rPr>
          <w:rFonts w:ascii="Calibri" w:cs="Calibri" w:eastAsia="Calibri" w:hAnsi="Calibri"/>
          <w:sz w:val="18"/>
          <w:szCs w:val="18"/>
          <w:color w:val="auto"/>
        </w:rPr>
        <w:t>Enclosures</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Exhibit A</w:t>
      </w:r>
    </w:p>
    <w:p>
      <w:pPr>
        <w:jc w:val="center"/>
        <w:spacing w:after="0" w:line="221" w:lineRule="auto"/>
        <w:rPr>
          <w:sz w:val="20"/>
          <w:szCs w:val="20"/>
          <w:color w:val="auto"/>
        </w:rPr>
      </w:pPr>
      <w:r>
        <w:rPr>
          <w:rFonts w:ascii="Calibri" w:cs="Calibri" w:eastAsia="Calibri" w:hAnsi="Calibri"/>
          <w:sz w:val="18"/>
          <w:szCs w:val="18"/>
          <w:b w:val="1"/>
          <w:bCs w:val="1"/>
          <w:color w:val="auto"/>
        </w:rPr>
        <w:t>Performance Share Units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2024-2026 performance period, the LDCC has decided that the PSUs will be granted at Target (100%) with actual payout (0%-200% of target)</w:t>
      </w:r>
    </w:p>
    <w:p>
      <w:pPr>
        <w:spacing w:after="0" w:line="221" w:lineRule="auto"/>
        <w:rPr>
          <w:sz w:val="20"/>
          <w:szCs w:val="20"/>
          <w:color w:val="auto"/>
        </w:rPr>
      </w:pPr>
      <w:r>
        <w:rPr>
          <w:rFonts w:ascii="Calibri" w:cs="Calibri" w:eastAsia="Calibri" w:hAnsi="Calibri"/>
          <w:sz w:val="18"/>
          <w:szCs w:val="18"/>
          <w:color w:val="auto"/>
        </w:rPr>
        <w:t>contngent upon the achievement of the following:</w:t>
      </w:r>
    </w:p>
    <w:p>
      <w:pPr>
        <w:spacing w:after="0" w:line="2"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22"/>
          <w:szCs w:val="22"/>
          <w:color w:val="auto"/>
        </w:rPr>
      </w:pPr>
      <w:r>
        <w:rPr>
          <w:rFonts w:ascii="Calibri" w:cs="Calibri" w:eastAsia="Calibri" w:hAnsi="Calibri"/>
          <w:sz w:val="18"/>
          <w:szCs w:val="18"/>
          <w:b w:val="1"/>
          <w:bCs w:val="1"/>
          <w:color w:val="auto"/>
        </w:rPr>
        <w:t>25% based on a pre-set, third year Revenue target.</w:t>
      </w:r>
    </w:p>
    <w:p>
      <w:pPr>
        <w:spacing w:after="0" w:line="23" w:lineRule="exact"/>
        <w:rPr>
          <w:rFonts w:ascii="Arial" w:cs="Arial" w:eastAsia="Arial" w:hAnsi="Arial"/>
          <w:sz w:val="22"/>
          <w:szCs w:val="22"/>
          <w:color w:val="auto"/>
        </w:rPr>
      </w:pPr>
    </w:p>
    <w:p>
      <w:pPr>
        <w:ind w:left="640" w:hanging="308"/>
        <w:spacing w:after="0" w:line="219" w:lineRule="auto"/>
        <w:tabs>
          <w:tab w:leader="none" w:pos="640" w:val="left"/>
        </w:tabs>
        <w:numPr>
          <w:ilvl w:val="0"/>
          <w:numId w:val="69"/>
        </w:numPr>
        <w:rPr>
          <w:rFonts w:ascii="Arial" w:cs="Arial" w:eastAsia="Arial" w:hAnsi="Arial"/>
          <w:sz w:val="22"/>
          <w:szCs w:val="22"/>
          <w:color w:val="auto"/>
        </w:rPr>
      </w:pPr>
      <w:r>
        <w:rPr>
          <w:rFonts w:ascii="Calibri" w:cs="Calibri" w:eastAsia="Calibri" w:hAnsi="Calibri"/>
          <w:sz w:val="18"/>
          <w:szCs w:val="18"/>
          <w:b w:val="1"/>
          <w:bCs w:val="1"/>
          <w:color w:val="auto"/>
        </w:rPr>
        <w:t>25% based on a pre-set, third year Adjusted Earnings Before Interest Tax Depreciaton and Amortzaton (“EBITDA”) performance target.</w:t>
      </w:r>
    </w:p>
    <w:p>
      <w:pPr>
        <w:spacing w:after="0" w:line="24" w:lineRule="exact"/>
        <w:rPr>
          <w:rFonts w:ascii="Arial" w:cs="Arial" w:eastAsia="Arial" w:hAnsi="Arial"/>
          <w:sz w:val="22"/>
          <w:szCs w:val="22"/>
          <w:color w:val="auto"/>
        </w:rPr>
      </w:pPr>
    </w:p>
    <w:p>
      <w:pPr>
        <w:ind w:left="640" w:hanging="308"/>
        <w:spacing w:after="0" w:line="206" w:lineRule="auto"/>
        <w:tabs>
          <w:tab w:leader="none" w:pos="640" w:val="left"/>
        </w:tabs>
        <w:numPr>
          <w:ilvl w:val="0"/>
          <w:numId w:val="69"/>
        </w:numPr>
        <w:rPr>
          <w:rFonts w:ascii="Arial" w:cs="Arial" w:eastAsia="Arial" w:hAnsi="Arial"/>
          <w:sz w:val="22"/>
          <w:szCs w:val="22"/>
          <w:color w:val="auto"/>
        </w:rPr>
      </w:pPr>
      <w:r>
        <w:rPr>
          <w:rFonts w:ascii="Calibri" w:cs="Calibri" w:eastAsia="Calibri" w:hAnsi="Calibri"/>
          <w:sz w:val="18"/>
          <w:szCs w:val="18"/>
          <w:b w:val="1"/>
          <w:bCs w:val="1"/>
          <w:color w:val="auto"/>
        </w:rPr>
        <w:t>50% based on three-year Total Shareholder Return (“TSR”) relatve to peers.</w:t>
      </w:r>
    </w:p>
    <w:p>
      <w:pPr>
        <w:spacing w:after="0" w:line="221" w:lineRule="auto"/>
        <w:rPr>
          <w:sz w:val="20"/>
          <w:szCs w:val="20"/>
          <w:color w:val="auto"/>
        </w:rPr>
      </w:pPr>
      <w:r>
        <w:rPr>
          <w:rFonts w:ascii="Calibri" w:cs="Calibri" w:eastAsia="Calibri" w:hAnsi="Calibri"/>
          <w:sz w:val="18"/>
          <w:szCs w:val="18"/>
          <w:b w:val="1"/>
          <w:bCs w:val="1"/>
          <w:u w:val="single" w:color="auto"/>
          <w:color w:val="auto"/>
        </w:rPr>
        <w:t>2024-2026 Performance Targets and Payout Scale</w:t>
      </w:r>
    </w:p>
    <w:p>
      <w:pPr>
        <w:spacing w:after="0" w:line="1" w:lineRule="exact"/>
        <w:rPr>
          <w:sz w:val="20"/>
          <w:szCs w:val="20"/>
          <w:color w:val="auto"/>
        </w:rPr>
      </w:pPr>
    </w:p>
    <w:p>
      <w:pPr>
        <w:ind w:right="100"/>
        <w:spacing w:after="0" w:line="234" w:lineRule="auto"/>
        <w:rPr>
          <w:sz w:val="20"/>
          <w:szCs w:val="20"/>
          <w:color w:val="auto"/>
        </w:rPr>
      </w:pPr>
      <w:r>
        <w:rPr>
          <w:rFonts w:ascii="Calibri" w:cs="Calibri" w:eastAsia="Calibri" w:hAnsi="Calibri"/>
          <w:sz w:val="17"/>
          <w:szCs w:val="17"/>
          <w:color w:val="auto"/>
        </w:rPr>
        <w:t>The payout scales for performance metrics below provide for PSUs to be earned above 100% for above target performance and below 100% for below target performance. For Relatve TSR, payout is capped at 100% if Xylem’s 3-year TSR is negatve. Results are interpolated between threshold to target and target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23495</wp:posOffset>
            </wp:positionV>
            <wp:extent cx="5863590" cy="266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863590" cy="266573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01"/>
        </w:trPr>
        <w:tc>
          <w:tcPr>
            <w:tcW w:w="1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Calibri" w:cs="Calibri" w:eastAsia="Calibri" w:hAnsi="Calibri"/>
                <w:sz w:val="13"/>
                <w:szCs w:val="13"/>
                <w:b w:val="1"/>
                <w:bCs w:val="1"/>
                <w:color w:val="auto"/>
              </w:rPr>
              <w:t>Revenue</w:t>
            </w:r>
            <w:r>
              <w:rPr>
                <w:rFonts w:ascii="Calibri" w:cs="Calibri" w:eastAsia="Calibri" w:hAnsi="Calibri"/>
                <w:sz w:val="21"/>
                <w:szCs w:val="21"/>
                <w:b w:val="1"/>
                <w:bCs w:val="1"/>
                <w:color w:val="auto"/>
                <w:vertAlign w:val="superscript"/>
              </w:rPr>
              <w:t>1</w:t>
            </w:r>
          </w:p>
        </w:tc>
        <w:tc>
          <w:tcPr>
            <w:tcW w:w="9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line="201" w:lineRule="exact"/>
              <w:rPr>
                <w:sz w:val="20"/>
                <w:szCs w:val="20"/>
                <w:color w:val="auto"/>
              </w:rPr>
            </w:pPr>
            <w:r>
              <w:rPr>
                <w:rFonts w:ascii="Calibri" w:cs="Calibri" w:eastAsia="Calibri" w:hAnsi="Calibri"/>
                <w:sz w:val="13"/>
                <w:szCs w:val="13"/>
                <w:b w:val="1"/>
                <w:bCs w:val="1"/>
                <w:color w:val="auto"/>
              </w:rPr>
              <w:t>Adjusted EBITDA</w:t>
            </w:r>
            <w:r>
              <w:rPr>
                <w:rFonts w:ascii="Calibri" w:cs="Calibri" w:eastAsia="Calibri" w:hAnsi="Calibri"/>
                <w:sz w:val="21"/>
                <w:szCs w:val="21"/>
                <w:b w:val="1"/>
                <w:bCs w:val="1"/>
                <w:color w:val="auto"/>
                <w:vertAlign w:val="superscript"/>
              </w:rPr>
              <w:t>2</w:t>
            </w:r>
          </w:p>
        </w:tc>
        <w:tc>
          <w:tcPr>
            <w:tcW w:w="7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ind w:left="600"/>
              <w:spacing w:after="0" w:line="201" w:lineRule="exact"/>
              <w:rPr>
                <w:sz w:val="20"/>
                <w:szCs w:val="20"/>
                <w:color w:val="auto"/>
              </w:rPr>
            </w:pPr>
            <w:r>
              <w:rPr>
                <w:rFonts w:ascii="Calibri" w:cs="Calibri" w:eastAsia="Calibri" w:hAnsi="Calibri"/>
                <w:sz w:val="13"/>
                <w:szCs w:val="13"/>
                <w:b w:val="1"/>
                <w:bCs w:val="1"/>
                <w:color w:val="auto"/>
              </w:rPr>
              <w:t>Relatve TSR</w:t>
            </w:r>
            <w:r>
              <w:rPr>
                <w:rFonts w:ascii="Calibri" w:cs="Calibri" w:eastAsia="Calibri" w:hAnsi="Calibri"/>
                <w:sz w:val="21"/>
                <w:szCs w:val="21"/>
                <w:b w:val="1"/>
                <w:bCs w:val="1"/>
                <w:color w:val="auto"/>
                <w:vertAlign w:val="superscript"/>
              </w:rPr>
              <w:t>3</w:t>
            </w:r>
          </w:p>
        </w:tc>
        <w:tc>
          <w:tcPr>
            <w:tcW w:w="20" w:type="dxa"/>
            <w:vAlign w:val="bottom"/>
            <w:tcBorders>
              <w:top w:val="single" w:sz="8" w:color="auto"/>
            </w:tcBorders>
          </w:tcPr>
          <w:p>
            <w:pPr>
              <w:spacing w:after="0"/>
              <w:rPr>
                <w:sz w:val="17"/>
                <w:szCs w:val="17"/>
                <w:color w:val="auto"/>
              </w:rPr>
            </w:pPr>
          </w:p>
        </w:tc>
      </w:tr>
      <w:tr>
        <w:trPr>
          <w:trHeight w:val="163"/>
        </w:trPr>
        <w:tc>
          <w:tcPr>
            <w:tcW w:w="1560" w:type="dxa"/>
            <w:vAlign w:val="bottom"/>
          </w:tcPr>
          <w:p>
            <w:pPr>
              <w:spacing w:after="0"/>
              <w:rPr>
                <w:sz w:val="14"/>
                <w:szCs w:val="14"/>
                <w:color w:val="auto"/>
              </w:rPr>
            </w:pPr>
          </w:p>
        </w:tc>
        <w:tc>
          <w:tcPr>
            <w:tcW w:w="940" w:type="dxa"/>
            <w:vAlign w:val="bottom"/>
          </w:tcPr>
          <w:p>
            <w:pPr>
              <w:jc w:val="center"/>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1020" w:type="dxa"/>
            <w:vAlign w:val="bottom"/>
          </w:tcPr>
          <w:p>
            <w:pPr>
              <w:jc w:val="center"/>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9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w w:val="97"/>
              </w:rPr>
              <w:t>Payout</w:t>
            </w:r>
          </w:p>
        </w:tc>
        <w:tc>
          <w:tcPr>
            <w:tcW w:w="820" w:type="dxa"/>
            <w:vAlign w:val="bottom"/>
          </w:tcPr>
          <w:p>
            <w:pPr>
              <w:jc w:val="center"/>
              <w:ind w:left="109"/>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1280" w:type="dxa"/>
            <w:vAlign w:val="bottom"/>
          </w:tcPr>
          <w:p>
            <w:pPr>
              <w:jc w:val="center"/>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760" w:type="dxa"/>
            <w:vAlign w:val="bottom"/>
          </w:tcPr>
          <w:p>
            <w:pPr>
              <w:jc w:val="center"/>
              <w:ind w:right="68"/>
              <w:spacing w:after="0" w:line="164" w:lineRule="exact"/>
              <w:rPr>
                <w:sz w:val="20"/>
                <w:szCs w:val="20"/>
                <w:color w:val="auto"/>
              </w:rPr>
            </w:pPr>
            <w:r>
              <w:rPr>
                <w:rFonts w:ascii="Calibri" w:cs="Calibri" w:eastAsia="Calibri" w:hAnsi="Calibri"/>
                <w:sz w:val="14"/>
                <w:szCs w:val="14"/>
                <w:b w:val="1"/>
                <w:bCs w:val="1"/>
                <w:color w:val="auto"/>
              </w:rPr>
              <w:t>Payout</w:t>
            </w:r>
          </w:p>
        </w:tc>
        <w:tc>
          <w:tcPr>
            <w:tcW w:w="104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3-Year</w:t>
            </w:r>
          </w:p>
        </w:tc>
        <w:tc>
          <w:tcPr>
            <w:tcW w:w="9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Payout</w:t>
            </w:r>
          </w:p>
        </w:tc>
        <w:tc>
          <w:tcPr>
            <w:tcW w:w="20" w:type="dxa"/>
            <w:vAlign w:val="bottom"/>
          </w:tcPr>
          <w:p>
            <w:pPr>
              <w:spacing w:after="0"/>
              <w:rPr>
                <w:sz w:val="14"/>
                <w:szCs w:val="14"/>
                <w:color w:val="auto"/>
              </w:rPr>
            </w:pPr>
          </w:p>
        </w:tc>
      </w:tr>
      <w:tr>
        <w:trPr>
          <w:trHeight w:val="243"/>
        </w:trPr>
        <w:tc>
          <w:tcPr>
            <w:tcW w:w="1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Actual</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 of Plan</w:t>
            </w:r>
          </w:p>
        </w:tc>
        <w:tc>
          <w:tcPr>
            <w:tcW w:w="900" w:type="dxa"/>
            <w:vAlign w:val="bottom"/>
            <w:tcBorders>
              <w:bottom w:val="single" w:sz="8" w:color="auto"/>
            </w:tcBorders>
          </w:tcPr>
          <w:p>
            <w:pPr>
              <w:jc w:val="center"/>
              <w:spacing w:after="0" w:line="243" w:lineRule="exact"/>
              <w:rPr>
                <w:sz w:val="20"/>
                <w:szCs w:val="20"/>
                <w:color w:val="auto"/>
              </w:rPr>
            </w:pPr>
            <w:r>
              <w:rPr>
                <w:rFonts w:ascii="Calibri" w:cs="Calibri" w:eastAsia="Calibri" w:hAnsi="Calibri"/>
                <w:sz w:val="14"/>
                <w:szCs w:val="14"/>
                <w:b w:val="1"/>
                <w:bCs w:val="1"/>
                <w:color w:val="auto"/>
                <w:w w:val="88"/>
              </w:rPr>
              <w:t>%</w:t>
            </w:r>
            <w:r>
              <w:rPr>
                <w:rFonts w:ascii="Calibri" w:cs="Calibri" w:eastAsia="Calibri" w:hAnsi="Calibri"/>
                <w:sz w:val="23"/>
                <w:szCs w:val="23"/>
                <w:b w:val="1"/>
                <w:bCs w:val="1"/>
                <w:color w:val="auto"/>
                <w:w w:val="88"/>
                <w:vertAlign w:val="superscript"/>
              </w:rPr>
              <w:t>4</w:t>
            </w:r>
          </w:p>
        </w:tc>
        <w:tc>
          <w:tcPr>
            <w:tcW w:w="820" w:type="dxa"/>
            <w:vAlign w:val="bottom"/>
            <w:tcBorders>
              <w:bottom w:val="single" w:sz="8" w:color="auto"/>
            </w:tcBorders>
          </w:tcPr>
          <w:p>
            <w:pPr>
              <w:jc w:val="center"/>
              <w:ind w:left="89"/>
              <w:spacing w:after="0"/>
              <w:rPr>
                <w:sz w:val="20"/>
                <w:szCs w:val="20"/>
                <w:color w:val="auto"/>
              </w:rPr>
            </w:pPr>
            <w:r>
              <w:rPr>
                <w:rFonts w:ascii="Calibri" w:cs="Calibri" w:eastAsia="Calibri" w:hAnsi="Calibri"/>
                <w:sz w:val="14"/>
                <w:szCs w:val="14"/>
                <w:b w:val="1"/>
                <w:bCs w:val="1"/>
                <w:color w:val="auto"/>
              </w:rPr>
              <w:t>Actual</w:t>
            </w:r>
          </w:p>
        </w:tc>
        <w:tc>
          <w:tcPr>
            <w:tcW w:w="12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 of Plan</w:t>
            </w:r>
          </w:p>
        </w:tc>
        <w:tc>
          <w:tcPr>
            <w:tcW w:w="760" w:type="dxa"/>
            <w:vAlign w:val="bottom"/>
            <w:tcBorders>
              <w:bottom w:val="single" w:sz="8" w:color="auto"/>
            </w:tcBorders>
          </w:tcPr>
          <w:p>
            <w:pPr>
              <w:jc w:val="center"/>
              <w:ind w:right="48"/>
              <w:spacing w:after="0" w:line="243" w:lineRule="exact"/>
              <w:rPr>
                <w:sz w:val="20"/>
                <w:szCs w:val="20"/>
                <w:color w:val="auto"/>
              </w:rPr>
            </w:pPr>
            <w:r>
              <w:rPr>
                <w:rFonts w:ascii="Calibri" w:cs="Calibri" w:eastAsia="Calibri" w:hAnsi="Calibri"/>
                <w:sz w:val="14"/>
                <w:szCs w:val="14"/>
                <w:b w:val="1"/>
                <w:bCs w:val="1"/>
                <w:color w:val="auto"/>
                <w:w w:val="88"/>
              </w:rPr>
              <w:t>%</w:t>
            </w:r>
            <w:r>
              <w:rPr>
                <w:rFonts w:ascii="Calibri" w:cs="Calibri" w:eastAsia="Calibri" w:hAnsi="Calibri"/>
                <w:sz w:val="23"/>
                <w:szCs w:val="23"/>
                <w:b w:val="1"/>
                <w:bCs w:val="1"/>
                <w:color w:val="auto"/>
                <w:w w:val="88"/>
                <w:vertAlign w:val="superscript"/>
              </w:rPr>
              <w:t>4</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%ile Rank</w:t>
            </w:r>
          </w:p>
        </w:tc>
        <w:tc>
          <w:tcPr>
            <w:tcW w:w="900" w:type="dxa"/>
            <w:vAlign w:val="bottom"/>
            <w:tcBorders>
              <w:bottom w:val="single" w:sz="8" w:color="auto"/>
            </w:tcBorders>
          </w:tcPr>
          <w:p>
            <w:pPr>
              <w:jc w:val="center"/>
              <w:spacing w:after="0" w:line="243" w:lineRule="exact"/>
              <w:rPr>
                <w:sz w:val="20"/>
                <w:szCs w:val="20"/>
                <w:color w:val="auto"/>
              </w:rPr>
            </w:pPr>
            <w:r>
              <w:rPr>
                <w:rFonts w:ascii="Calibri" w:cs="Calibri" w:eastAsia="Calibri" w:hAnsi="Calibri"/>
                <w:sz w:val="14"/>
                <w:szCs w:val="14"/>
                <w:b w:val="1"/>
                <w:bCs w:val="1"/>
                <w:color w:val="auto"/>
                <w:w w:val="99"/>
              </w:rPr>
              <w:t>%</w:t>
            </w:r>
            <w:r>
              <w:rPr>
                <w:rFonts w:ascii="Calibri" w:cs="Calibri" w:eastAsia="Calibri" w:hAnsi="Calibri"/>
                <w:sz w:val="23"/>
                <w:szCs w:val="23"/>
                <w:b w:val="1"/>
                <w:bCs w:val="1"/>
                <w:color w:val="auto"/>
                <w:w w:val="99"/>
                <w:vertAlign w:val="superscript"/>
              </w:rPr>
              <w:t>4</w:t>
            </w:r>
          </w:p>
        </w:tc>
        <w:tc>
          <w:tcPr>
            <w:tcW w:w="20" w:type="dxa"/>
            <w:vAlign w:val="bottom"/>
            <w:tcBorders>
              <w:bottom w:val="single" w:sz="8" w:color="auto"/>
            </w:tcBorders>
          </w:tcPr>
          <w:p>
            <w:pPr>
              <w:spacing w:after="0"/>
              <w:rPr>
                <w:sz w:val="21"/>
                <w:szCs w:val="21"/>
                <w:color w:val="auto"/>
              </w:rPr>
            </w:pPr>
          </w:p>
        </w:tc>
      </w:tr>
      <w:tr>
        <w:trPr>
          <w:trHeight w:val="209"/>
        </w:trPr>
        <w:tc>
          <w:tcPr>
            <w:tcW w:w="156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Maximum Payout</w:t>
            </w:r>
          </w:p>
        </w:tc>
        <w:tc>
          <w:tcPr>
            <w:tcW w:w="94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shd w:val="clear" w:color="auto" w:fill="BFBFBF"/>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shd w:val="clear" w:color="auto" w:fill="BFBFBF"/>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shd w:val="clear" w:color="auto" w:fill="BFBFBF"/>
          </w:tcPr>
          <w:p>
            <w:pPr>
              <w:jc w:val="center"/>
              <w:spacing w:after="0" w:line="210" w:lineRule="exact"/>
              <w:rPr>
                <w:sz w:val="20"/>
                <w:szCs w:val="20"/>
                <w:color w:val="auto"/>
              </w:rPr>
            </w:pPr>
            <w:r>
              <w:rPr>
                <w:rFonts w:ascii="Calibri" w:cs="Calibri" w:eastAsia="Calibri" w:hAnsi="Calibri"/>
                <w:sz w:val="22"/>
                <w:szCs w:val="22"/>
                <w:b w:val="1"/>
                <w:bCs w:val="1"/>
                <w:color w:val="auto"/>
                <w:vertAlign w:val="subscript"/>
              </w:rPr>
              <w:t>X</w:t>
            </w:r>
            <w:r>
              <w:rPr>
                <w:rFonts w:ascii="Calibri" w:cs="Calibri" w:eastAsia="Calibri" w:hAnsi="Calibri"/>
                <w:sz w:val="10"/>
                <w:szCs w:val="10"/>
                <w:b w:val="1"/>
                <w:bCs w:val="1"/>
                <w:color w:val="auto"/>
              </w:rPr>
              <w:t>th</w:t>
            </w:r>
          </w:p>
        </w:tc>
        <w:tc>
          <w:tcPr>
            <w:tcW w:w="90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8"/>
                <w:szCs w:val="18"/>
                <w:color w:val="auto"/>
              </w:rPr>
            </w:pPr>
          </w:p>
        </w:tc>
      </w:tr>
      <w:tr>
        <w:trPr>
          <w:trHeight w:val="242"/>
        </w:trPr>
        <w:tc>
          <w:tcPr>
            <w:tcW w:w="1560" w:type="dxa"/>
            <w:vAlign w:val="bottom"/>
          </w:tcPr>
          <w:p>
            <w:pPr>
              <w:jc w:val="center"/>
              <w:spacing w:after="0"/>
              <w:rPr>
                <w:sz w:val="20"/>
                <w:szCs w:val="20"/>
                <w:color w:val="auto"/>
              </w:rPr>
            </w:pPr>
            <w:r>
              <w:rPr>
                <w:rFonts w:ascii="Calibri" w:cs="Calibri" w:eastAsia="Calibri" w:hAnsi="Calibri"/>
                <w:sz w:val="14"/>
                <w:szCs w:val="14"/>
                <w:b w:val="1"/>
                <w:bCs w:val="1"/>
                <w:color w:val="auto"/>
              </w:rPr>
              <w:t>Above Plan</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41" w:lineRule="exact"/>
              <w:rPr>
                <w:sz w:val="20"/>
                <w:szCs w:val="20"/>
                <w:color w:val="auto"/>
              </w:rPr>
            </w:pPr>
            <w:r>
              <w:rPr>
                <w:rFonts w:ascii="Calibri" w:cs="Calibri" w:eastAsia="Calibri" w:hAnsi="Calibri"/>
                <w:sz w:val="26"/>
                <w:szCs w:val="26"/>
                <w:b w:val="1"/>
                <w:bCs w:val="1"/>
                <w:color w:val="auto"/>
                <w:w w:val="93"/>
                <w:vertAlign w:val="subscript"/>
              </w:rPr>
              <w:t>X</w:t>
            </w:r>
            <w:r>
              <w:rPr>
                <w:rFonts w:ascii="Calibri" w:cs="Calibri" w:eastAsia="Calibri" w:hAnsi="Calibri"/>
                <w:sz w:val="11"/>
                <w:szCs w:val="11"/>
                <w:b w:val="1"/>
                <w:bCs w:val="1"/>
                <w:color w:val="auto"/>
                <w:w w:val="93"/>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1"/>
                <w:szCs w:val="21"/>
                <w:color w:val="auto"/>
              </w:rPr>
            </w:pPr>
          </w:p>
        </w:tc>
      </w:tr>
      <w:tr>
        <w:trPr>
          <w:trHeight w:val="270"/>
        </w:trPr>
        <w:tc>
          <w:tcPr>
            <w:tcW w:w="15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30"/>
        </w:trPr>
        <w:tc>
          <w:tcPr>
            <w:tcW w:w="15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29" w:lineRule="exact"/>
              <w:rPr>
                <w:sz w:val="20"/>
                <w:szCs w:val="20"/>
                <w:color w:val="auto"/>
              </w:rPr>
            </w:pPr>
            <w:r>
              <w:rPr>
                <w:rFonts w:ascii="Calibri" w:cs="Calibri" w:eastAsia="Calibri" w:hAnsi="Calibri"/>
                <w:sz w:val="25"/>
                <w:szCs w:val="25"/>
                <w:b w:val="1"/>
                <w:bCs w:val="1"/>
                <w:color w:val="auto"/>
                <w:w w:val="94"/>
                <w:vertAlign w:val="subscript"/>
              </w:rPr>
              <w:t>X</w:t>
            </w:r>
            <w:r>
              <w:rPr>
                <w:rFonts w:ascii="Calibri" w:cs="Calibri" w:eastAsia="Calibri" w:hAnsi="Calibri"/>
                <w:sz w:val="11"/>
                <w:szCs w:val="11"/>
                <w:b w:val="1"/>
                <w:bCs w:val="1"/>
                <w:color w:val="auto"/>
                <w:w w:val="94"/>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9"/>
                <w:szCs w:val="19"/>
                <w:color w:val="auto"/>
              </w:rPr>
            </w:pPr>
          </w:p>
        </w:tc>
      </w:tr>
      <w:tr>
        <w:trPr>
          <w:trHeight w:val="310"/>
        </w:trPr>
        <w:tc>
          <w:tcPr>
            <w:tcW w:w="15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31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4"/>
                <w:szCs w:val="24"/>
                <w:color w:val="auto"/>
              </w:rPr>
            </w:pPr>
          </w:p>
        </w:tc>
      </w:tr>
      <w:tr>
        <w:trPr>
          <w:trHeight w:val="270"/>
        </w:trPr>
        <w:tc>
          <w:tcPr>
            <w:tcW w:w="1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98"/>
        </w:trPr>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98"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4"/>
                <w:szCs w:val="24"/>
                <w:color w:val="auto"/>
              </w:rPr>
            </w:pPr>
          </w:p>
        </w:tc>
      </w:tr>
      <w:tr>
        <w:trPr>
          <w:trHeight w:val="216"/>
        </w:trPr>
        <w:tc>
          <w:tcPr>
            <w:tcW w:w="156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Plan/Target</w:t>
            </w:r>
          </w:p>
        </w:tc>
        <w:tc>
          <w:tcPr>
            <w:tcW w:w="94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shd w:val="clear" w:color="auto" w:fill="FFFFCC"/>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shd w:val="clear" w:color="auto" w:fill="FFFFCC"/>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shd w:val="clear" w:color="auto" w:fill="FFFFCC"/>
          </w:tcPr>
          <w:p>
            <w:pPr>
              <w:jc w:val="center"/>
              <w:spacing w:after="0" w:line="216" w:lineRule="exact"/>
              <w:rPr>
                <w:sz w:val="20"/>
                <w:szCs w:val="20"/>
                <w:color w:val="auto"/>
              </w:rPr>
            </w:pPr>
            <w:r>
              <w:rPr>
                <w:rFonts w:ascii="Calibri" w:cs="Calibri" w:eastAsia="Calibri" w:hAnsi="Calibri"/>
                <w:sz w:val="23"/>
                <w:szCs w:val="23"/>
                <w:b w:val="1"/>
                <w:bCs w:val="1"/>
                <w:color w:val="auto"/>
                <w:vertAlign w:val="subscript"/>
              </w:rPr>
              <w:t>X</w:t>
            </w:r>
            <w:r>
              <w:rPr>
                <w:rFonts w:ascii="Calibri" w:cs="Calibri" w:eastAsia="Calibri" w:hAnsi="Calibri"/>
                <w:sz w:val="10"/>
                <w:szCs w:val="10"/>
                <w:b w:val="1"/>
                <w:bCs w:val="1"/>
                <w:color w:val="auto"/>
              </w:rPr>
              <w:t>th</w:t>
            </w:r>
          </w:p>
        </w:tc>
        <w:tc>
          <w:tcPr>
            <w:tcW w:w="90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8"/>
                <w:szCs w:val="18"/>
                <w:color w:val="auto"/>
              </w:rPr>
            </w:pPr>
          </w:p>
        </w:tc>
      </w:tr>
      <w:tr>
        <w:trPr>
          <w:trHeight w:val="242"/>
        </w:trPr>
        <w:tc>
          <w:tcPr>
            <w:tcW w:w="1560" w:type="dxa"/>
            <w:vAlign w:val="bottom"/>
          </w:tcPr>
          <w:p>
            <w:pPr>
              <w:jc w:val="center"/>
              <w:spacing w:after="0"/>
              <w:rPr>
                <w:sz w:val="20"/>
                <w:szCs w:val="20"/>
                <w:color w:val="auto"/>
              </w:rPr>
            </w:pPr>
            <w:r>
              <w:rPr>
                <w:rFonts w:ascii="Calibri" w:cs="Calibri" w:eastAsia="Calibri" w:hAnsi="Calibri"/>
                <w:sz w:val="14"/>
                <w:szCs w:val="14"/>
                <w:b w:val="1"/>
                <w:bCs w:val="1"/>
                <w:color w:val="auto"/>
              </w:rPr>
              <w:t>Below Plan</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41" w:lineRule="exact"/>
              <w:rPr>
                <w:sz w:val="20"/>
                <w:szCs w:val="20"/>
                <w:color w:val="auto"/>
              </w:rPr>
            </w:pPr>
            <w:r>
              <w:rPr>
                <w:rFonts w:ascii="Calibri" w:cs="Calibri" w:eastAsia="Calibri" w:hAnsi="Calibri"/>
                <w:sz w:val="26"/>
                <w:szCs w:val="26"/>
                <w:b w:val="1"/>
                <w:bCs w:val="1"/>
                <w:color w:val="auto"/>
                <w:w w:val="93"/>
                <w:vertAlign w:val="subscript"/>
              </w:rPr>
              <w:t>X</w:t>
            </w:r>
            <w:r>
              <w:rPr>
                <w:rFonts w:ascii="Calibri" w:cs="Calibri" w:eastAsia="Calibri" w:hAnsi="Calibri"/>
                <w:sz w:val="11"/>
                <w:szCs w:val="11"/>
                <w:b w:val="1"/>
                <w:bCs w:val="1"/>
                <w:color w:val="auto"/>
                <w:w w:val="93"/>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1"/>
                <w:szCs w:val="21"/>
                <w:color w:val="auto"/>
              </w:rPr>
            </w:pPr>
          </w:p>
        </w:tc>
      </w:tr>
      <w:tr>
        <w:trPr>
          <w:trHeight w:val="270"/>
        </w:trPr>
        <w:tc>
          <w:tcPr>
            <w:tcW w:w="15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70"/>
        </w:trPr>
        <w:tc>
          <w:tcPr>
            <w:tcW w:w="15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98"/>
        </w:trPr>
        <w:tc>
          <w:tcPr>
            <w:tcW w:w="15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98"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4"/>
                <w:szCs w:val="24"/>
                <w:color w:val="auto"/>
              </w:rPr>
            </w:pPr>
          </w:p>
        </w:tc>
      </w:tr>
      <w:tr>
        <w:trPr>
          <w:trHeight w:val="216"/>
        </w:trPr>
        <w:tc>
          <w:tcPr>
            <w:tcW w:w="1560" w:type="dxa"/>
            <w:vAlign w:val="bottom"/>
            <w:shd w:val="clear" w:color="auto" w:fill="D9D9D9"/>
          </w:tcPr>
          <w:p>
            <w:pPr>
              <w:jc w:val="center"/>
              <w:spacing w:after="0"/>
              <w:rPr>
                <w:sz w:val="20"/>
                <w:szCs w:val="20"/>
                <w:color w:val="auto"/>
              </w:rPr>
            </w:pPr>
            <w:r>
              <w:rPr>
                <w:rFonts w:ascii="Calibri" w:cs="Calibri" w:eastAsia="Calibri" w:hAnsi="Calibri"/>
                <w:sz w:val="14"/>
                <w:szCs w:val="14"/>
                <w:b w:val="1"/>
                <w:bCs w:val="1"/>
                <w:color w:val="auto"/>
              </w:rPr>
              <w:t>Threshold</w:t>
            </w:r>
          </w:p>
        </w:tc>
        <w:tc>
          <w:tcPr>
            <w:tcW w:w="940" w:type="dxa"/>
            <w:vAlign w:val="bottom"/>
            <w:shd w:val="clear" w:color="auto" w:fill="D9D9D9"/>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shd w:val="clear" w:color="auto" w:fill="D9D9D9"/>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shd w:val="clear" w:color="auto" w:fill="D9D9D9"/>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shd w:val="clear" w:color="auto" w:fill="D9D9D9"/>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shd w:val="clear" w:color="auto" w:fill="D9D9D9"/>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shd w:val="clear" w:color="auto" w:fill="D9D9D9"/>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shd w:val="clear" w:color="auto" w:fill="D9D9D9"/>
          </w:tcPr>
          <w:p>
            <w:pPr>
              <w:jc w:val="center"/>
              <w:spacing w:after="0" w:line="216" w:lineRule="exact"/>
              <w:rPr>
                <w:sz w:val="20"/>
                <w:szCs w:val="20"/>
                <w:color w:val="auto"/>
              </w:rPr>
            </w:pPr>
            <w:r>
              <w:rPr>
                <w:rFonts w:ascii="Calibri" w:cs="Calibri" w:eastAsia="Calibri" w:hAnsi="Calibri"/>
                <w:sz w:val="23"/>
                <w:szCs w:val="23"/>
                <w:b w:val="1"/>
                <w:bCs w:val="1"/>
                <w:color w:val="auto"/>
                <w:vertAlign w:val="subscript"/>
              </w:rPr>
              <w:t>X</w:t>
            </w:r>
            <w:r>
              <w:rPr>
                <w:rFonts w:ascii="Calibri" w:cs="Calibri" w:eastAsia="Calibri" w:hAnsi="Calibri"/>
                <w:sz w:val="10"/>
                <w:szCs w:val="10"/>
                <w:b w:val="1"/>
                <w:bCs w:val="1"/>
                <w:color w:val="auto"/>
              </w:rPr>
              <w:t>th</w:t>
            </w:r>
          </w:p>
        </w:tc>
        <w:tc>
          <w:tcPr>
            <w:tcW w:w="900" w:type="dxa"/>
            <w:vAlign w:val="bottom"/>
            <w:shd w:val="clear" w:color="auto" w:fill="D9D9D9"/>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8"/>
                <w:szCs w:val="18"/>
                <w:color w:val="auto"/>
              </w:rPr>
            </w:pPr>
          </w:p>
        </w:tc>
      </w:tr>
      <w:tr>
        <w:trPr>
          <w:trHeight w:val="149"/>
        </w:trPr>
        <w:tc>
          <w:tcPr>
            <w:tcW w:w="156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Below Threshold</w:t>
            </w:r>
          </w:p>
        </w:tc>
        <w:tc>
          <w:tcPr>
            <w:tcW w:w="94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&lt;$X</w:t>
            </w:r>
          </w:p>
        </w:tc>
        <w:tc>
          <w:tcPr>
            <w:tcW w:w="102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w w:val="96"/>
              </w:rPr>
              <w:t>&lt;X%</w:t>
            </w:r>
          </w:p>
        </w:tc>
        <w:tc>
          <w:tcPr>
            <w:tcW w:w="90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89"/>
              <w:spacing w:after="0" w:line="149" w:lineRule="exact"/>
              <w:rPr>
                <w:sz w:val="20"/>
                <w:szCs w:val="20"/>
                <w:color w:val="auto"/>
              </w:rPr>
            </w:pPr>
            <w:r>
              <w:rPr>
                <w:rFonts w:ascii="Calibri" w:cs="Calibri" w:eastAsia="Calibri" w:hAnsi="Calibri"/>
                <w:sz w:val="14"/>
                <w:szCs w:val="14"/>
                <w:b w:val="1"/>
                <w:bCs w:val="1"/>
                <w:color w:val="auto"/>
              </w:rPr>
              <w:t>&lt;$X</w:t>
            </w:r>
          </w:p>
        </w:tc>
        <w:tc>
          <w:tcPr>
            <w:tcW w:w="128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&lt;X%</w:t>
            </w:r>
          </w:p>
        </w:tc>
        <w:tc>
          <w:tcPr>
            <w:tcW w:w="760" w:type="dxa"/>
            <w:vAlign w:val="bottom"/>
          </w:tcPr>
          <w:p>
            <w:pPr>
              <w:jc w:val="center"/>
              <w:ind w:right="68"/>
              <w:spacing w:after="0" w:line="149" w:lineRule="exact"/>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149" w:lineRule="exact"/>
              <w:rPr>
                <w:sz w:val="20"/>
                <w:szCs w:val="20"/>
                <w:color w:val="auto"/>
              </w:rPr>
            </w:pPr>
            <w:r>
              <w:rPr>
                <w:rFonts w:ascii="Calibri" w:cs="Calibri" w:eastAsia="Calibri" w:hAnsi="Calibri"/>
                <w:sz w:val="11"/>
                <w:szCs w:val="11"/>
                <w:b w:val="1"/>
                <w:bCs w:val="1"/>
                <w:color w:val="auto"/>
              </w:rPr>
              <w:t>&lt;X</w:t>
            </w:r>
            <w:r>
              <w:rPr>
                <w:rFonts w:ascii="Calibri" w:cs="Calibri" w:eastAsia="Calibri" w:hAnsi="Calibri"/>
                <w:sz w:val="16"/>
                <w:szCs w:val="16"/>
                <w:b w:val="1"/>
                <w:bCs w:val="1"/>
                <w:color w:val="auto"/>
                <w:vertAlign w:val="superscript"/>
              </w:rPr>
              <w:t>th</w:t>
            </w:r>
          </w:p>
        </w:tc>
        <w:tc>
          <w:tcPr>
            <w:tcW w:w="90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2"/>
                <w:szCs w:val="12"/>
                <w:color w:val="auto"/>
              </w:rPr>
            </w:pPr>
          </w:p>
        </w:tc>
      </w:tr>
    </w:tbl>
    <w:p>
      <w:pPr>
        <w:spacing w:after="0" w:line="195" w:lineRule="auto"/>
        <w:rPr>
          <w:sz w:val="20"/>
          <w:szCs w:val="20"/>
          <w:color w:val="auto"/>
        </w:rPr>
      </w:pPr>
      <w:r>
        <w:rPr>
          <w:rFonts w:ascii="Calibri" w:cs="Calibri" w:eastAsia="Calibri" w:hAnsi="Calibri"/>
          <w:sz w:val="18"/>
          <w:szCs w:val="18"/>
          <w:color w:val="auto"/>
        </w:rPr>
        <w:t>maximum.</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80"/>
        <w:spacing w:after="0"/>
        <w:rPr>
          <w:sz w:val="20"/>
          <w:szCs w:val="20"/>
          <w:color w:val="auto"/>
        </w:rPr>
      </w:pPr>
      <w:r>
        <w:rPr>
          <w:rFonts w:ascii="Calibri" w:cs="Calibri" w:eastAsia="Calibri" w:hAnsi="Calibri"/>
          <w:sz w:val="18"/>
          <w:szCs w:val="18"/>
          <w:b w:val="1"/>
          <w:bCs w:val="1"/>
          <w:u w:val="single" w:color="auto"/>
          <w:color w:val="auto"/>
        </w:rPr>
        <w:t>EXHIBIT 1</w:t>
      </w:r>
    </w:p>
    <w:p>
      <w:pPr>
        <w:ind w:left="3560"/>
        <w:spacing w:after="0" w:line="221" w:lineRule="auto"/>
        <w:rPr>
          <w:sz w:val="20"/>
          <w:szCs w:val="20"/>
          <w:color w:val="auto"/>
        </w:rPr>
      </w:pPr>
      <w:r>
        <w:rPr>
          <w:rFonts w:ascii="Calibri" w:cs="Calibri" w:eastAsia="Calibri" w:hAnsi="Calibri"/>
          <w:sz w:val="18"/>
          <w:szCs w:val="18"/>
          <w:b w:val="1"/>
          <w:bCs w:val="1"/>
          <w:u w:val="single" w:color="auto"/>
          <w:color w:val="auto"/>
        </w:rPr>
        <w:t>STATE AND OTHER SPECIFIC REQUIREMENTS ADDENDUM</w:t>
      </w:r>
    </w:p>
    <w:p>
      <w:pPr>
        <w:ind w:left="5180"/>
        <w:spacing w:after="0" w:line="221" w:lineRule="auto"/>
        <w:rPr>
          <w:sz w:val="20"/>
          <w:szCs w:val="20"/>
          <w:color w:val="auto"/>
        </w:rPr>
      </w:pPr>
      <w:r>
        <w:rPr>
          <w:rFonts w:ascii="Calibri" w:cs="Calibri" w:eastAsia="Calibri" w:hAnsi="Calibri"/>
          <w:sz w:val="18"/>
          <w:szCs w:val="18"/>
          <w:b w:val="1"/>
          <w:bCs w:val="1"/>
          <w:u w:val="single" w:color="auto"/>
          <w:color w:val="auto"/>
        </w:rPr>
        <w:t>CALIFORNIA</w:t>
      </w:r>
    </w:p>
    <w:p>
      <w:pPr>
        <w:spacing w:after="0" w:line="221" w:lineRule="auto"/>
        <w:rPr>
          <w:sz w:val="20"/>
          <w:szCs w:val="20"/>
          <w:color w:val="auto"/>
        </w:rPr>
      </w:pPr>
      <w:r>
        <w:rPr>
          <w:rFonts w:ascii="Calibri" w:cs="Calibri" w:eastAsia="Calibri" w:hAnsi="Calibri"/>
          <w:sz w:val="18"/>
          <w:szCs w:val="18"/>
          <w:color w:val="auto"/>
        </w:rPr>
        <w:t>For employees residing in California at the tme of executon of this Agreement, Paragraphs 2(g)(iv) and Paragraph 2(o) will not apply.</w:t>
      </w:r>
    </w:p>
    <w:p>
      <w:pPr>
        <w:ind w:left="5200"/>
        <w:spacing w:after="0" w:line="221" w:lineRule="auto"/>
        <w:rPr>
          <w:sz w:val="20"/>
          <w:szCs w:val="20"/>
          <w:color w:val="auto"/>
        </w:rPr>
      </w:pPr>
      <w:r>
        <w:rPr>
          <w:rFonts w:ascii="Calibri" w:cs="Calibri" w:eastAsia="Calibri" w:hAnsi="Calibri"/>
          <w:sz w:val="18"/>
          <w:szCs w:val="18"/>
          <w:b w:val="1"/>
          <w:bCs w:val="1"/>
          <w:u w:val="single" w:color="auto"/>
          <w:color w:val="auto"/>
        </w:rPr>
        <w:t>COLORADO</w:t>
      </w:r>
    </w:p>
    <w:p>
      <w:pPr>
        <w:spacing w:after="0" w:line="1"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Paragraph 2(g)(iv) does not apply unless the employee who, when the covenant not to solicit is entered and when it is enforced, earns at least $67,500 as of 2023 (adjusted on a yearly basis).</w:t>
      </w:r>
    </w:p>
    <w:p>
      <w:pPr>
        <w:jc w:val="center"/>
        <w:ind w:right="-19"/>
        <w:spacing w:after="0" w:line="206" w:lineRule="auto"/>
        <w:rPr>
          <w:sz w:val="20"/>
          <w:szCs w:val="20"/>
          <w:color w:val="auto"/>
        </w:rPr>
      </w:pPr>
      <w:r>
        <w:rPr>
          <w:rFonts w:ascii="Calibri" w:cs="Calibri" w:eastAsia="Calibri" w:hAnsi="Calibri"/>
          <w:sz w:val="18"/>
          <w:szCs w:val="18"/>
          <w:b w:val="1"/>
          <w:bCs w:val="1"/>
          <w:u w:val="single" w:color="auto"/>
          <w:color w:val="auto"/>
        </w:rPr>
        <w:t>GEORGIA</w:t>
      </w:r>
    </w:p>
    <w:p>
      <w:pPr>
        <w:spacing w:after="0" w:line="1"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For employees residing in Georgia, Paragraph 2(g)(iv) shall apply in the United States, which the employee agrees is a reasonable geographic territory in which the Company does business.</w:t>
      </w:r>
    </w:p>
    <w:p>
      <w:pPr>
        <w:jc w:val="center"/>
        <w:ind w:right="-19"/>
        <w:spacing w:after="0" w:line="221" w:lineRule="auto"/>
        <w:rPr>
          <w:sz w:val="20"/>
          <w:szCs w:val="20"/>
          <w:color w:val="auto"/>
        </w:rPr>
      </w:pPr>
      <w:r>
        <w:rPr>
          <w:rFonts w:ascii="Calibri" w:cs="Calibri" w:eastAsia="Calibri" w:hAnsi="Calibri"/>
          <w:sz w:val="18"/>
          <w:szCs w:val="18"/>
          <w:b w:val="1"/>
          <w:bCs w:val="1"/>
          <w:u w:val="single" w:color="auto"/>
          <w:color w:val="auto"/>
        </w:rPr>
        <w:t>ILLINOIS</w:t>
      </w:r>
    </w:p>
    <w:p>
      <w:pPr>
        <w:jc w:val="both"/>
        <w:spacing w:after="0" w:line="221" w:lineRule="auto"/>
        <w:rPr>
          <w:sz w:val="20"/>
          <w:szCs w:val="20"/>
          <w:color w:val="auto"/>
        </w:rPr>
      </w:pPr>
      <w:r>
        <w:rPr>
          <w:rFonts w:ascii="Calibri" w:cs="Calibri" w:eastAsia="Calibri" w:hAnsi="Calibri"/>
          <w:sz w:val="18"/>
          <w:szCs w:val="18"/>
          <w:color w:val="auto"/>
        </w:rPr>
        <w:t>Paragraph 2(g)(iv) does not apply unless the employee’s actual or expected rate of earnings exceeds $45,000 per year (which statutorily increases every fve years).</w:t>
      </w:r>
    </w:p>
    <w:p>
      <w:pPr>
        <w:ind w:left="5220"/>
        <w:spacing w:after="0" w:line="221" w:lineRule="auto"/>
        <w:rPr>
          <w:sz w:val="20"/>
          <w:szCs w:val="20"/>
          <w:color w:val="auto"/>
        </w:rPr>
      </w:pPr>
      <w:r>
        <w:rPr>
          <w:rFonts w:ascii="Calibri" w:cs="Calibri" w:eastAsia="Calibri" w:hAnsi="Calibri"/>
          <w:sz w:val="18"/>
          <w:szCs w:val="18"/>
          <w:b w:val="1"/>
          <w:bCs w:val="1"/>
          <w:u w:val="single" w:color="auto"/>
          <w:color w:val="auto"/>
        </w:rPr>
        <w:t>LOUISIANA</w:t>
      </w:r>
    </w:p>
    <w:p>
      <w:pPr>
        <w:spacing w:after="0" w:line="221" w:lineRule="auto"/>
        <w:rPr>
          <w:sz w:val="20"/>
          <w:szCs w:val="20"/>
          <w:color w:val="auto"/>
        </w:rPr>
      </w:pPr>
      <w:r>
        <w:rPr>
          <w:rFonts w:ascii="Calibri" w:cs="Calibri" w:eastAsia="Calibri" w:hAnsi="Calibri"/>
          <w:sz w:val="18"/>
          <w:szCs w:val="18"/>
          <w:color w:val="auto"/>
        </w:rPr>
        <w:t>For employees who perform work in Louisiana, Paragraph 2(g)(iv) shall only apply in the St Tammany Parish.</w:t>
      </w:r>
    </w:p>
    <w:p>
      <w:pPr>
        <w:ind w:left="5040"/>
        <w:spacing w:after="0" w:line="221" w:lineRule="auto"/>
        <w:rPr>
          <w:sz w:val="20"/>
          <w:szCs w:val="20"/>
          <w:color w:val="auto"/>
        </w:rPr>
      </w:pPr>
      <w:r>
        <w:rPr>
          <w:rFonts w:ascii="Calibri" w:cs="Calibri" w:eastAsia="Calibri" w:hAnsi="Calibri"/>
          <w:sz w:val="18"/>
          <w:szCs w:val="18"/>
          <w:b w:val="1"/>
          <w:bCs w:val="1"/>
          <w:u w:val="single" w:color="auto"/>
          <w:color w:val="auto"/>
        </w:rPr>
        <w:t>NORTH DAKOTA</w:t>
      </w:r>
    </w:p>
    <w:p>
      <w:pPr>
        <w:spacing w:after="0" w:line="222" w:lineRule="auto"/>
        <w:rPr>
          <w:sz w:val="20"/>
          <w:szCs w:val="20"/>
          <w:color w:val="auto"/>
        </w:rPr>
      </w:pPr>
      <w:r>
        <w:rPr>
          <w:rFonts w:ascii="Calibri" w:cs="Calibri" w:eastAsia="Calibri" w:hAnsi="Calibri"/>
          <w:sz w:val="18"/>
          <w:szCs w:val="18"/>
          <w:color w:val="auto"/>
        </w:rPr>
        <w:t>For employees residing in North Dakota at the tme of executon of this Agreement, Paragraph 2(g)(iv) will not apply.</w:t>
      </w:r>
    </w:p>
    <w:p>
      <w:pPr>
        <w:ind w:left="5180"/>
        <w:spacing w:after="0" w:line="221" w:lineRule="auto"/>
        <w:rPr>
          <w:sz w:val="20"/>
          <w:szCs w:val="20"/>
          <w:color w:val="auto"/>
        </w:rPr>
      </w:pPr>
      <w:r>
        <w:rPr>
          <w:rFonts w:ascii="Calibri" w:cs="Calibri" w:eastAsia="Calibri" w:hAnsi="Calibri"/>
          <w:sz w:val="18"/>
          <w:szCs w:val="18"/>
          <w:b w:val="1"/>
          <w:bCs w:val="1"/>
          <w:u w:val="single" w:color="auto"/>
          <w:color w:val="auto"/>
        </w:rPr>
        <w:t>OKLAHOMA</w:t>
      </w:r>
    </w:p>
    <w:p>
      <w:pPr>
        <w:jc w:val="both"/>
        <w:spacing w:after="0" w:line="221" w:lineRule="auto"/>
        <w:rPr>
          <w:sz w:val="20"/>
          <w:szCs w:val="20"/>
          <w:color w:val="auto"/>
        </w:rPr>
      </w:pPr>
      <w:r>
        <w:rPr>
          <w:rFonts w:ascii="Calibri" w:cs="Calibri" w:eastAsia="Calibri" w:hAnsi="Calibri"/>
          <w:sz w:val="18"/>
          <w:szCs w:val="18"/>
          <w:color w:val="auto"/>
        </w:rPr>
        <w:t>For employees residing in Oklahoma at the tme of executon of this Agreement, Paragraph 2(g)(iv) will only apply to the extent it prohibits the Employee from directly solicitng the sale of goods, services or a combinaton of goods and services from the established customers of the Company.</w:t>
      </w:r>
    </w:p>
    <w:p>
      <w:pPr>
        <w:jc w:val="center"/>
        <w:ind w:right="-19"/>
        <w:spacing w:after="0" w:line="206" w:lineRule="auto"/>
        <w:rPr>
          <w:sz w:val="20"/>
          <w:szCs w:val="20"/>
          <w:color w:val="auto"/>
        </w:rPr>
      </w:pPr>
      <w:r>
        <w:rPr>
          <w:rFonts w:ascii="Calibri" w:cs="Calibri" w:eastAsia="Calibri" w:hAnsi="Calibri"/>
          <w:sz w:val="18"/>
          <w:szCs w:val="18"/>
          <w:b w:val="1"/>
          <w:bCs w:val="1"/>
          <w:u w:val="single" w:color="auto"/>
          <w:color w:val="auto"/>
        </w:rPr>
        <w:t>OREGON</w:t>
      </w:r>
    </w:p>
    <w:p>
      <w:pPr>
        <w:spacing w:after="0" w:line="1"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For employees residing in Oregon at the tme of executon of this Agreement, the Company shall provide a copy of this Agreement to the employees at least two weeks before the employees begin work and must sign this Agreement as a conditon of employment. The Company also must provide the employee a signed, writen copy of the Agreement within 30 days afer the date of terminaton of the employee’s employment with the Company.</w:t>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2011 OMNIBUS INCENTIVE PLAN</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2024 PERFORMANCE SHARE UNIT GRANT AGREEMENT FOR SENIOR LEADERSHIP TEAM</w:t>
      </w:r>
    </w:p>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color w:val="auto"/>
        </w:rPr>
        <w:t>This Agreement (the “</w:t>
      </w:r>
      <w:r>
        <w:rPr>
          <w:rFonts w:ascii="Calibri" w:cs="Calibri" w:eastAsia="Calibri" w:hAnsi="Calibri"/>
          <w:sz w:val="21"/>
          <w:szCs w:val="21"/>
          <w:b w:val="1"/>
          <w:bCs w:val="1"/>
          <w:color w:val="auto"/>
        </w:rPr>
        <w:t>Agreement</w:t>
      </w:r>
      <w:r>
        <w:rPr>
          <w:rFonts w:ascii="Calibri" w:cs="Calibri" w:eastAsia="Calibri" w:hAnsi="Calibri"/>
          <w:sz w:val="18"/>
          <w:szCs w:val="18"/>
          <w:color w:val="auto"/>
        </w:rPr>
        <w:t>”) between Xylem Inc. (the “</w:t>
      </w:r>
      <w:r>
        <w:rPr>
          <w:rFonts w:ascii="Calibri" w:cs="Calibri" w:eastAsia="Calibri" w:hAnsi="Calibri"/>
          <w:sz w:val="21"/>
          <w:szCs w:val="21"/>
          <w:b w:val="1"/>
          <w:bCs w:val="1"/>
          <w:color w:val="auto"/>
        </w:rPr>
        <w:t>Company</w:t>
      </w:r>
      <w:r>
        <w:rPr>
          <w:rFonts w:ascii="Calibri" w:cs="Calibri" w:eastAsia="Calibri" w:hAnsi="Calibri"/>
          <w:sz w:val="18"/>
          <w:szCs w:val="18"/>
          <w:color w:val="auto"/>
        </w:rPr>
        <w:t xml:space="preserve">”) and </w:t>
      </w:r>
      <w:r>
        <w:rPr>
          <w:rFonts w:ascii="Calibri" w:cs="Calibri" w:eastAsia="Calibri" w:hAnsi="Calibri"/>
          <w:sz w:val="21"/>
          <w:szCs w:val="21"/>
          <w:b w:val="1"/>
          <w:bCs w:val="1"/>
          <w:color w:val="auto"/>
        </w:rPr>
        <w:t>###PARTICIPANT_NAME###</w:t>
      </w:r>
      <w:r>
        <w:rPr>
          <w:rFonts w:ascii="Calibri" w:cs="Calibri" w:eastAsia="Calibri" w:hAnsi="Calibri"/>
          <w:sz w:val="18"/>
          <w:szCs w:val="18"/>
          <w:color w:val="auto"/>
        </w:rPr>
        <w:t xml:space="preserve"> (the “</w:t>
      </w:r>
      <w:r>
        <w:rPr>
          <w:rFonts w:ascii="Calibri" w:cs="Calibri" w:eastAsia="Calibri" w:hAnsi="Calibri"/>
          <w:sz w:val="21"/>
          <w:szCs w:val="21"/>
          <w:b w:val="1"/>
          <w:bCs w:val="1"/>
          <w:color w:val="auto"/>
        </w:rPr>
        <w:t>Partcipant</w:t>
      </w:r>
      <w:r>
        <w:rPr>
          <w:rFonts w:ascii="Calibri" w:cs="Calibri" w:eastAsia="Calibri" w:hAnsi="Calibri"/>
          <w:sz w:val="18"/>
          <w:szCs w:val="18"/>
          <w:color w:val="auto"/>
        </w:rPr>
        <w:t>”) is efectve as of</w:t>
      </w:r>
    </w:p>
    <w:p>
      <w:pPr>
        <w:spacing w:after="0" w:line="216" w:lineRule="auto"/>
        <w:rPr>
          <w:sz w:val="20"/>
          <w:szCs w:val="20"/>
          <w:color w:val="auto"/>
        </w:rPr>
      </w:pPr>
      <w:r>
        <w:rPr>
          <w:rFonts w:ascii="Calibri" w:cs="Calibri" w:eastAsia="Calibri" w:hAnsi="Calibri"/>
          <w:sz w:val="22"/>
          <w:szCs w:val="22"/>
          <w:b w:val="1"/>
          <w:bCs w:val="1"/>
          <w:color w:val="auto"/>
        </w:rPr>
        <w:t>###GRANT_DATE###</w:t>
      </w:r>
      <w:r>
        <w:rPr>
          <w:rFonts w:ascii="Calibri" w:cs="Calibri" w:eastAsia="Calibri" w:hAnsi="Calibri"/>
          <w:sz w:val="17"/>
          <w:szCs w:val="17"/>
          <w:color w:val="auto"/>
        </w:rPr>
        <w:t>. Capitalized terms that are not defned in this Agreement are defned in the Company’s 2011 Omnibus Incentve Plan (Amended</w:t>
      </w:r>
    </w:p>
    <w:p>
      <w:pPr>
        <w:spacing w:after="0" w:line="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and Restated on February 24, 2016) (the “</w:t>
      </w:r>
      <w:r>
        <w:rPr>
          <w:rFonts w:ascii="Calibri" w:cs="Calibri" w:eastAsia="Calibri" w:hAnsi="Calibri"/>
          <w:sz w:val="21"/>
          <w:szCs w:val="21"/>
          <w:b w:val="1"/>
          <w:bCs w:val="1"/>
          <w:color w:val="auto"/>
        </w:rPr>
        <w:t>Plan</w:t>
      </w:r>
      <w:r>
        <w:rPr>
          <w:rFonts w:ascii="Calibri" w:cs="Calibri" w:eastAsia="Calibri" w:hAnsi="Calibri"/>
          <w:sz w:val="18"/>
          <w:szCs w:val="18"/>
          <w:color w:val="auto"/>
        </w:rPr>
        <w:t>”). This Agreement is only being provided in English. The Partcipant is an employee of the Company or an Afliate. In recogniton of the Partcipant’s valued services, the Company, through the Leadership Development and Compensaton Commitee of its Board of Directors (the “</w:t>
      </w:r>
      <w:r>
        <w:rPr>
          <w:rFonts w:ascii="Calibri" w:cs="Calibri" w:eastAsia="Calibri" w:hAnsi="Calibri"/>
          <w:sz w:val="21"/>
          <w:szCs w:val="21"/>
          <w:b w:val="1"/>
          <w:bCs w:val="1"/>
          <w:color w:val="auto"/>
        </w:rPr>
        <w:t>Commitee</w:t>
      </w:r>
      <w:r>
        <w:rPr>
          <w:rFonts w:ascii="Calibri" w:cs="Calibri" w:eastAsia="Calibri" w:hAnsi="Calibri"/>
          <w:sz w:val="18"/>
          <w:szCs w:val="18"/>
          <w:color w:val="auto"/>
        </w:rPr>
        <w:t>”), is providing the Partcipant an inducement to remain employed and an incentve for increased eforts while employed. In consideraton of the terms and conditons in this Agreement, the partes agree as follows:</w:t>
      </w:r>
    </w:p>
    <w:p>
      <w:pPr>
        <w:spacing w:after="0" w:line="11" w:lineRule="exact"/>
        <w:rPr>
          <w:sz w:val="20"/>
          <w:szCs w:val="20"/>
          <w:color w:val="auto"/>
        </w:rPr>
      </w:pPr>
    </w:p>
    <w:p>
      <w:pPr>
        <w:jc w:val="both"/>
        <w:ind w:left="660" w:hanging="328"/>
        <w:spacing w:after="0" w:line="230" w:lineRule="auto"/>
        <w:tabs>
          <w:tab w:leader="none" w:pos="651" w:val="left"/>
        </w:tabs>
        <w:numPr>
          <w:ilvl w:val="0"/>
          <w:numId w:val="70"/>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Grant of Performance Share Units</w:t>
      </w:r>
      <w:r>
        <w:rPr>
          <w:rFonts w:ascii="Calibri" w:cs="Calibri" w:eastAsia="Calibri" w:hAnsi="Calibri"/>
          <w:sz w:val="18"/>
          <w:szCs w:val="18"/>
          <w:color w:val="auto"/>
        </w:rPr>
        <w:t>. The Company confrms the grant on</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###GRANT_DATE###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w:t>
      </w:r>
      <w:r>
        <w:rPr>
          <w:rFonts w:ascii="Calibri" w:cs="Calibri" w:eastAsia="Calibri" w:hAnsi="Calibri"/>
          <w:sz w:val="21"/>
          <w:szCs w:val="21"/>
          <w:b w:val="1"/>
          <w:bCs w:val="1"/>
          <w:color w:val="auto"/>
        </w:rPr>
        <w:t>Grant Date</w:t>
      </w:r>
      <w:r>
        <w:rPr>
          <w:rFonts w:ascii="Calibri" w:cs="Calibri" w:eastAsia="Calibri" w:hAnsi="Calibri"/>
          <w:sz w:val="18"/>
          <w:szCs w:val="18"/>
          <w:color w:val="auto"/>
        </w:rPr>
        <w:t>”) to the Partcipant,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target number of </w:t>
      </w:r>
      <w:r>
        <w:rPr>
          <w:rFonts w:ascii="Calibri" w:cs="Calibri" w:eastAsia="Calibri" w:hAnsi="Calibri"/>
          <w:sz w:val="21"/>
          <w:szCs w:val="21"/>
          <w:b w:val="1"/>
          <w:bCs w:val="1"/>
          <w:color w:val="auto"/>
        </w:rPr>
        <w:t>###TOTAL_AWARDS###</w:t>
      </w:r>
      <w:r>
        <w:rPr>
          <w:rFonts w:ascii="Calibri" w:cs="Calibri" w:eastAsia="Calibri" w:hAnsi="Calibri"/>
          <w:sz w:val="18"/>
          <w:szCs w:val="18"/>
          <w:color w:val="auto"/>
        </w:rPr>
        <w:t xml:space="preserve"> Performance Share Units (“</w:t>
      </w:r>
      <w:r>
        <w:rPr>
          <w:rFonts w:ascii="Calibri" w:cs="Calibri" w:eastAsia="Calibri" w:hAnsi="Calibri"/>
          <w:sz w:val="21"/>
          <w:szCs w:val="21"/>
          <w:b w:val="1"/>
          <w:bCs w:val="1"/>
          <w:color w:val="auto"/>
        </w:rPr>
        <w:t>PSUs</w:t>
      </w:r>
      <w:r>
        <w:rPr>
          <w:rFonts w:ascii="Calibri" w:cs="Calibri" w:eastAsia="Calibri" w:hAnsi="Calibri"/>
          <w:sz w:val="18"/>
          <w:szCs w:val="18"/>
          <w:color w:val="auto"/>
        </w:rPr>
        <w:t xml:space="preserve">”). All PSUs granted under this Agreement are intended to be Performance Based Awards. </w:t>
      </w:r>
      <w:r>
        <w:rPr>
          <w:rFonts w:ascii="Calibri" w:cs="Calibri" w:eastAsia="Calibri" w:hAnsi="Calibri"/>
          <w:sz w:val="21"/>
          <w:szCs w:val="21"/>
          <w:color w:val="auto"/>
        </w:rPr>
        <w:t>Th</w:t>
      </w:r>
      <w:r>
        <w:rPr>
          <w:rFonts w:ascii="Calibri" w:cs="Calibri" w:eastAsia="Calibri" w:hAnsi="Calibri"/>
          <w:sz w:val="18"/>
          <w:szCs w:val="18"/>
          <w:color w:val="auto"/>
        </w:rPr>
        <w:t>e PSUs are notonal units of measurement denominated in Shares of common stock (</w:t>
      </w:r>
      <w:r>
        <w:rPr>
          <w:rFonts w:ascii="Calibri" w:cs="Calibri" w:eastAsia="Calibri" w:hAnsi="Calibri"/>
          <w:sz w:val="21"/>
          <w:szCs w:val="21"/>
          <w:i w:val="1"/>
          <w:iCs w:val="1"/>
          <w:color w:val="auto"/>
        </w:rPr>
        <w:t>i.e</w:t>
      </w:r>
      <w:r>
        <w:rPr>
          <w:rFonts w:ascii="Calibri" w:cs="Calibri" w:eastAsia="Calibri" w:hAnsi="Calibri"/>
          <w:sz w:val="18"/>
          <w:szCs w:val="18"/>
          <w:color w:val="auto"/>
        </w:rPr>
        <w:t>., one PSU is equivalent in</w:t>
      </w:r>
    </w:p>
    <w:p>
      <w:pPr>
        <w:ind w:left="660"/>
        <w:spacing w:after="0" w:line="225" w:lineRule="auto"/>
        <w:rPr>
          <w:sz w:val="20"/>
          <w:szCs w:val="20"/>
          <w:color w:val="auto"/>
        </w:rPr>
      </w:pPr>
      <w:r>
        <w:rPr>
          <w:rFonts w:ascii="Calibri" w:cs="Calibri" w:eastAsia="Calibri" w:hAnsi="Calibri"/>
          <w:sz w:val="18"/>
          <w:szCs w:val="18"/>
          <w:color w:val="auto"/>
        </w:rPr>
        <w:t>value to one Share of common stock of the Company).</w:t>
      </w:r>
    </w:p>
    <w:p>
      <w:pPr>
        <w:spacing w:after="0" w:line="1" w:lineRule="exact"/>
        <w:rPr>
          <w:sz w:val="20"/>
          <w:szCs w:val="20"/>
          <w:color w:val="auto"/>
        </w:rPr>
      </w:pPr>
    </w:p>
    <w:p>
      <w:pPr>
        <w:ind w:firstLine="324"/>
        <w:spacing w:after="0" w:line="221" w:lineRule="auto"/>
        <w:rPr>
          <w:sz w:val="20"/>
          <w:szCs w:val="20"/>
          <w:color w:val="auto"/>
        </w:rPr>
      </w:pPr>
      <w:r>
        <w:rPr>
          <w:rFonts w:ascii="Calibri" w:cs="Calibri" w:eastAsia="Calibri" w:hAnsi="Calibri"/>
          <w:sz w:val="18"/>
          <w:szCs w:val="18"/>
          <w:color w:val="auto"/>
        </w:rPr>
        <w:t>The PSUs represent an unfunded, unsecured right to receive Shares and dividend equivalent payments in the future if the conditons in the Plan and this Agreement are satsfed.</w:t>
      </w:r>
    </w:p>
    <w:p>
      <w:pPr>
        <w:ind w:left="340"/>
        <w:spacing w:after="0" w:line="221" w:lineRule="auto"/>
        <w:rPr>
          <w:sz w:val="20"/>
          <w:szCs w:val="20"/>
          <w:color w:val="auto"/>
        </w:rPr>
      </w:pPr>
      <w:r>
        <w:rPr>
          <w:rFonts w:ascii="Calibri" w:cs="Calibri" w:eastAsia="Calibri" w:hAnsi="Calibri"/>
          <w:sz w:val="18"/>
          <w:szCs w:val="18"/>
          <w:b w:val="1"/>
          <w:bCs w:val="1"/>
          <w:color w:val="auto"/>
        </w:rPr>
        <w:t>Nature of the Grant:</w:t>
      </w:r>
    </w:p>
    <w:p>
      <w:pPr>
        <w:spacing w:after="0" w:line="42" w:lineRule="exact"/>
        <w:rPr>
          <w:sz w:val="20"/>
          <w:szCs w:val="20"/>
          <w:color w:val="auto"/>
        </w:rPr>
      </w:pPr>
    </w:p>
    <w:p>
      <w:pPr>
        <w:jc w:val="both"/>
        <w:ind w:left="660" w:hanging="328"/>
        <w:spacing w:after="0" w:line="209" w:lineRule="auto"/>
        <w:tabs>
          <w:tab w:leader="none" w:pos="651" w:val="left"/>
        </w:tabs>
        <w:numPr>
          <w:ilvl w:val="0"/>
          <w:numId w:val="71"/>
        </w:numPr>
        <w:rPr>
          <w:rFonts w:ascii="Arial" w:cs="Arial" w:eastAsia="Arial" w:hAnsi="Arial"/>
          <w:sz w:val="22"/>
          <w:szCs w:val="22"/>
          <w:color w:val="auto"/>
        </w:rPr>
      </w:pPr>
      <w:r>
        <w:rPr>
          <w:rFonts w:ascii="Calibri" w:cs="Calibri" w:eastAsia="Calibri" w:hAnsi="Calibri"/>
          <w:sz w:val="18"/>
          <w:szCs w:val="18"/>
          <w:color w:val="auto"/>
        </w:rPr>
        <w:t>The grant of the PSUs is voluntary and occasional and does not create any contractual or other right to receive future grants of PSUs, or benefts in lieu of PSUs, even if PSUs have been granted in the past. All decisions with respect to future PSUs or other grants, if any, will be at the sole discreton of the Company;</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71"/>
        </w:numPr>
        <w:rPr>
          <w:rFonts w:ascii="Arial" w:cs="Arial" w:eastAsia="Arial" w:hAnsi="Arial"/>
          <w:sz w:val="22"/>
          <w:szCs w:val="22"/>
          <w:color w:val="auto"/>
        </w:rPr>
      </w:pPr>
      <w:r>
        <w:rPr>
          <w:rFonts w:ascii="Calibri" w:cs="Calibri" w:eastAsia="Calibri" w:hAnsi="Calibri"/>
          <w:sz w:val="18"/>
          <w:szCs w:val="18"/>
          <w:color w:val="auto"/>
        </w:rPr>
        <w:t>The Partcipant is voluntarily partcipatng in the Plan;</w:t>
      </w:r>
    </w:p>
    <w:p>
      <w:pPr>
        <w:spacing w:after="0" w:line="285" w:lineRule="exact"/>
        <w:rPr>
          <w:sz w:val="20"/>
          <w:szCs w:val="20"/>
          <w:color w:val="auto"/>
        </w:rPr>
      </w:pPr>
    </w:p>
    <w:p>
      <w:pPr>
        <w:jc w:val="both"/>
        <w:ind w:left="660" w:hanging="328"/>
        <w:spacing w:after="0" w:line="214" w:lineRule="auto"/>
        <w:tabs>
          <w:tab w:leader="none" w:pos="651" w:val="left"/>
        </w:tabs>
        <w:numPr>
          <w:ilvl w:val="0"/>
          <w:numId w:val="72"/>
        </w:numPr>
        <w:rPr>
          <w:rFonts w:ascii="Arial" w:cs="Arial" w:eastAsia="Arial" w:hAnsi="Arial"/>
          <w:sz w:val="22"/>
          <w:szCs w:val="22"/>
          <w:color w:val="auto"/>
        </w:rPr>
      </w:pPr>
      <w:r>
        <w:rPr>
          <w:rFonts w:ascii="Calibri" w:cs="Calibri" w:eastAsia="Calibri" w:hAnsi="Calibri"/>
          <w:sz w:val="18"/>
          <w:szCs w:val="18"/>
          <w:color w:val="auto"/>
        </w:rPr>
        <w:t>The PSUs and the Shares subject to the PSUs, are not part of normal or expected compensaton for any purpose, including for purposes of calculatng any severance, resignaton, terminaton, redundancy, dismissal, end-of-service payments, bonuses, pension or retrement or welfare benefts or similar payments;</w:t>
      </w:r>
    </w:p>
    <w:p>
      <w:pPr>
        <w:spacing w:after="0" w:line="2" w:lineRule="exact"/>
        <w:rPr>
          <w:rFonts w:ascii="Arial" w:cs="Arial" w:eastAsia="Arial" w:hAnsi="Arial"/>
          <w:sz w:val="22"/>
          <w:szCs w:val="22"/>
          <w:color w:val="auto"/>
        </w:rPr>
      </w:pPr>
    </w:p>
    <w:p>
      <w:pPr>
        <w:ind w:left="640" w:hanging="308"/>
        <w:spacing w:after="0"/>
        <w:tabs>
          <w:tab w:leader="none" w:pos="640" w:val="left"/>
        </w:tabs>
        <w:numPr>
          <w:ilvl w:val="0"/>
          <w:numId w:val="72"/>
        </w:numPr>
        <w:rPr>
          <w:rFonts w:ascii="Arial" w:cs="Arial" w:eastAsia="Arial" w:hAnsi="Arial"/>
          <w:sz w:val="22"/>
          <w:szCs w:val="22"/>
          <w:color w:val="auto"/>
        </w:rPr>
      </w:pPr>
      <w:r>
        <w:rPr>
          <w:rFonts w:ascii="Calibri" w:cs="Calibri" w:eastAsia="Calibri" w:hAnsi="Calibri"/>
          <w:sz w:val="18"/>
          <w:szCs w:val="18"/>
          <w:color w:val="auto"/>
        </w:rPr>
        <w:t>Future value of the underlying Shares is unknown, indeterminable and cannot be predicted with certainty;</w:t>
      </w:r>
    </w:p>
    <w:p>
      <w:pPr>
        <w:spacing w:after="0" w:line="41" w:lineRule="exact"/>
        <w:rPr>
          <w:rFonts w:ascii="Arial" w:cs="Arial" w:eastAsia="Arial" w:hAnsi="Arial"/>
          <w:sz w:val="22"/>
          <w:szCs w:val="22"/>
          <w:color w:val="auto"/>
        </w:rPr>
      </w:pPr>
    </w:p>
    <w:p>
      <w:pPr>
        <w:ind w:left="660" w:hanging="328"/>
        <w:spacing w:after="0" w:line="211" w:lineRule="auto"/>
        <w:tabs>
          <w:tab w:leader="none" w:pos="652" w:val="left"/>
        </w:tabs>
        <w:numPr>
          <w:ilvl w:val="0"/>
          <w:numId w:val="72"/>
        </w:numPr>
        <w:rPr>
          <w:rFonts w:ascii="Arial" w:cs="Arial" w:eastAsia="Arial" w:hAnsi="Arial"/>
          <w:sz w:val="22"/>
          <w:szCs w:val="22"/>
          <w:color w:val="auto"/>
        </w:rPr>
      </w:pPr>
      <w:r>
        <w:rPr>
          <w:rFonts w:ascii="Calibri" w:cs="Calibri" w:eastAsia="Calibri" w:hAnsi="Calibri"/>
          <w:sz w:val="18"/>
          <w:szCs w:val="18"/>
          <w:color w:val="auto"/>
        </w:rPr>
        <w:t>No claim or enttlement to compensaton or damages will arise from forfeiture of the PSUs resultng from the terminaton of the Partcipant's employment; and</w:t>
      </w:r>
    </w:p>
    <w:p>
      <w:pPr>
        <w:spacing w:after="0" w:line="41" w:lineRule="exact"/>
        <w:rPr>
          <w:rFonts w:ascii="Arial" w:cs="Arial" w:eastAsia="Arial" w:hAnsi="Arial"/>
          <w:sz w:val="22"/>
          <w:szCs w:val="22"/>
          <w:color w:val="auto"/>
        </w:rPr>
      </w:pPr>
    </w:p>
    <w:p>
      <w:pPr>
        <w:jc w:val="both"/>
        <w:ind w:left="660" w:hanging="328"/>
        <w:spacing w:after="0" w:line="214" w:lineRule="auto"/>
        <w:tabs>
          <w:tab w:leader="none" w:pos="651" w:val="left"/>
        </w:tabs>
        <w:numPr>
          <w:ilvl w:val="0"/>
          <w:numId w:val="72"/>
        </w:numPr>
        <w:rPr>
          <w:rFonts w:ascii="Arial" w:cs="Arial" w:eastAsia="Arial" w:hAnsi="Arial"/>
          <w:sz w:val="22"/>
          <w:szCs w:val="22"/>
          <w:color w:val="auto"/>
        </w:rPr>
      </w:pPr>
      <w:r>
        <w:rPr>
          <w:rFonts w:ascii="Calibri" w:cs="Calibri" w:eastAsia="Calibri" w:hAnsi="Calibri"/>
          <w:sz w:val="18"/>
          <w:szCs w:val="18"/>
          <w:color w:val="auto"/>
        </w:rPr>
        <w:t>The Company will not be liable for any foreign exchange rate fuctuaton between the Partcipant’s local currency and the United States Dollar that may afect the value of the PSUs or of any amounts due to the Partcipant pursuant to the setlement of the PSUs or the subsequent sale of any Shares acquired upon setlement.</w:t>
      </w:r>
    </w:p>
    <w:p>
      <w:pPr>
        <w:spacing w:after="0" w:line="3" w:lineRule="exact"/>
        <w:rPr>
          <w:sz w:val="20"/>
          <w:szCs w:val="20"/>
          <w:color w:val="auto"/>
        </w:rPr>
      </w:pPr>
    </w:p>
    <w:p>
      <w:pPr>
        <w:ind w:left="640" w:hanging="308"/>
        <w:spacing w:after="0"/>
        <w:tabs>
          <w:tab w:leader="none" w:pos="640" w:val="left"/>
        </w:tabs>
        <w:numPr>
          <w:ilvl w:val="0"/>
          <w:numId w:val="73"/>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Terms and Conditons.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PSUs are subject to the following additonal terms and conditons:</w:t>
      </w:r>
    </w:p>
    <w:p>
      <w:pPr>
        <w:spacing w:after="0" w:line="42" w:lineRule="exact"/>
        <w:rPr>
          <w:sz w:val="20"/>
          <w:szCs w:val="20"/>
          <w:color w:val="auto"/>
        </w:rPr>
      </w:pPr>
    </w:p>
    <w:p>
      <w:pPr>
        <w:ind w:left="660" w:hanging="328"/>
        <w:spacing w:after="0" w:line="204" w:lineRule="auto"/>
        <w:tabs>
          <w:tab w:leader="none" w:pos="651" w:val="left"/>
        </w:tabs>
        <w:numPr>
          <w:ilvl w:val="0"/>
          <w:numId w:val="74"/>
        </w:numPr>
        <w:rPr>
          <w:rFonts w:ascii="Arial" w:cs="Arial" w:eastAsia="Arial" w:hAnsi="Arial"/>
          <w:sz w:val="22"/>
          <w:szCs w:val="22"/>
          <w:color w:val="auto"/>
        </w:rPr>
      </w:pPr>
      <w:r>
        <w:rPr>
          <w:rFonts w:ascii="Calibri" w:cs="Calibri" w:eastAsia="Calibri" w:hAnsi="Calibri"/>
          <w:sz w:val="18"/>
          <w:szCs w:val="18"/>
          <w:b w:val="1"/>
          <w:bCs w:val="1"/>
          <w:color w:val="auto"/>
        </w:rPr>
        <w:t>Restrictons</w:t>
      </w:r>
      <w:r>
        <w:rPr>
          <w:rFonts w:ascii="Calibri" w:cs="Calibri" w:eastAsia="Calibri" w:hAnsi="Calibri"/>
          <w:sz w:val="18"/>
          <w:szCs w:val="18"/>
          <w:color w:val="auto"/>
        </w:rPr>
        <w:t>. Except as otherwise provided in the Plan and this Agreement, the PSUs cannot be sold, assigned, pledged, exchanged, transferred,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hypothecated or encumbered, other than to the Company as a result of forfeiture.</w:t>
      </w:r>
    </w:p>
    <w:p>
      <w:pPr>
        <w:spacing w:after="0" w:line="42" w:lineRule="exact"/>
        <w:rPr>
          <w:rFonts w:ascii="Arial" w:cs="Arial" w:eastAsia="Arial" w:hAnsi="Arial"/>
          <w:sz w:val="22"/>
          <w:szCs w:val="22"/>
          <w:color w:val="auto"/>
        </w:rPr>
      </w:pPr>
    </w:p>
    <w:p>
      <w:pPr>
        <w:jc w:val="both"/>
        <w:ind w:left="660" w:hanging="328"/>
        <w:spacing w:after="0" w:line="229" w:lineRule="auto"/>
        <w:tabs>
          <w:tab w:leader="none" w:pos="651" w:val="left"/>
        </w:tabs>
        <w:numPr>
          <w:ilvl w:val="0"/>
          <w:numId w:val="74"/>
        </w:numPr>
        <w:rPr>
          <w:rFonts w:ascii="Arial" w:cs="Arial" w:eastAsia="Arial" w:hAnsi="Arial"/>
          <w:sz w:val="21"/>
          <w:szCs w:val="21"/>
          <w:color w:val="auto"/>
        </w:rPr>
      </w:pPr>
      <w:r>
        <w:rPr>
          <w:rFonts w:ascii="Calibri" w:cs="Calibri" w:eastAsia="Calibri" w:hAnsi="Calibri"/>
          <w:sz w:val="17"/>
          <w:szCs w:val="17"/>
          <w:b w:val="1"/>
          <w:bCs w:val="1"/>
          <w:color w:val="auto"/>
        </w:rPr>
        <w:t>Votng and Dividend Equivalent Rights</w:t>
      </w:r>
      <w:r>
        <w:rPr>
          <w:rFonts w:ascii="Calibri" w:cs="Calibri" w:eastAsia="Calibri" w:hAnsi="Calibri"/>
          <w:sz w:val="17"/>
          <w:szCs w:val="17"/>
          <w:color w:val="auto"/>
        </w:rPr>
        <w:t>. The Partcipant will not have any privileges of a shareholder of the Company with respect to the PSUs,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including without limitaton any right to vote such Shares or to receive dividends, unless and untl Shares are delivered to the Partcipant on the vestng of the PSUs. Dividend equivalents will be earned for each PSU that vests and the amount will equal the total dividends declared on a Share, where the record date of the dividend is between the Grant Date of this Award and the date a Share is issued on vestng of the PSU. Any dividend equivalents earned will be paid in cash to the Partcipant as and when the Shares subject to the vested PSUs are issued. No dividend equivalents will</w:t>
      </w:r>
    </w:p>
    <w:p>
      <w:pPr>
        <w:sectPr>
          <w:pgSz w:w="11900" w:h="16838" w:orient="portrait"/>
          <w:cols w:equalWidth="0" w:num="1">
            <w:col w:w="11240"/>
          </w:cols>
          <w:pgMar w:left="320" w:top="1395" w:right="339" w:bottom="1440" w:gutter="0" w:footer="0" w:header="0"/>
        </w:sectPr>
      </w:pPr>
    </w:p>
    <w:bookmarkStart w:id="81" w:name="page82"/>
    <w:bookmarkEnd w:id="81"/>
    <w:p>
      <w:pPr>
        <w:ind w:left="660"/>
        <w:spacing w:after="0"/>
        <w:rPr>
          <w:sz w:val="20"/>
          <w:szCs w:val="20"/>
          <w:color w:val="auto"/>
        </w:rPr>
      </w:pPr>
      <w:r>
        <w:rPr>
          <w:rFonts w:ascii="Calibri" w:cs="Calibri" w:eastAsia="Calibri" w:hAnsi="Calibri"/>
          <w:sz w:val="18"/>
          <w:szCs w:val="18"/>
          <w:color w:val="auto"/>
        </w:rPr>
        <w:t>be earned or paid with respect to any porton of the PSUs that are not earned and/or do not vest. Dividend equivalents will not accrue interest.</w:t>
      </w:r>
    </w:p>
    <w:p>
      <w:pPr>
        <w:spacing w:after="0" w:line="42" w:lineRule="exact"/>
        <w:rPr>
          <w:sz w:val="20"/>
          <w:szCs w:val="20"/>
          <w:color w:val="auto"/>
        </w:rPr>
      </w:pPr>
    </w:p>
    <w:p>
      <w:pPr>
        <w:jc w:val="both"/>
        <w:ind w:left="660" w:hanging="328"/>
        <w:spacing w:after="0" w:line="219" w:lineRule="auto"/>
        <w:tabs>
          <w:tab w:leader="none" w:pos="652" w:val="left"/>
        </w:tabs>
        <w:numPr>
          <w:ilvl w:val="0"/>
          <w:numId w:val="75"/>
        </w:numPr>
        <w:rPr>
          <w:rFonts w:ascii="Arial" w:cs="Arial" w:eastAsia="Arial" w:hAnsi="Arial"/>
          <w:sz w:val="22"/>
          <w:szCs w:val="22"/>
          <w:color w:val="auto"/>
        </w:rPr>
      </w:pPr>
      <w:r>
        <w:rPr>
          <w:rFonts w:ascii="Calibri" w:cs="Calibri" w:eastAsia="Calibri" w:hAnsi="Calibri"/>
          <w:sz w:val="18"/>
          <w:szCs w:val="18"/>
          <w:b w:val="1"/>
          <w:bCs w:val="1"/>
          <w:color w:val="auto"/>
        </w:rPr>
        <w:t xml:space="preserve">Earning of PSUs. </w:t>
      </w:r>
      <w:r>
        <w:rPr>
          <w:rFonts w:ascii="Calibri" w:cs="Calibri" w:eastAsia="Calibri" w:hAnsi="Calibri"/>
          <w:sz w:val="18"/>
          <w:szCs w:val="18"/>
          <w:color w:val="auto"/>
        </w:rPr>
        <w:t>The Partcipant can earn between 0% and 200% of the target number of PSUs granted under this Agreement, with vestng to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based on the achievement of a pre-set third year Xylem Revenue performance target, a pre-set third year Xylem Adjusted Earnings Before Interest, Taxes, Depreciaton and Amortzaton </w:t>
      </w:r>
      <w:r>
        <w:rPr>
          <w:rFonts w:ascii="Calibri" w:cs="Calibri" w:eastAsia="Calibri" w:hAnsi="Calibri"/>
          <w:sz w:val="21"/>
          <w:szCs w:val="21"/>
          <w:color w:val="auto"/>
        </w:rPr>
        <w:t>(“</w:t>
      </w:r>
      <w:r>
        <w:rPr>
          <w:rFonts w:ascii="Calibri" w:cs="Calibri" w:eastAsia="Calibri" w:hAnsi="Calibri"/>
          <w:sz w:val="18"/>
          <w:szCs w:val="18"/>
          <w:b w:val="1"/>
          <w:bCs w:val="1"/>
          <w:color w:val="auto"/>
        </w:rPr>
        <w:t>EBITDA</w:t>
      </w:r>
      <w:r>
        <w:rPr>
          <w:rFonts w:ascii="Calibri" w:cs="Calibri" w:eastAsia="Calibri" w:hAnsi="Calibri"/>
          <w:sz w:val="18"/>
          <w:szCs w:val="18"/>
          <w:color w:val="auto"/>
        </w:rPr>
        <w:t>”) performance target, and a 3-year Xylem Total Shareholder Return (“</w:t>
      </w:r>
      <w:r>
        <w:rPr>
          <w:rFonts w:ascii="Calibri" w:cs="Calibri" w:eastAsia="Calibri" w:hAnsi="Calibri"/>
          <w:sz w:val="21"/>
          <w:szCs w:val="21"/>
          <w:b w:val="1"/>
          <w:bCs w:val="1"/>
          <w:color w:val="auto"/>
        </w:rPr>
        <w:t>TSR</w:t>
      </w:r>
      <w:r>
        <w:rPr>
          <w:rFonts w:ascii="Calibri" w:cs="Calibri" w:eastAsia="Calibri" w:hAnsi="Calibri"/>
          <w:sz w:val="18"/>
          <w:szCs w:val="18"/>
          <w:color w:val="auto"/>
        </w:rPr>
        <w:t xml:space="preserve">”) relatve to companies in the S&amp;P 500 index (excluding Financial Services companies) pursuant to the performance scales set forth on </w:t>
      </w:r>
      <w:r>
        <w:rPr>
          <w:rFonts w:ascii="Calibri" w:cs="Calibri" w:eastAsia="Calibri" w:hAnsi="Calibri"/>
          <w:sz w:val="21"/>
          <w:szCs w:val="21"/>
          <w:u w:val="single" w:color="auto"/>
          <w:color w:val="auto"/>
        </w:rPr>
        <w:t>Exhibit A</w:t>
      </w:r>
      <w:r>
        <w:rPr>
          <w:rFonts w:ascii="Calibri" w:cs="Calibri" w:eastAsia="Calibri" w:hAnsi="Calibri"/>
          <w:sz w:val="18"/>
          <w:szCs w:val="18"/>
          <w:color w:val="auto"/>
        </w:rPr>
        <w:t xml:space="preserve">, by the end of the 3-year performance period covering fscal years 2024-2026 (the </w:t>
      </w:r>
      <w:r>
        <w:rPr>
          <w:rFonts w:ascii="Calibri" w:cs="Calibri" w:eastAsia="Calibri" w:hAnsi="Calibri"/>
          <w:sz w:val="21"/>
          <w:szCs w:val="21"/>
          <w:b w:val="1"/>
          <w:bCs w:val="1"/>
          <w:color w:val="auto"/>
        </w:rPr>
        <w:t>“Performance Period”</w:t>
      </w:r>
      <w:r>
        <w:rPr>
          <w:rFonts w:ascii="Calibri" w:cs="Calibri" w:eastAsia="Calibri" w:hAnsi="Calibri"/>
          <w:sz w:val="18"/>
          <w:szCs w:val="18"/>
          <w:color w:val="auto"/>
        </w:rPr>
        <w:t xml:space="preserve">). The Commitee will determine and certfy the results of the level of achievement against such targets and the associated number of PSUs earned as described in </w:t>
      </w:r>
      <w:r>
        <w:rPr>
          <w:rFonts w:ascii="Calibri" w:cs="Calibri" w:eastAsia="Calibri" w:hAnsi="Calibri"/>
          <w:sz w:val="21"/>
          <w:szCs w:val="21"/>
          <w:u w:val="single" w:color="auto"/>
          <w:color w:val="auto"/>
        </w:rPr>
        <w:t>Exhibit A</w:t>
      </w:r>
      <w:r>
        <w:rPr>
          <w:rFonts w:ascii="Calibri" w:cs="Calibri" w:eastAsia="Calibri" w:hAnsi="Calibri"/>
          <w:sz w:val="18"/>
          <w:szCs w:val="18"/>
          <w:color w:val="auto"/>
        </w:rPr>
        <w:t>.</w:t>
      </w:r>
    </w:p>
    <w:p>
      <w:pPr>
        <w:spacing w:after="0" w:line="4" w:lineRule="exact"/>
        <w:rPr>
          <w:sz w:val="20"/>
          <w:szCs w:val="20"/>
          <w:color w:val="auto"/>
        </w:rPr>
      </w:pPr>
    </w:p>
    <w:p>
      <w:pPr>
        <w:jc w:val="both"/>
        <w:ind w:firstLine="648"/>
        <w:spacing w:after="0" w:line="225" w:lineRule="auto"/>
        <w:rPr>
          <w:sz w:val="20"/>
          <w:szCs w:val="20"/>
          <w:color w:val="auto"/>
        </w:rPr>
      </w:pPr>
      <w:r>
        <w:rPr>
          <w:rFonts w:ascii="Calibri" w:cs="Calibri" w:eastAsia="Calibri" w:hAnsi="Calibri"/>
          <w:sz w:val="18"/>
          <w:szCs w:val="18"/>
          <w:b w:val="1"/>
          <w:bCs w:val="1"/>
          <w:color w:val="auto"/>
        </w:rPr>
        <w:t>Vestng and Payment</w:t>
      </w:r>
      <w:r>
        <w:rPr>
          <w:rFonts w:ascii="Calibri" w:cs="Calibri" w:eastAsia="Calibri" w:hAnsi="Calibri"/>
          <w:sz w:val="18"/>
          <w:szCs w:val="18"/>
          <w:color w:val="auto"/>
        </w:rPr>
        <w:t>. Any earned PSUs will vest on</w:t>
      </w:r>
      <w:r>
        <w:rPr>
          <w:rFonts w:ascii="Calibri" w:cs="Calibri" w:eastAsia="Calibri" w:hAnsi="Calibri"/>
          <w:sz w:val="18"/>
          <w:szCs w:val="18"/>
          <w:b w:val="1"/>
          <w:bCs w:val="1"/>
          <w:color w:val="auto"/>
        </w:rPr>
        <w:t xml:space="preserve"> March 1, 2027 </w:t>
      </w:r>
      <w:r>
        <w:rPr>
          <w:rFonts w:ascii="Calibri" w:cs="Calibri" w:eastAsia="Calibri" w:hAnsi="Calibri"/>
          <w:sz w:val="18"/>
          <w:szCs w:val="18"/>
          <w:color w:val="auto"/>
        </w:rPr>
        <w:t>(the</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“Vestng Date”</w:t>
      </w:r>
      <w:r>
        <w:rPr>
          <w:rFonts w:ascii="Calibri" w:cs="Calibri" w:eastAsia="Calibri" w:hAnsi="Calibri"/>
          <w:sz w:val="18"/>
          <w:szCs w:val="18"/>
          <w:color w:val="auto"/>
        </w:rPr>
        <w:t>) so long as the Partcipant has been actvely employed 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Company or an Afliate from the Grant Date through the Vestng Date. Actve employment does not include any potental severance period or an approved leave of absence greater than 6 months</w:t>
      </w:r>
      <w:r>
        <w:rPr>
          <w:rFonts w:ascii="Calibri" w:cs="Calibri" w:eastAsia="Calibri" w:hAnsi="Calibri"/>
          <w:sz w:val="21"/>
          <w:szCs w:val="21"/>
          <w:color w:val="auto"/>
        </w:rPr>
        <w:t>.</w:t>
      </w:r>
    </w:p>
    <w:p>
      <w:pPr>
        <w:spacing w:after="0" w:line="2"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For China-based Partcipants, the Company will provide a cash payment equivalent to the Fair Market Value of the shares vested as soon as practcable following the Vestng Date.</w:t>
      </w:r>
    </w:p>
    <w:p>
      <w:pPr>
        <w:jc w:val="both"/>
        <w:ind w:firstLine="648"/>
        <w:spacing w:after="0" w:line="221" w:lineRule="auto"/>
        <w:rPr>
          <w:sz w:val="20"/>
          <w:szCs w:val="20"/>
          <w:color w:val="auto"/>
        </w:rPr>
      </w:pPr>
      <w:r>
        <w:rPr>
          <w:rFonts w:ascii="Calibri" w:cs="Calibri" w:eastAsia="Calibri" w:hAnsi="Calibri"/>
          <w:sz w:val="18"/>
          <w:szCs w:val="18"/>
          <w:color w:val="auto"/>
        </w:rPr>
        <w:t>Except as provided in subsecton 2(h), on vestng of the PSUs, including vestng pursuant to subsectons 2(d) or 2(e), the Company will deliver to the Partcipant (i) one Share for each vested PSU, with any fractonal Shares resultng from proraton pursuant to subsecton 2(d) and 2(e) to be rounded to the nearest whole Share, and (ii) an amount in cash atributable to dividend equivalents earned in accordance with subsecton 2(b), less Shares withheld in accordance with subsecton 2(f).</w:t>
      </w:r>
    </w:p>
    <w:p>
      <w:pPr>
        <w:spacing w:after="0" w:line="42" w:lineRule="exact"/>
        <w:rPr>
          <w:sz w:val="20"/>
          <w:szCs w:val="20"/>
          <w:color w:val="auto"/>
        </w:rPr>
      </w:pPr>
    </w:p>
    <w:p>
      <w:pPr>
        <w:jc w:val="both"/>
        <w:ind w:left="660" w:hanging="328"/>
        <w:spacing w:after="0" w:line="222" w:lineRule="auto"/>
        <w:tabs>
          <w:tab w:leader="none" w:pos="651" w:val="left"/>
        </w:tabs>
        <w:numPr>
          <w:ilvl w:val="0"/>
          <w:numId w:val="76"/>
        </w:numPr>
        <w:rPr>
          <w:rFonts w:ascii="Arial" w:cs="Arial" w:eastAsia="Arial" w:hAnsi="Arial"/>
          <w:sz w:val="21"/>
          <w:szCs w:val="21"/>
          <w:color w:val="auto"/>
        </w:rPr>
      </w:pPr>
      <w:r>
        <w:rPr>
          <w:rFonts w:ascii="Calibri" w:cs="Calibri" w:eastAsia="Calibri" w:hAnsi="Calibri"/>
          <w:sz w:val="17"/>
          <w:szCs w:val="17"/>
          <w:b w:val="1"/>
          <w:bCs w:val="1"/>
          <w:color w:val="auto"/>
        </w:rPr>
        <w:t xml:space="preserve">Efect of Change in Control. </w:t>
      </w:r>
      <w:r>
        <w:rPr>
          <w:rFonts w:ascii="Calibri" w:cs="Calibri" w:eastAsia="Calibri" w:hAnsi="Calibri"/>
          <w:sz w:val="17"/>
          <w:szCs w:val="17"/>
          <w:color w:val="auto"/>
        </w:rPr>
        <w:t>In the event of a Change in Control prior to the end of the Performance Period, if the acquiring or surviving company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transacton assumes or contnues any then-outstanding PSUs, any unvested PSUs will be deemed to have satsfed all applicable performance</w:t>
      </w:r>
    </w:p>
    <w:p>
      <w:pPr>
        <w:spacing w:after="0" w:line="1" w:lineRule="exact"/>
        <w:rPr>
          <w:sz w:val="20"/>
          <w:szCs w:val="20"/>
          <w:color w:val="auto"/>
        </w:rPr>
      </w:pPr>
    </w:p>
    <w:p>
      <w:pPr>
        <w:ind w:left="660"/>
        <w:spacing w:after="0" w:line="213" w:lineRule="auto"/>
        <w:rPr>
          <w:sz w:val="20"/>
          <w:szCs w:val="20"/>
          <w:color w:val="auto"/>
        </w:rPr>
      </w:pPr>
      <w:r>
        <w:rPr>
          <w:rFonts w:ascii="Calibri" w:cs="Calibri" w:eastAsia="Calibri" w:hAnsi="Calibri"/>
          <w:sz w:val="18"/>
          <w:szCs w:val="18"/>
          <w:color w:val="auto"/>
        </w:rPr>
        <w:t>targets at the target level (i.e. 100%), and will be converted to service-based restricted stock units, which will contnue to vest based on the PSUs’ service-based vestng criteria untl the Vestng Date.</w:t>
      </w:r>
    </w:p>
    <w:p>
      <w:pPr>
        <w:spacing w:after="0" w:line="1"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If the Partcipant’s actve employment with the Company or an Afliate is terminated by the Company or an Afliate without Cause or by the Partcipant for Good Reason (for applicable Partcipants only) within 2 years of a Change in Control, any converted and any unvested PSUs will become 100% vested on the terminaton date.</w:t>
      </w:r>
    </w:p>
    <w:p>
      <w:pPr>
        <w:jc w:val="both"/>
        <w:ind w:firstLine="648"/>
        <w:spacing w:after="0" w:line="221" w:lineRule="auto"/>
        <w:rPr>
          <w:sz w:val="20"/>
          <w:szCs w:val="20"/>
          <w:color w:val="auto"/>
        </w:rPr>
      </w:pPr>
      <w:r>
        <w:rPr>
          <w:rFonts w:ascii="Calibri" w:cs="Calibri" w:eastAsia="Calibri" w:hAnsi="Calibri"/>
          <w:sz w:val="18"/>
          <w:szCs w:val="18"/>
          <w:color w:val="auto"/>
        </w:rPr>
        <w:t>If the acquiring or surviving company in the transacton does not assume or contnue outstanding awards under the Plan, immediately prior to the Change in Control, any unvested PSUs will become 100% vested based on deemed performance at the target level (i.e. 100%).</w:t>
      </w:r>
    </w:p>
    <w:p>
      <w:pPr>
        <w:jc w:val="both"/>
        <w:ind w:firstLine="648"/>
        <w:spacing w:after="0" w:line="224"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Cause</w:t>
      </w:r>
      <w:r>
        <w:rPr>
          <w:rFonts w:ascii="Calibri" w:cs="Calibri" w:eastAsia="Calibri" w:hAnsi="Calibri"/>
          <w:sz w:val="18"/>
          <w:szCs w:val="18"/>
          <w:color w:val="auto"/>
        </w:rPr>
        <w:t xml:space="preserve">” means (i) the Partcipant’s willful and contnued failure to substantally perform his, her or their dutes with the Company or an Afliate (other than any such failure </w:t>
      </w:r>
      <w:r>
        <w:rPr>
          <w:rFonts w:ascii="Calibri" w:cs="Calibri" w:eastAsia="Calibri" w:hAnsi="Calibri"/>
          <w:sz w:val="21"/>
          <w:szCs w:val="21"/>
          <w:color w:val="auto"/>
        </w:rPr>
        <w:t>resultng</w:t>
      </w:r>
      <w:r>
        <w:rPr>
          <w:rFonts w:ascii="Calibri" w:cs="Calibri" w:eastAsia="Calibri" w:hAnsi="Calibri"/>
          <w:sz w:val="18"/>
          <w:szCs w:val="18"/>
          <w:color w:val="auto"/>
        </w:rPr>
        <w:t xml:space="preserve"> from the Partcipant’s incapacity due to physical or mental illness) or (ii) the Partcipant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2" w:lineRule="exact"/>
        <w:rPr>
          <w:sz w:val="20"/>
          <w:szCs w:val="20"/>
          <w:color w:val="auto"/>
        </w:rPr>
      </w:pPr>
    </w:p>
    <w:p>
      <w:pPr>
        <w:jc w:val="both"/>
        <w:ind w:firstLine="648"/>
        <w:spacing w:after="0" w:line="219"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Good Reason</w:t>
      </w:r>
      <w:r>
        <w:rPr>
          <w:rFonts w:ascii="Calibri" w:cs="Calibri" w:eastAsia="Calibri" w:hAnsi="Calibri"/>
          <w:sz w:val="18"/>
          <w:szCs w:val="18"/>
          <w:color w:val="auto"/>
        </w:rPr>
        <w:t>” means, without the Partcipant’s express writen consent (i) a reducton in annual target total cash compensaton (base salary and target bonus), (ii) the assignment of any dutes inconsistent in any material adverse respect with the Partcipant’s positon, authority, dutes or responsibilites, (iii) any other acton by the Company or an Afliate which results in a material diminuton in such positon, authority, dutes or responsibilites; or (iv) the Company or an Afliate requiring the Partcipant to relocate to a work locaton 50 miles or more from the locaton where the Partcipant was principally working immediately prior to the Change in Control. The Partcipant must give notce within 90 days of any Good Reason event.</w:t>
      </w:r>
    </w:p>
    <w:p>
      <w:pPr>
        <w:spacing w:after="0" w:line="4"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Good Reason only applies to Company or Afliate employees who are at the tme of terminaton of employment, or were at any tme during the 2 year period immediately preceding the Change in Control, covered by the Xylem Special Senior Executve Severance Pay Plan or the Xylem Enhanced Severance Pay Plan and will exclude an isolated, insubstantal and inadvertent acton not taken in bad faith that is resolved by the Company or an Afliate within 30 days of receiving notce.</w:t>
      </w:r>
    </w:p>
    <w:p>
      <w:pPr>
        <w:sectPr>
          <w:pgSz w:w="11900" w:h="16838" w:orient="portrait"/>
          <w:cols w:equalWidth="0" w:num="1">
            <w:col w:w="11240"/>
          </w:cols>
          <w:pgMar w:left="320" w:top="1395" w:right="339" w:bottom="1440" w:gutter="0" w:footer="0" w:header="0"/>
        </w:sectPr>
      </w:pPr>
    </w:p>
    <w:bookmarkStart w:id="82" w:name="page83"/>
    <w:bookmarkEnd w:id="82"/>
    <w:p>
      <w:pPr>
        <w:spacing w:after="0" w:line="14" w:lineRule="exact"/>
        <w:rPr>
          <w:sz w:val="20"/>
          <w:szCs w:val="20"/>
          <w:color w:val="auto"/>
        </w:rPr>
      </w:pPr>
    </w:p>
    <w:p>
      <w:pPr>
        <w:jc w:val="both"/>
        <w:ind w:left="660" w:hanging="328"/>
        <w:spacing w:after="0" w:line="217" w:lineRule="auto"/>
        <w:tabs>
          <w:tab w:leader="none" w:pos="651" w:val="left"/>
        </w:tabs>
        <w:numPr>
          <w:ilvl w:val="0"/>
          <w:numId w:val="77"/>
        </w:numPr>
        <w:rPr>
          <w:rFonts w:ascii="Arial" w:cs="Arial" w:eastAsia="Arial" w:hAnsi="Arial"/>
          <w:sz w:val="22"/>
          <w:szCs w:val="22"/>
          <w:color w:val="auto"/>
        </w:rPr>
      </w:pPr>
      <w:r>
        <w:rPr>
          <w:rFonts w:ascii="Calibri" w:cs="Calibri" w:eastAsia="Calibri" w:hAnsi="Calibri"/>
          <w:sz w:val="18"/>
          <w:szCs w:val="18"/>
          <w:b w:val="1"/>
          <w:bCs w:val="1"/>
          <w:color w:val="auto"/>
        </w:rPr>
        <w:t xml:space="preserve">Efect of Terminaton of Employment. </w:t>
      </w:r>
      <w:r>
        <w:rPr>
          <w:rFonts w:ascii="Calibri" w:cs="Calibri" w:eastAsia="Calibri" w:hAnsi="Calibri"/>
          <w:sz w:val="18"/>
          <w:szCs w:val="18"/>
          <w:color w:val="auto"/>
        </w:rPr>
        <w:t>Earned PSUs will only vest if the Partcipant is actvely employed by the Company or an Afliate through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Vestng Date. If the Partcipant's actve employment is terminated for any reason prior to the Vestng Date, and the terminaton consttutes a “separaton from service” within the meaning of Secton 409A of the Code and any related regulatons or other efectve guidance promulgated thereunder (“</w:t>
      </w:r>
      <w:r>
        <w:rPr>
          <w:rFonts w:ascii="Calibri" w:cs="Calibri" w:eastAsia="Calibri" w:hAnsi="Calibri"/>
          <w:sz w:val="21"/>
          <w:szCs w:val="21"/>
          <w:b w:val="1"/>
          <w:bCs w:val="1"/>
          <w:color w:val="auto"/>
        </w:rPr>
        <w:t>Secton 409A</w:t>
      </w:r>
      <w:r>
        <w:rPr>
          <w:rFonts w:ascii="Calibri" w:cs="Calibri" w:eastAsia="Calibri" w:hAnsi="Calibri"/>
          <w:sz w:val="18"/>
          <w:szCs w:val="18"/>
          <w:color w:val="auto"/>
        </w:rPr>
        <w:t>”), subject to subsecton 2(d), the following would apply to any unvested PSUs:</w:t>
      </w:r>
    </w:p>
    <w:p>
      <w:pPr>
        <w:spacing w:after="0" w:line="45" w:lineRule="exact"/>
        <w:rPr>
          <w:rFonts w:ascii="Arial" w:cs="Arial" w:eastAsia="Arial" w:hAnsi="Arial"/>
          <w:sz w:val="22"/>
          <w:szCs w:val="22"/>
          <w:color w:val="auto"/>
        </w:rPr>
      </w:pPr>
    </w:p>
    <w:p>
      <w:pPr>
        <w:ind w:left="1960" w:right="20" w:hanging="332"/>
        <w:spacing w:after="0" w:line="214" w:lineRule="auto"/>
        <w:tabs>
          <w:tab w:leader="none" w:pos="1951" w:val="left"/>
        </w:tabs>
        <w:numPr>
          <w:ilvl w:val="1"/>
          <w:numId w:val="77"/>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Death, Disability, or Retrement</w:t>
      </w:r>
      <w:r>
        <w:rPr>
          <w:rFonts w:ascii="Calibri" w:cs="Calibri" w:eastAsia="Calibri" w:hAnsi="Calibri"/>
          <w:sz w:val="18"/>
          <w:szCs w:val="18"/>
          <w:color w:val="auto"/>
        </w:rPr>
        <w:t>. A prorated porton (as described below) of the unvested PSUs will remain outstanding and therefore contnue to be eligible to vest based on actual Company performance during the Performance Period. A prorated porton (as described below) of the earned PSUs will be paid out on the Vestng Date.</w:t>
      </w:r>
    </w:p>
    <w:p>
      <w:pPr>
        <w:spacing w:after="0" w:line="1" w:lineRule="exact"/>
        <w:rPr>
          <w:rFonts w:ascii="Arial" w:cs="Arial" w:eastAsia="Arial" w:hAnsi="Arial"/>
          <w:sz w:val="22"/>
          <w:szCs w:val="22"/>
          <w:color w:val="auto"/>
        </w:rPr>
      </w:pPr>
    </w:p>
    <w:p>
      <w:pPr>
        <w:ind w:left="1940" w:hanging="312"/>
        <w:spacing w:after="0" w:line="228" w:lineRule="auto"/>
        <w:tabs>
          <w:tab w:leader="none" w:pos="1940" w:val="left"/>
        </w:tabs>
        <w:numPr>
          <w:ilvl w:val="1"/>
          <w:numId w:val="77"/>
        </w:numPr>
        <w:rPr>
          <w:rFonts w:ascii="Arial" w:cs="Arial" w:eastAsia="Arial" w:hAnsi="Arial"/>
          <w:sz w:val="22"/>
          <w:szCs w:val="22"/>
          <w:color w:val="auto"/>
        </w:rPr>
      </w:pPr>
      <w:r>
        <w:rPr>
          <w:rFonts w:ascii="Calibri" w:cs="Calibri" w:eastAsia="Calibri" w:hAnsi="Calibri"/>
          <w:sz w:val="18"/>
          <w:szCs w:val="18"/>
          <w:u w:val="single" w:color="auto"/>
          <w:color w:val="auto"/>
        </w:rPr>
        <w:t>Terminaton other than for Death, Disability, or Retrement</w:t>
      </w:r>
      <w:r>
        <w:rPr>
          <w:rFonts w:ascii="Calibri" w:cs="Calibri" w:eastAsia="Calibri" w:hAnsi="Calibri"/>
          <w:sz w:val="18"/>
          <w:szCs w:val="18"/>
          <w:color w:val="auto"/>
        </w:rPr>
        <w:t>. All PSUs will automatcally be forfeited.</w:t>
      </w:r>
    </w:p>
    <w:p>
      <w:pPr>
        <w:spacing w:after="0" w:line="25" w:lineRule="exact"/>
        <w:rPr>
          <w:sz w:val="20"/>
          <w:szCs w:val="20"/>
          <w:color w:val="auto"/>
        </w:rPr>
      </w:pPr>
    </w:p>
    <w:p>
      <w:pPr>
        <w:jc w:val="both"/>
        <w:ind w:firstLine="648"/>
        <w:spacing w:after="0" w:line="215"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Commitee upon the basis of such evidence, including independent medical reports and data, as the Commitee deems appropriate or necessary.</w:t>
      </w:r>
    </w:p>
    <w:p>
      <w:pPr>
        <w:spacing w:after="0" w:line="1"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spacing w:after="0" w:line="1" w:lineRule="exact"/>
        <w:rPr>
          <w:sz w:val="20"/>
          <w:szCs w:val="20"/>
          <w:color w:val="auto"/>
        </w:rPr>
      </w:pPr>
    </w:p>
    <w:p>
      <w:pPr>
        <w:ind w:right="200" w:firstLine="648"/>
        <w:spacing w:after="0" w:line="221" w:lineRule="auto"/>
        <w:rPr>
          <w:sz w:val="20"/>
          <w:szCs w:val="20"/>
          <w:color w:val="auto"/>
        </w:rPr>
      </w:pPr>
      <w:r>
        <w:rPr>
          <w:rFonts w:ascii="Calibri" w:cs="Calibri" w:eastAsia="Calibri" w:hAnsi="Calibri"/>
          <w:sz w:val="18"/>
          <w:szCs w:val="18"/>
          <w:b w:val="1"/>
          <w:bCs w:val="1"/>
          <w:color w:val="auto"/>
        </w:rPr>
        <w:t>Prorated Vestng</w:t>
      </w:r>
      <w:r>
        <w:rPr>
          <w:rFonts w:ascii="Calibri" w:cs="Calibri" w:eastAsia="Calibri" w:hAnsi="Calibri"/>
          <w:sz w:val="18"/>
          <w:szCs w:val="18"/>
          <w:color w:val="auto"/>
        </w:rPr>
        <w:t>. The prorated porton of the PSUs that vests on the Vestng Date following the Partcipant's Death, Disability or Retrement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while Retrement Eligible) will be determined by multplying the total number of PSUs the Partcipant would have earned based on actual performance by a fracton, of which the numerator is the number of months (not to exceed 36) the Partcipant had been contnually employed since the beginning of the Performance Period untl his, her or their Death, Disability or Retrement and the denominator is 36.</w:t>
      </w:r>
    </w:p>
    <w:p>
      <w:pPr>
        <w:spacing w:after="0" w:line="42" w:lineRule="exact"/>
        <w:rPr>
          <w:sz w:val="20"/>
          <w:szCs w:val="20"/>
          <w:color w:val="auto"/>
        </w:rPr>
      </w:pPr>
    </w:p>
    <w:p>
      <w:pPr>
        <w:jc w:val="both"/>
        <w:ind w:left="660" w:hanging="328"/>
        <w:spacing w:after="0" w:line="216" w:lineRule="auto"/>
        <w:tabs>
          <w:tab w:leader="none" w:pos="651" w:val="left"/>
        </w:tabs>
        <w:numPr>
          <w:ilvl w:val="0"/>
          <w:numId w:val="78"/>
        </w:numPr>
        <w:rPr>
          <w:rFonts w:ascii="Arial" w:cs="Arial" w:eastAsia="Arial" w:hAnsi="Arial"/>
          <w:sz w:val="22"/>
          <w:szCs w:val="22"/>
          <w:color w:val="auto"/>
        </w:rPr>
      </w:pPr>
      <w:r>
        <w:rPr>
          <w:rFonts w:ascii="Calibri" w:cs="Calibri" w:eastAsia="Calibri" w:hAnsi="Calibri"/>
          <w:sz w:val="18"/>
          <w:szCs w:val="18"/>
          <w:b w:val="1"/>
          <w:bCs w:val="1"/>
          <w:color w:val="auto"/>
        </w:rPr>
        <w:t xml:space="preserve">Tax Withholding. </w:t>
      </w:r>
      <w:r>
        <w:rPr>
          <w:rFonts w:ascii="Calibri" w:cs="Calibri" w:eastAsia="Calibri" w:hAnsi="Calibri"/>
          <w:sz w:val="18"/>
          <w:szCs w:val="18"/>
          <w:color w:val="auto"/>
        </w:rPr>
        <w:t>The Company may make such provisions and take such actons as it may deem necessary for the withholding of all applicable taxes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atributable to the PSUs and any related dividend equivalents. Unless the Commitee determines otherwise, the minimum statutory tax withholding required to be withheld on delivery of the Shares (or such other amount that will not cause an adverse accountng consequence or cost) and payment of dividend equivalents will be satsfed by withholding a number of Shares having an aggregate Fair Market Value equal to the minimum statutory tax required to be withheld (or such other amount that will not cause an adverse accountng consequence or cost). If this withholding would result in a fractonal Share being withheld, the number of Shares withheld will be rounded up to the nearest whole Share. If FICA taxes are required to be withheld while the PSUs are outstanding, the withholding will be made in a manner determined by the Company.</w:t>
      </w:r>
    </w:p>
    <w:p>
      <w:pPr>
        <w:spacing w:after="0" w:line="42"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78"/>
        </w:numPr>
        <w:rPr>
          <w:rFonts w:ascii="Arial" w:cs="Arial" w:eastAsia="Arial" w:hAnsi="Arial"/>
          <w:sz w:val="22"/>
          <w:szCs w:val="22"/>
          <w:color w:val="auto"/>
        </w:rPr>
      </w:pPr>
      <w:r>
        <w:rPr>
          <w:rFonts w:ascii="Calibri" w:cs="Calibri" w:eastAsia="Calibri" w:hAnsi="Calibri"/>
          <w:sz w:val="18"/>
          <w:szCs w:val="18"/>
          <w:b w:val="1"/>
          <w:bCs w:val="1"/>
          <w:color w:val="auto"/>
        </w:rPr>
        <w:t xml:space="preserve">Partcipant Covenants and Forfeiture and Clawback Provisions. </w:t>
      </w:r>
      <w:r>
        <w:rPr>
          <w:rFonts w:ascii="Calibri" w:cs="Calibri" w:eastAsia="Calibri" w:hAnsi="Calibri"/>
          <w:sz w:val="18"/>
          <w:szCs w:val="18"/>
          <w:color w:val="auto"/>
        </w:rPr>
        <w:t>The Partcipant acknowledges and agrees that the PSUs, whether previously vested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or not, may be cancelled in full, and the Partcipant may be required to return to the Company any Shares received on setlement of vested PSUs or the net afer-tax income, or the pre-tax value to the extent required by applicable law and/or the Company’s Recoupment of Incentve-Based Compensaton Policy 40-05, from any dispositon of any Shares received upon setlement of vested PSUs, to the extent required by applicable law and/or the Company Policy 40-05, or if the Commitee, in its sole discreton, determines that the Partcipant:</w:t>
      </w:r>
    </w:p>
    <w:p>
      <w:pPr>
        <w:spacing w:after="0" w:line="14" w:lineRule="exact"/>
        <w:rPr>
          <w:rFonts w:ascii="Arial" w:cs="Arial" w:eastAsia="Arial" w:hAnsi="Arial"/>
          <w:sz w:val="22"/>
          <w:szCs w:val="22"/>
          <w:color w:val="auto"/>
        </w:rPr>
      </w:pPr>
    </w:p>
    <w:p>
      <w:pPr>
        <w:ind w:left="1260" w:hanging="199"/>
        <w:spacing w:after="0"/>
        <w:tabs>
          <w:tab w:leader="none" w:pos="1260"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Has engaged in any actvity in violaton of Company policies, including the Company’s Code of Conduct;</w:t>
      </w:r>
    </w:p>
    <w:p>
      <w:pPr>
        <w:spacing w:after="0" w:line="23" w:lineRule="exact"/>
        <w:rPr>
          <w:rFonts w:ascii="Calibri" w:cs="Calibri" w:eastAsia="Calibri" w:hAnsi="Calibri"/>
          <w:sz w:val="18"/>
          <w:szCs w:val="18"/>
          <w:color w:val="auto"/>
        </w:rPr>
      </w:pPr>
    </w:p>
    <w:p>
      <w:pPr>
        <w:ind w:left="1300" w:hanging="239"/>
        <w:spacing w:after="0"/>
        <w:tabs>
          <w:tab w:leader="none" w:pos="1300"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Has engaged in conduct materially adverse to the best interests of the Company or its Afliates; or</w:t>
      </w:r>
    </w:p>
    <w:p>
      <w:pPr>
        <w:spacing w:after="0" w:line="14" w:lineRule="exact"/>
        <w:rPr>
          <w:rFonts w:ascii="Calibri" w:cs="Calibri" w:eastAsia="Calibri" w:hAnsi="Calibri"/>
          <w:sz w:val="18"/>
          <w:szCs w:val="18"/>
          <w:color w:val="auto"/>
        </w:rPr>
      </w:pPr>
    </w:p>
    <w:p>
      <w:pPr>
        <w:ind w:firstLine="1061"/>
        <w:spacing w:after="0" w:line="235" w:lineRule="auto"/>
        <w:tabs>
          <w:tab w:leader="none" w:pos="1342"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Uses, discloses, misappropriates or transfers confdental or proprietary informaton concerning the Company or its Afliates (except as required by the Partcipant’s work responsibilites with the Company or its Afliates);</w:t>
      </w:r>
    </w:p>
    <w:p>
      <w:pPr>
        <w:sectPr>
          <w:pgSz w:w="11900" w:h="16838" w:orient="portrait"/>
          <w:cols w:equalWidth="0" w:num="1">
            <w:col w:w="11240"/>
          </w:cols>
          <w:pgMar w:left="320" w:top="1440" w:right="339" w:bottom="1440" w:gutter="0" w:footer="0" w:header="0"/>
        </w:sectPr>
      </w:pPr>
    </w:p>
    <w:bookmarkStart w:id="83" w:name="page84"/>
    <w:bookmarkEnd w:id="83"/>
    <w:p>
      <w:pPr>
        <w:jc w:val="both"/>
        <w:ind w:right="20" w:firstLine="1061"/>
        <w:spacing w:after="0" w:line="230" w:lineRule="auto"/>
        <w:tabs>
          <w:tab w:leader="none" w:pos="1328"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 xml:space="preserve">Directly or indirectly, hires or solicits or arranges for the hiring or solicitaton of any employee or customer of the Company or its Afliates, or encourages any employee to leave the Company or an Afliate any tme during the Partcipant’s employment and for 12 months afer terminaton of his or her employment (subject to applicable restrictons included in </w:t>
      </w:r>
      <w:r>
        <w:rPr>
          <w:rFonts w:ascii="Calibri" w:cs="Calibri" w:eastAsia="Calibri" w:hAnsi="Calibri"/>
          <w:sz w:val="21"/>
          <w:szCs w:val="21"/>
          <w:u w:val="single" w:color="auto"/>
          <w:color w:val="auto"/>
        </w:rPr>
        <w:t>Exhibit 1</w:t>
      </w:r>
      <w:r>
        <w:rPr>
          <w:rFonts w:ascii="Calibri" w:cs="Calibri" w:eastAsia="Calibri" w:hAnsi="Calibri"/>
          <w:sz w:val="18"/>
          <w:szCs w:val="18"/>
          <w:color w:val="auto"/>
        </w:rPr>
        <w:t xml:space="preserve"> atached hereto); or</w:t>
      </w:r>
    </w:p>
    <w:p>
      <w:pPr>
        <w:spacing w:after="0" w:line="1" w:lineRule="exact"/>
        <w:rPr>
          <w:rFonts w:ascii="Calibri" w:cs="Calibri" w:eastAsia="Calibri" w:hAnsi="Calibri"/>
          <w:sz w:val="18"/>
          <w:szCs w:val="18"/>
          <w:color w:val="auto"/>
        </w:rPr>
      </w:pPr>
    </w:p>
    <w:p>
      <w:pPr>
        <w:ind w:firstLine="1061"/>
        <w:spacing w:after="0" w:line="227" w:lineRule="auto"/>
        <w:tabs>
          <w:tab w:leader="none" w:pos="1287"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 xml:space="preserve">Violates the non-competton covenant set forth in </w:t>
      </w:r>
      <w:r>
        <w:rPr>
          <w:rFonts w:ascii="Calibri" w:cs="Calibri" w:eastAsia="Calibri" w:hAnsi="Calibri"/>
          <w:sz w:val="21"/>
          <w:szCs w:val="21"/>
          <w:u w:val="single" w:color="auto"/>
          <w:color w:val="auto"/>
        </w:rPr>
        <w:t>Appendix A</w:t>
      </w:r>
      <w:r>
        <w:rPr>
          <w:rFonts w:ascii="Calibri" w:cs="Calibri" w:eastAsia="Calibri" w:hAnsi="Calibri"/>
          <w:sz w:val="18"/>
          <w:szCs w:val="18"/>
          <w:color w:val="auto"/>
        </w:rPr>
        <w:t xml:space="preserve"> of this Agreement (the “</w:t>
      </w:r>
      <w:r>
        <w:rPr>
          <w:rFonts w:ascii="Calibri" w:cs="Calibri" w:eastAsia="Calibri" w:hAnsi="Calibri"/>
          <w:sz w:val="21"/>
          <w:szCs w:val="21"/>
          <w:b w:val="1"/>
          <w:bCs w:val="1"/>
          <w:u w:val="single" w:color="auto"/>
          <w:color w:val="auto"/>
        </w:rPr>
        <w:t>Non-Competton Covenant</w:t>
      </w:r>
      <w:r>
        <w:rPr>
          <w:rFonts w:ascii="Calibri" w:cs="Calibri" w:eastAsia="Calibri" w:hAnsi="Calibri"/>
          <w:sz w:val="18"/>
          <w:szCs w:val="18"/>
          <w:color w:val="auto"/>
        </w:rPr>
        <w:t>”) at any tme during the Partcipant’s employment and for 12 months afer terminaton of his or her employment.</w:t>
      </w:r>
    </w:p>
    <w:p>
      <w:pPr>
        <w:jc w:val="both"/>
        <w:ind w:firstLine="972"/>
        <w:spacing w:after="0" w:line="217" w:lineRule="auto"/>
        <w:rPr>
          <w:rFonts w:ascii="Calibri" w:cs="Calibri" w:eastAsia="Calibri" w:hAnsi="Calibri"/>
          <w:sz w:val="18"/>
          <w:szCs w:val="18"/>
          <w:color w:val="auto"/>
        </w:rPr>
      </w:pPr>
      <w:r>
        <w:rPr>
          <w:rFonts w:ascii="Calibri" w:cs="Calibri" w:eastAsia="Calibri" w:hAnsi="Calibri"/>
          <w:sz w:val="18"/>
          <w:szCs w:val="18"/>
          <w:color w:val="auto"/>
        </w:rPr>
        <w:t>The Partcipant agrees, understands and acknowledges that the scope and duraton of the Partcipant obligatons contained in this Agreement are reasonable and necessary to protect a legitmate, protectable interest of the Company and its Afliates, and that the Commitee, in its sole discreton, may require the Partcipant, as a conditon to lapsing any restrictons on the Optons, to acknowledge in writng that the Partcipant has not engaged, and is not in the process of engaging, in any of the actvites described in this subsecton.</w:t>
      </w:r>
    </w:p>
    <w:p>
      <w:pPr>
        <w:spacing w:after="0" w:line="1" w:lineRule="exact"/>
        <w:rPr>
          <w:rFonts w:ascii="Calibri" w:cs="Calibri" w:eastAsia="Calibri" w:hAnsi="Calibri"/>
          <w:sz w:val="18"/>
          <w:szCs w:val="18"/>
          <w:color w:val="auto"/>
        </w:rPr>
      </w:pPr>
    </w:p>
    <w:p>
      <w:pPr>
        <w:jc w:val="both"/>
        <w:ind w:firstLine="972"/>
        <w:spacing w:after="0" w:line="221" w:lineRule="auto"/>
        <w:rPr>
          <w:rFonts w:ascii="Calibri" w:cs="Calibri" w:eastAsia="Calibri" w:hAnsi="Calibri"/>
          <w:sz w:val="18"/>
          <w:szCs w:val="18"/>
          <w:color w:val="auto"/>
        </w:rPr>
      </w:pPr>
      <w:r>
        <w:rPr>
          <w:rFonts w:ascii="Calibri" w:cs="Calibri" w:eastAsia="Calibri" w:hAnsi="Calibri"/>
          <w:sz w:val="18"/>
          <w:szCs w:val="18"/>
          <w:color w:val="auto"/>
        </w:rPr>
        <w:t>The obligatons in this subsecton are in additon to any other agreements related to non-competton, non-solicitaton and preservaton of Company confdental and proprietary informaton entered into between the Partcipant and the Company, or otherwise applicable to the Partcipant,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Partcipant from voluntarily communicatng, without notce to or approval by the Company, with any federal government agency about a potental violaton of a federal law or regulaton.</w:t>
      </w:r>
    </w:p>
    <w:p>
      <w:pPr>
        <w:spacing w:after="0" w:line="42" w:lineRule="exact"/>
        <w:rPr>
          <w:rFonts w:ascii="Calibri" w:cs="Calibri" w:eastAsia="Calibri" w:hAnsi="Calibri"/>
          <w:sz w:val="18"/>
          <w:szCs w:val="18"/>
          <w:color w:val="auto"/>
        </w:rPr>
      </w:pPr>
    </w:p>
    <w:p>
      <w:pPr>
        <w:jc w:val="both"/>
        <w:ind w:left="660" w:hanging="328"/>
        <w:spacing w:after="0" w:line="218" w:lineRule="auto"/>
        <w:tabs>
          <w:tab w:leader="none" w:pos="651" w:val="left"/>
        </w:tabs>
        <w:numPr>
          <w:ilvl w:val="0"/>
          <w:numId w:val="80"/>
        </w:numPr>
        <w:rPr>
          <w:rFonts w:ascii="Arial" w:cs="Arial" w:eastAsia="Arial" w:hAnsi="Arial"/>
          <w:sz w:val="22"/>
          <w:szCs w:val="22"/>
          <w:color w:val="auto"/>
        </w:rPr>
      </w:pPr>
      <w:r>
        <w:rPr>
          <w:rFonts w:ascii="Calibri" w:cs="Calibri" w:eastAsia="Calibri" w:hAnsi="Calibri"/>
          <w:sz w:val="18"/>
          <w:szCs w:val="18"/>
          <w:b w:val="1"/>
          <w:bCs w:val="1"/>
          <w:color w:val="auto"/>
        </w:rPr>
        <w:t>Injunctve Acton</w:t>
      </w:r>
      <w:r>
        <w:rPr>
          <w:rFonts w:ascii="Calibri" w:cs="Calibri" w:eastAsia="Calibri" w:hAnsi="Calibri"/>
          <w:sz w:val="18"/>
          <w:szCs w:val="18"/>
          <w:color w:val="auto"/>
        </w:rPr>
        <w:t>. The Partcipant acknowledges that if the Partcipant violates the terms of subsecton 2(g), the injury that would be sufered by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and/or an Afliate as a result of a breach of the provisions of this Agreement (including any covenant described in subsecton 2(g)) would be irreparable and that an award of monetary damages to the Company and/or an Afliate for such a breach would be an inadequate remedy. Consequently, the Company and/or an Afliate shall have the right, in additon to any other rights it may have, including the right to forfeiture and clawback under this Agreement, to obtain injunctve relief to restrain any breach or threatened breach or otherwise to specifcally enforce any provision of this Agreement, and the Company and/or an Afliate will not be obligated to post bond or other security in seeking such relief. Without limitng the Company’s or Afliate’s rights under subsecton 2(g) or any other remedies of the Company or an Afliate, if the Partcipant breaches any covenant described in subsecton 2(g), the Company will have the right to cancel this Agreement.</w:t>
      </w:r>
    </w:p>
    <w:p>
      <w:pPr>
        <w:spacing w:after="0" w:line="45" w:lineRule="exact"/>
        <w:rPr>
          <w:rFonts w:ascii="Arial" w:cs="Arial" w:eastAsia="Arial" w:hAnsi="Arial"/>
          <w:sz w:val="22"/>
          <w:szCs w:val="22"/>
          <w:color w:val="auto"/>
        </w:rPr>
      </w:pPr>
    </w:p>
    <w:p>
      <w:pPr>
        <w:jc w:val="both"/>
        <w:ind w:left="660" w:hanging="328"/>
        <w:spacing w:after="0" w:line="217" w:lineRule="auto"/>
        <w:tabs>
          <w:tab w:leader="none" w:pos="651" w:val="left"/>
        </w:tabs>
        <w:numPr>
          <w:ilvl w:val="0"/>
          <w:numId w:val="80"/>
        </w:numPr>
        <w:rPr>
          <w:rFonts w:ascii="Arial" w:cs="Arial" w:eastAsia="Arial" w:hAnsi="Arial"/>
          <w:sz w:val="22"/>
          <w:szCs w:val="22"/>
          <w:color w:val="auto"/>
        </w:rPr>
      </w:pPr>
      <w:r>
        <w:rPr>
          <w:rFonts w:ascii="Calibri" w:cs="Calibri" w:eastAsia="Calibri" w:hAnsi="Calibri"/>
          <w:sz w:val="18"/>
          <w:szCs w:val="18"/>
          <w:b w:val="1"/>
          <w:bCs w:val="1"/>
          <w:color w:val="auto"/>
        </w:rPr>
        <w:t>Electronic Delivery and Acceptance</w:t>
      </w:r>
      <w:r>
        <w:rPr>
          <w:rFonts w:ascii="Calibri" w:cs="Calibri" w:eastAsia="Calibri" w:hAnsi="Calibri"/>
          <w:sz w:val="18"/>
          <w:szCs w:val="18"/>
          <w:color w:val="auto"/>
        </w:rPr>
        <w:t>. The Partcipant consents to electronic delivery of any Plan documents. The Partcipant consents to any and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procedures that the Company has established or may establish for an electronic signature system for delivery and acceptance of Plan related documents. The Partcipant agrees that his, her or their electronic signature is the same as, and will have the same force and efect as, his, her or their manual signature. The Partcipant understands and agrees that if this Agreement is not accepted within 90 days of the Grant Date, the award is forfeited in full. Partcipant agrees that these procedures and delivery may be efected by a third party engaged by the Company to provide administratve services related to the Plan.</w:t>
      </w:r>
    </w:p>
    <w:p>
      <w:pPr>
        <w:spacing w:after="0" w:line="45" w:lineRule="exact"/>
        <w:rPr>
          <w:rFonts w:ascii="Arial" w:cs="Arial" w:eastAsia="Arial" w:hAnsi="Arial"/>
          <w:sz w:val="22"/>
          <w:szCs w:val="22"/>
          <w:color w:val="auto"/>
        </w:rPr>
      </w:pPr>
    </w:p>
    <w:p>
      <w:pPr>
        <w:jc w:val="both"/>
        <w:ind w:left="660" w:hanging="328"/>
        <w:spacing w:after="0" w:line="215" w:lineRule="auto"/>
        <w:tabs>
          <w:tab w:leader="none" w:pos="652" w:val="left"/>
        </w:tabs>
        <w:numPr>
          <w:ilvl w:val="0"/>
          <w:numId w:val="80"/>
        </w:numPr>
        <w:rPr>
          <w:rFonts w:ascii="Arial" w:cs="Arial" w:eastAsia="Arial" w:hAnsi="Arial"/>
          <w:sz w:val="22"/>
          <w:szCs w:val="22"/>
          <w:color w:val="auto"/>
        </w:rPr>
      </w:pPr>
      <w:r>
        <w:rPr>
          <w:rFonts w:ascii="Calibri" w:cs="Calibri" w:eastAsia="Calibri" w:hAnsi="Calibri"/>
          <w:sz w:val="18"/>
          <w:szCs w:val="18"/>
          <w:b w:val="1"/>
          <w:bCs w:val="1"/>
          <w:color w:val="auto"/>
        </w:rPr>
        <w:t>Right of Set-Of</w:t>
      </w:r>
      <w:r>
        <w:rPr>
          <w:rFonts w:ascii="Calibri" w:cs="Calibri" w:eastAsia="Calibri" w:hAnsi="Calibri"/>
          <w:sz w:val="18"/>
          <w:szCs w:val="18"/>
          <w:color w:val="auto"/>
        </w:rPr>
        <w:t>. If the Company in its reasonable judgment determines that the Partcipant owes the Company or an Afliate any amount due to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loan, obligaton or indebtedness, including amounts owed under the Company’s tax equalizaton program or the Company’s policies with respect to travel and business expenses, and the Partcipant has not satsfed these obligaton(s), the Company may instruct the plan administrator to withhold and/or sell Shares acquired by the Partcipant on setlement of the PSUs (to the extent such PSUs are not subject to Code Secton 409A), or the Company may deduct funds equal to the amount of the obligaton from other funds due to the Partcipant from the Company to the maximum extent permited by Code Secton 409A.</w:t>
      </w:r>
    </w:p>
    <w:p>
      <w:pPr>
        <w:sectPr>
          <w:pgSz w:w="11900" w:h="16838" w:orient="portrait"/>
          <w:cols w:equalWidth="0" w:num="1">
            <w:col w:w="11240"/>
          </w:cols>
          <w:pgMar w:left="320" w:top="1427" w:right="339" w:bottom="1440" w:gutter="0" w:footer="0" w:header="0"/>
        </w:sectPr>
      </w:pPr>
    </w:p>
    <w:bookmarkStart w:id="84" w:name="page85"/>
    <w:bookmarkEnd w:id="84"/>
    <w:p>
      <w:pPr>
        <w:spacing w:after="0" w:line="14" w:lineRule="exact"/>
        <w:rPr>
          <w:sz w:val="20"/>
          <w:szCs w:val="20"/>
          <w:color w:val="auto"/>
        </w:rPr>
      </w:pPr>
    </w:p>
    <w:p>
      <w:pPr>
        <w:jc w:val="both"/>
        <w:ind w:left="328" w:hanging="328"/>
        <w:spacing w:after="0" w:line="219" w:lineRule="auto"/>
        <w:tabs>
          <w:tab w:leader="none" w:pos="319" w:val="left"/>
        </w:tabs>
        <w:numPr>
          <w:ilvl w:val="0"/>
          <w:numId w:val="81"/>
        </w:numPr>
        <w:rPr>
          <w:rFonts w:ascii="Arial" w:cs="Arial" w:eastAsia="Arial" w:hAnsi="Arial"/>
          <w:sz w:val="22"/>
          <w:szCs w:val="22"/>
          <w:color w:val="auto"/>
        </w:rPr>
      </w:pPr>
      <w:r>
        <w:rPr>
          <w:rFonts w:ascii="Calibri" w:cs="Calibri" w:eastAsia="Calibri" w:hAnsi="Calibri"/>
          <w:sz w:val="18"/>
          <w:szCs w:val="18"/>
          <w:b w:val="1"/>
          <w:bCs w:val="1"/>
          <w:color w:val="auto"/>
        </w:rPr>
        <w:t>Data Privacy</w:t>
      </w:r>
      <w:r>
        <w:rPr>
          <w:rFonts w:ascii="Calibri" w:cs="Calibri" w:eastAsia="Calibri" w:hAnsi="Calibri"/>
          <w:sz w:val="18"/>
          <w:szCs w:val="18"/>
          <w:color w:val="auto"/>
        </w:rPr>
        <w:t>. Partcipant acknowledges and consents to the collecton, use, processing and transfer of personal data. Partcipant is not obliged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consent to such collecton, use, processing and transfer of personal data. However, failure to provide the consent may afect Partcipant’s ability to partcipate in the Plan. The Company holds certain personal informaton about Partcipant, that may include his/her name, home address and telephone number, date of birth, social security number or other employee identfcaton number, salary grade, hire data, salary, natonality, job ttle, or details of all optons or performance stock units or any other enttlement to Shares of stock awarded, canceled, purchased, vested, or unvested, for the purpose of managing and administering the Plan (“</w:t>
      </w:r>
      <w:r>
        <w:rPr>
          <w:rFonts w:ascii="Calibri" w:cs="Calibri" w:eastAsia="Calibri" w:hAnsi="Calibri"/>
          <w:sz w:val="21"/>
          <w:szCs w:val="21"/>
          <w:b w:val="1"/>
          <w:bCs w:val="1"/>
          <w:color w:val="auto"/>
        </w:rPr>
        <w:t>Data</w:t>
      </w:r>
      <w:r>
        <w:rPr>
          <w:rFonts w:ascii="Calibri" w:cs="Calibri" w:eastAsia="Calibri" w:hAnsi="Calibri"/>
          <w:sz w:val="18"/>
          <w:szCs w:val="18"/>
          <w:color w:val="auto"/>
        </w:rPr>
        <w:t>”). The Company and its Afliates will transfer Data amongst themselves as necessary for the purpose of implementaton, administraton and management of Partcipant’s partcipaton in the Plan, and the Company or its Afliates may each further transfer Data to any third partes assistng the Company with the implementaton, administraton and management of the Plan. These recipients may be located throughout the world, including the United States. The Partcipant authorizes them to receive, possess, use, retain and transfer the Data, in electronic or other form, for the purposes of implementng, administering and managing partcipaton in the Plan, including any transfer of Data that may be required for the administraton of the Plan and/or the subsequent holding of Shares of stock on Partcipant’s behalf to a broker or other third party with whom Partcipant may elect to deposit any Shares of stock acquired pursuant to the Plan. Partcipant may, at any tme, review Data, require any necessary amendments to it or withdraw consent in writng by contactng Partcipant’s designated Human Resources professional; however, withdrawing consent may afect Partcipant’s ability to partcipate in the Plan. All Data will be managed in compliance with the Company’s Data Privacy Guidelines and applicable employee notfcatons, which may contain more stringent requirements, but in any case will not be less stringent than this subsecton 2(k).</w:t>
      </w:r>
    </w:p>
    <w:p>
      <w:pPr>
        <w:spacing w:after="0" w:line="47" w:lineRule="exact"/>
        <w:rPr>
          <w:rFonts w:ascii="Arial" w:cs="Arial" w:eastAsia="Arial" w:hAnsi="Arial"/>
          <w:sz w:val="22"/>
          <w:szCs w:val="22"/>
          <w:color w:val="auto"/>
        </w:rPr>
      </w:pPr>
    </w:p>
    <w:p>
      <w:pPr>
        <w:ind w:left="328" w:hanging="328"/>
        <w:spacing w:after="0" w:line="211" w:lineRule="auto"/>
        <w:tabs>
          <w:tab w:leader="none" w:pos="319" w:val="left"/>
        </w:tabs>
        <w:numPr>
          <w:ilvl w:val="0"/>
          <w:numId w:val="81"/>
        </w:numPr>
        <w:rPr>
          <w:rFonts w:ascii="Arial" w:cs="Arial" w:eastAsia="Arial" w:hAnsi="Arial"/>
          <w:sz w:val="22"/>
          <w:szCs w:val="22"/>
          <w:color w:val="auto"/>
        </w:rPr>
      </w:pPr>
      <w:r>
        <w:rPr>
          <w:rFonts w:ascii="Calibri" w:cs="Calibri" w:eastAsia="Calibri" w:hAnsi="Calibri"/>
          <w:sz w:val="18"/>
          <w:szCs w:val="18"/>
          <w:b w:val="1"/>
          <w:bCs w:val="1"/>
          <w:color w:val="auto"/>
        </w:rPr>
        <w:t>Stock Ownership Guidelines</w:t>
      </w:r>
      <w:r>
        <w:rPr>
          <w:rFonts w:ascii="Calibri" w:cs="Calibri" w:eastAsia="Calibri" w:hAnsi="Calibri"/>
          <w:sz w:val="18"/>
          <w:szCs w:val="18"/>
          <w:color w:val="auto"/>
        </w:rPr>
        <w:t>. If the Partcipant is or becomes subject to the Company’s Stock Ownership Guidelines and applicable retenton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requirements, the Partcipant may be limited in selling Shares obtained upon setlement of the PSUs.</w:t>
      </w:r>
    </w:p>
    <w:p>
      <w:pPr>
        <w:spacing w:after="0" w:line="41" w:lineRule="exact"/>
        <w:rPr>
          <w:rFonts w:ascii="Arial" w:cs="Arial" w:eastAsia="Arial" w:hAnsi="Arial"/>
          <w:sz w:val="22"/>
          <w:szCs w:val="22"/>
          <w:color w:val="auto"/>
        </w:rPr>
      </w:pPr>
    </w:p>
    <w:p>
      <w:pPr>
        <w:jc w:val="both"/>
        <w:ind w:left="328" w:hanging="328"/>
        <w:spacing w:after="0" w:line="209" w:lineRule="auto"/>
        <w:tabs>
          <w:tab w:leader="none" w:pos="327" w:val="left"/>
        </w:tabs>
        <w:numPr>
          <w:ilvl w:val="0"/>
          <w:numId w:val="81"/>
        </w:numPr>
        <w:rPr>
          <w:rFonts w:ascii="Arial" w:cs="Arial" w:eastAsia="Arial" w:hAnsi="Arial"/>
          <w:sz w:val="22"/>
          <w:szCs w:val="22"/>
          <w:color w:val="auto"/>
        </w:rPr>
      </w:pPr>
      <w:r>
        <w:rPr>
          <w:rFonts w:ascii="Calibri" w:cs="Calibri" w:eastAsia="Calibri" w:hAnsi="Calibri"/>
          <w:sz w:val="18"/>
          <w:szCs w:val="18"/>
          <w:b w:val="1"/>
          <w:bCs w:val="1"/>
          <w:color w:val="auto"/>
        </w:rPr>
        <w:t>Clawback Policy</w:t>
      </w:r>
      <w:r>
        <w:rPr>
          <w:rFonts w:ascii="Calibri" w:cs="Calibri" w:eastAsia="Calibri" w:hAnsi="Calibri"/>
          <w:sz w:val="18"/>
          <w:szCs w:val="18"/>
          <w:color w:val="auto"/>
        </w:rPr>
        <w:t>. If the Partcipant is covered by the Company’s Clawback Policy, the Partcipant agrees that the PSUs are subject to the Policy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may be subject to recovery (in whole or in part) by the Company. The Partcipant agrees that the Clawback Policy may be amended from tme to tme by the Commitee, including amendments to comply with applicable laws, regulatons or stock exchange listng requirements.</w:t>
      </w:r>
    </w:p>
    <w:p>
      <w:pPr>
        <w:spacing w:after="0" w:line="43" w:lineRule="exact"/>
        <w:rPr>
          <w:rFonts w:ascii="Arial" w:cs="Arial" w:eastAsia="Arial" w:hAnsi="Arial"/>
          <w:sz w:val="22"/>
          <w:szCs w:val="22"/>
          <w:color w:val="auto"/>
        </w:rPr>
      </w:pPr>
    </w:p>
    <w:p>
      <w:pPr>
        <w:ind w:left="328" w:hanging="328"/>
        <w:spacing w:after="0" w:line="211" w:lineRule="auto"/>
        <w:tabs>
          <w:tab w:leader="none" w:pos="319" w:val="left"/>
        </w:tabs>
        <w:numPr>
          <w:ilvl w:val="0"/>
          <w:numId w:val="81"/>
        </w:numPr>
        <w:rPr>
          <w:rFonts w:ascii="Arial" w:cs="Arial" w:eastAsia="Arial" w:hAnsi="Arial"/>
          <w:sz w:val="22"/>
          <w:szCs w:val="22"/>
          <w:color w:val="auto"/>
        </w:rPr>
      </w:pPr>
      <w:r>
        <w:rPr>
          <w:rFonts w:ascii="Calibri" w:cs="Calibri" w:eastAsia="Calibri" w:hAnsi="Calibri"/>
          <w:sz w:val="18"/>
          <w:szCs w:val="18"/>
          <w:b w:val="1"/>
          <w:bCs w:val="1"/>
          <w:color w:val="auto"/>
        </w:rPr>
        <w:t xml:space="preserve">Secton 409A Compliance. </w:t>
      </w:r>
      <w:r>
        <w:rPr>
          <w:rFonts w:ascii="Calibri" w:cs="Calibri" w:eastAsia="Calibri" w:hAnsi="Calibri"/>
          <w:sz w:val="18"/>
          <w:szCs w:val="18"/>
          <w:color w:val="auto"/>
        </w:rPr>
        <w:t>It is intended that the Plan and this Agreement comply with the requirements of Secton 409A to the extent applicable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the Plan and this Agreement will be interpreted accordingly.</w:t>
      </w:r>
    </w:p>
    <w:p>
      <w:pPr>
        <w:spacing w:after="0" w:line="41" w:lineRule="exact"/>
        <w:rPr>
          <w:rFonts w:ascii="Arial" w:cs="Arial" w:eastAsia="Arial" w:hAnsi="Arial"/>
          <w:sz w:val="22"/>
          <w:szCs w:val="22"/>
          <w:color w:val="auto"/>
        </w:rPr>
      </w:pPr>
    </w:p>
    <w:p>
      <w:pPr>
        <w:jc w:val="both"/>
        <w:ind w:left="1628" w:hanging="332"/>
        <w:spacing w:after="0" w:line="217" w:lineRule="auto"/>
        <w:tabs>
          <w:tab w:leader="none" w:pos="1619" w:val="left"/>
        </w:tabs>
        <w:numPr>
          <w:ilvl w:val="1"/>
          <w:numId w:val="81"/>
        </w:numPr>
        <w:rPr>
          <w:rFonts w:ascii="Arial" w:cs="Arial" w:eastAsia="Arial" w:hAnsi="Arial"/>
          <w:sz w:val="22"/>
          <w:szCs w:val="22"/>
          <w:color w:val="auto"/>
        </w:rPr>
      </w:pPr>
      <w:r>
        <w:rPr>
          <w:rFonts w:ascii="Calibri" w:cs="Calibri" w:eastAsia="Calibri" w:hAnsi="Calibri"/>
          <w:sz w:val="18"/>
          <w:szCs w:val="18"/>
          <w:color w:val="auto"/>
        </w:rPr>
        <w:t>If it is determined that all or a porton of the Award consttutes deferred compensaton for the purposes of Secton 409A, and if the Partcipant is a “specifed employee,” as defned in Secton 409A(a)(2)(B)(i) of the Code, at the tme of the Partcipant’s separaton from service, then, to the extent required under Secton 409A, any Shares that would otherwise be distributed (along with the cash value of all dividend equivalents that would be payable) on the Partcipant’s separaton from service, will instead be delivered (and, in the case of the dividend equivalents, paid) on the earlier of (x) the frst business day of the seventh month following the date of the Partcipant’s separaton from service or (y) the Partcipant’s death.</w:t>
      </w:r>
    </w:p>
    <w:p>
      <w:pPr>
        <w:spacing w:after="0" w:line="45" w:lineRule="exact"/>
        <w:rPr>
          <w:rFonts w:ascii="Arial" w:cs="Arial" w:eastAsia="Arial" w:hAnsi="Arial"/>
          <w:sz w:val="22"/>
          <w:szCs w:val="22"/>
          <w:color w:val="auto"/>
        </w:rPr>
      </w:pPr>
    </w:p>
    <w:p>
      <w:pPr>
        <w:jc w:val="both"/>
        <w:ind w:left="1628" w:hanging="332"/>
        <w:spacing w:after="0" w:line="214" w:lineRule="auto"/>
        <w:tabs>
          <w:tab w:leader="none" w:pos="1619" w:val="left"/>
        </w:tabs>
        <w:numPr>
          <w:ilvl w:val="1"/>
          <w:numId w:val="81"/>
        </w:numPr>
        <w:rPr>
          <w:rFonts w:ascii="Arial" w:cs="Arial" w:eastAsia="Arial" w:hAnsi="Arial"/>
          <w:sz w:val="22"/>
          <w:szCs w:val="22"/>
          <w:color w:val="auto"/>
        </w:rPr>
      </w:pPr>
      <w:r>
        <w:rPr>
          <w:rFonts w:ascii="Calibri" w:cs="Calibri" w:eastAsia="Calibri" w:hAnsi="Calibri"/>
          <w:sz w:val="18"/>
          <w:szCs w:val="18"/>
          <w:color w:val="auto"/>
        </w:rPr>
        <w:t>If it is determined that all or a porton of the Award consttutes deferred compensaton for the purposes of Secton 409A, upon an Change in Control that does not consttute a “change in the ownership” or a “change in the efectve control” of the Company or a “change in the ownership of a substantal porton of a corporaton’s assets” (as those terms are used in Secton 409A), the PSUs will vest at the tme of the Change in Control, but distributon of any PSUs (or related dividend equivalents) that consttute deferred</w:t>
      </w:r>
    </w:p>
    <w:p>
      <w:pPr>
        <w:sectPr>
          <w:pgSz w:w="11900" w:h="16838" w:orient="portrait"/>
          <w:cols w:equalWidth="0" w:num="1">
            <w:col w:w="10908"/>
          </w:cols>
          <w:pgMar w:left="652" w:top="1440" w:right="339" w:bottom="1440" w:gutter="0" w:footer="0" w:header="0"/>
        </w:sectPr>
      </w:pPr>
    </w:p>
    <w:bookmarkStart w:id="85" w:name="page86"/>
    <w:bookmarkEnd w:id="85"/>
    <w:p>
      <w:pPr>
        <w:ind w:left="1960"/>
        <w:spacing w:after="0" w:line="227" w:lineRule="auto"/>
        <w:rPr>
          <w:sz w:val="20"/>
          <w:szCs w:val="20"/>
          <w:color w:val="auto"/>
        </w:rPr>
      </w:pPr>
      <w:r>
        <w:rPr>
          <w:rFonts w:ascii="Calibri" w:cs="Calibri" w:eastAsia="Calibri" w:hAnsi="Calibri"/>
          <w:sz w:val="18"/>
          <w:szCs w:val="18"/>
          <w:color w:val="auto"/>
        </w:rPr>
        <w:t>compensaton for the purposes of Secton 409A will not be accelerated (i.e., distributon will occur when it would have occurred absent the Change in Control).</w:t>
      </w:r>
    </w:p>
    <w:p>
      <w:pPr>
        <w:spacing w:after="0" w:line="43" w:lineRule="exact"/>
        <w:rPr>
          <w:sz w:val="20"/>
          <w:szCs w:val="20"/>
          <w:color w:val="auto"/>
        </w:rPr>
      </w:pPr>
    </w:p>
    <w:p>
      <w:pPr>
        <w:ind w:left="660" w:hanging="328"/>
        <w:spacing w:after="0" w:line="222" w:lineRule="auto"/>
        <w:tabs>
          <w:tab w:leader="none" w:pos="651" w:val="left"/>
        </w:tabs>
        <w:numPr>
          <w:ilvl w:val="0"/>
          <w:numId w:val="82"/>
        </w:numPr>
        <w:rPr>
          <w:rFonts w:ascii="Arial" w:cs="Arial" w:eastAsia="Arial" w:hAnsi="Arial"/>
          <w:sz w:val="21"/>
          <w:szCs w:val="21"/>
          <w:color w:val="auto"/>
        </w:rPr>
      </w:pPr>
      <w:r>
        <w:rPr>
          <w:rFonts w:ascii="Calibri" w:cs="Calibri" w:eastAsia="Calibri" w:hAnsi="Calibri"/>
          <w:sz w:val="17"/>
          <w:szCs w:val="17"/>
          <w:b w:val="1"/>
          <w:bCs w:val="1"/>
          <w:color w:val="auto"/>
        </w:rPr>
        <w:t xml:space="preserve">Governing Law. </w:t>
      </w:r>
      <w:r>
        <w:rPr>
          <w:rFonts w:ascii="Calibri" w:cs="Calibri" w:eastAsia="Calibri" w:hAnsi="Calibri"/>
          <w:sz w:val="17"/>
          <w:szCs w:val="17"/>
          <w:color w:val="auto"/>
        </w:rPr>
        <w:t>This Agreement will be governed and construed in accordance with the laws of the State of Indiana, excluding any conficts or choice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law rule or principle that might otherwise refer constructon or interpretaton of this Agreement to the substantve law of another jurisdicton.</w:t>
      </w:r>
    </w:p>
    <w:p>
      <w:pPr>
        <w:spacing w:after="0" w:line="9" w:lineRule="exact"/>
        <w:rPr>
          <w:rFonts w:ascii="Arial" w:cs="Arial" w:eastAsia="Arial" w:hAnsi="Arial"/>
          <w:sz w:val="21"/>
          <w:szCs w:val="21"/>
          <w:color w:val="auto"/>
        </w:rPr>
      </w:pPr>
    </w:p>
    <w:p>
      <w:pPr>
        <w:jc w:val="both"/>
        <w:ind w:left="660" w:hanging="328"/>
        <w:spacing w:after="0" w:line="227" w:lineRule="auto"/>
        <w:tabs>
          <w:tab w:leader="none" w:pos="651" w:val="left"/>
        </w:tabs>
        <w:numPr>
          <w:ilvl w:val="0"/>
          <w:numId w:val="82"/>
        </w:numPr>
        <w:rPr>
          <w:rFonts w:ascii="Arial" w:cs="Arial" w:eastAsia="Arial" w:hAnsi="Arial"/>
          <w:sz w:val="22"/>
          <w:szCs w:val="22"/>
          <w:color w:val="auto"/>
        </w:rPr>
      </w:pPr>
      <w:r>
        <w:rPr>
          <w:rFonts w:ascii="Calibri" w:cs="Calibri" w:eastAsia="Calibri" w:hAnsi="Calibri"/>
          <w:sz w:val="18"/>
          <w:szCs w:val="18"/>
          <w:b w:val="1"/>
          <w:bCs w:val="1"/>
          <w:color w:val="auto"/>
        </w:rPr>
        <w:t xml:space="preserve">Consent to </w:t>
      </w:r>
      <w:r>
        <w:rPr>
          <w:rFonts w:ascii="Calibri" w:cs="Calibri" w:eastAsia="Calibri" w:hAnsi="Calibri"/>
          <w:sz w:val="21"/>
          <w:szCs w:val="21"/>
          <w:b w:val="1"/>
          <w:bCs w:val="1"/>
          <w:color w:val="auto"/>
        </w:rPr>
        <w:t>Jurisdicton</w:t>
      </w:r>
      <w:r>
        <w:rPr>
          <w:rFonts w:ascii="Calibri" w:cs="Calibri" w:eastAsia="Calibri" w:hAnsi="Calibri"/>
          <w:sz w:val="18"/>
          <w:szCs w:val="18"/>
          <w:color w:val="auto"/>
        </w:rPr>
        <w:t>. Each party hereby submits and consents to the exclusive jurisdicton of the state or federal courts in the State of Indiana,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in each case, appellate courts therefrom, with respect to any suit, acton or proceeding brought by any party arising under or relatng to this Agreement.</w:t>
      </w:r>
    </w:p>
    <w:p>
      <w:pPr>
        <w:spacing w:after="0" w:line="219" w:lineRule="exact"/>
        <w:rPr>
          <w:sz w:val="20"/>
          <w:szCs w:val="20"/>
          <w:color w:val="auto"/>
        </w:rPr>
      </w:pPr>
    </w:p>
    <w:p>
      <w:pPr>
        <w:spacing w:after="0" w:line="227" w:lineRule="auto"/>
        <w:rPr>
          <w:sz w:val="20"/>
          <w:szCs w:val="20"/>
          <w:color w:val="auto"/>
        </w:rPr>
      </w:pPr>
      <w:r>
        <w:rPr>
          <w:rFonts w:ascii="Calibri" w:cs="Calibri" w:eastAsia="Calibri" w:hAnsi="Calibri"/>
          <w:sz w:val="18"/>
          <w:szCs w:val="18"/>
          <w:i w:val="1"/>
          <w:iCs w:val="1"/>
          <w:color w:val="auto"/>
        </w:rPr>
        <w:t>By signing a copy of this Agreement, the Partcipant acknowledges that s/he has received a copy of the Plan and that s/he has read and understands the Plan and this Agreement and agrees to their terms and conditons.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Agreed to: </w:t>
      </w:r>
      <w:r>
        <w:rPr>
          <w:rFonts w:ascii="Calibri" w:cs="Calibri" w:eastAsia="Calibri" w:hAnsi="Calibri"/>
          <w:sz w:val="21"/>
          <w:szCs w:val="21"/>
          <w:b w:val="1"/>
          <w:bCs w:val="1"/>
          <w:color w:val="auto"/>
        </w:rPr>
        <w:t>XYLEM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 _____________________________</w:t>
      </w:r>
    </w:p>
    <w:p>
      <w:pPr>
        <w:spacing w:after="0" w:line="235" w:lineRule="auto"/>
        <w:rPr>
          <w:sz w:val="20"/>
          <w:szCs w:val="20"/>
          <w:color w:val="auto"/>
        </w:rPr>
      </w:pPr>
      <w:r>
        <w:rPr>
          <w:rFonts w:ascii="Calibri" w:cs="Calibri" w:eastAsia="Calibri" w:hAnsi="Calibri"/>
          <w:sz w:val="18"/>
          <w:szCs w:val="18"/>
          <w:color w:val="auto"/>
        </w:rPr>
        <w:t>Partcipant Mathew Pine, President and CEO</w:t>
      </w:r>
    </w:p>
    <w:p>
      <w:pPr>
        <w:spacing w:after="0" w:line="222" w:lineRule="auto"/>
        <w:rPr>
          <w:sz w:val="20"/>
          <w:szCs w:val="20"/>
          <w:color w:val="auto"/>
        </w:rPr>
      </w:pPr>
      <w:r>
        <w:rPr>
          <w:rFonts w:ascii="Calibri" w:cs="Calibri" w:eastAsia="Calibri" w:hAnsi="Calibri"/>
          <w:sz w:val="18"/>
          <w:szCs w:val="18"/>
          <w:color w:val="auto"/>
        </w:rPr>
        <w:t>(Online Acceptance Consttutes Agreement)</w:t>
      </w:r>
    </w:p>
    <w:p>
      <w:pPr>
        <w:spacing w:after="0" w:line="224" w:lineRule="auto"/>
        <w:rPr>
          <w:sz w:val="20"/>
          <w:szCs w:val="20"/>
          <w:color w:val="auto"/>
        </w:rPr>
      </w:pPr>
      <w:r>
        <w:rPr>
          <w:rFonts w:ascii="Calibri" w:cs="Calibri" w:eastAsia="Calibri" w:hAnsi="Calibri"/>
          <w:sz w:val="18"/>
          <w:szCs w:val="18"/>
          <w:color w:val="auto"/>
        </w:rPr>
        <w:t xml:space="preserve">Dated: _________________ Dated: </w:t>
      </w:r>
      <w:r>
        <w:rPr>
          <w:rFonts w:ascii="Calibri" w:cs="Calibri" w:eastAsia="Calibri" w:hAnsi="Calibri"/>
          <w:sz w:val="21"/>
          <w:szCs w:val="21"/>
          <w:b w:val="1"/>
          <w:bCs w:val="1"/>
          <w:color w:val="auto"/>
        </w:rPr>
        <w:t>###GRANT_DATE###</w:t>
      </w:r>
    </w:p>
    <w:p>
      <w:pPr>
        <w:spacing w:after="0" w:line="225" w:lineRule="auto"/>
        <w:rPr>
          <w:sz w:val="20"/>
          <w:szCs w:val="20"/>
          <w:color w:val="auto"/>
        </w:rPr>
      </w:pPr>
      <w:r>
        <w:rPr>
          <w:rFonts w:ascii="Calibri" w:cs="Calibri" w:eastAsia="Calibri" w:hAnsi="Calibri"/>
          <w:sz w:val="18"/>
          <w:szCs w:val="18"/>
          <w:color w:val="auto"/>
        </w:rPr>
        <w:t>Enclosures</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Exhibit A</w:t>
      </w:r>
    </w:p>
    <w:p>
      <w:pPr>
        <w:jc w:val="center"/>
        <w:spacing w:after="0" w:line="221" w:lineRule="auto"/>
        <w:rPr>
          <w:sz w:val="20"/>
          <w:szCs w:val="20"/>
          <w:color w:val="auto"/>
        </w:rPr>
      </w:pPr>
      <w:r>
        <w:rPr>
          <w:rFonts w:ascii="Calibri" w:cs="Calibri" w:eastAsia="Calibri" w:hAnsi="Calibri"/>
          <w:sz w:val="18"/>
          <w:szCs w:val="18"/>
          <w:b w:val="1"/>
          <w:bCs w:val="1"/>
          <w:color w:val="auto"/>
        </w:rPr>
        <w:t>Performance Share Units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2024-2026 performance period, the LDCC has decided that the PSUs will be granted at Target (100%) with actual payout (0%-200% of target)</w:t>
      </w:r>
    </w:p>
    <w:p>
      <w:pPr>
        <w:spacing w:after="0" w:line="221" w:lineRule="auto"/>
        <w:rPr>
          <w:sz w:val="20"/>
          <w:szCs w:val="20"/>
          <w:color w:val="auto"/>
        </w:rPr>
      </w:pPr>
      <w:r>
        <w:rPr>
          <w:rFonts w:ascii="Calibri" w:cs="Calibri" w:eastAsia="Calibri" w:hAnsi="Calibri"/>
          <w:sz w:val="18"/>
          <w:szCs w:val="18"/>
          <w:color w:val="auto"/>
        </w:rPr>
        <w:t>contngent upon the achievement of the following:</w:t>
      </w:r>
    </w:p>
    <w:p>
      <w:pPr>
        <w:ind w:left="640" w:hanging="308"/>
        <w:spacing w:after="0" w:line="229" w:lineRule="auto"/>
        <w:tabs>
          <w:tab w:leader="none" w:pos="640" w:val="left"/>
        </w:tabs>
        <w:numPr>
          <w:ilvl w:val="0"/>
          <w:numId w:val="83"/>
        </w:numPr>
        <w:rPr>
          <w:rFonts w:ascii="Arial" w:cs="Arial" w:eastAsia="Arial" w:hAnsi="Arial"/>
          <w:sz w:val="22"/>
          <w:szCs w:val="22"/>
          <w:color w:val="auto"/>
        </w:rPr>
      </w:pPr>
      <w:r>
        <w:rPr>
          <w:rFonts w:ascii="Calibri" w:cs="Calibri" w:eastAsia="Calibri" w:hAnsi="Calibri"/>
          <w:sz w:val="18"/>
          <w:szCs w:val="18"/>
          <w:b w:val="1"/>
          <w:bCs w:val="1"/>
          <w:color w:val="auto"/>
        </w:rPr>
        <w:t>25% based on a pre-set, third year Revenue target.</w:t>
      </w:r>
    </w:p>
    <w:p>
      <w:pPr>
        <w:spacing w:after="0" w:line="24" w:lineRule="exact"/>
        <w:rPr>
          <w:rFonts w:ascii="Arial" w:cs="Arial" w:eastAsia="Arial" w:hAnsi="Arial"/>
          <w:sz w:val="22"/>
          <w:szCs w:val="22"/>
          <w:color w:val="auto"/>
        </w:rPr>
      </w:pPr>
    </w:p>
    <w:p>
      <w:pPr>
        <w:ind w:left="640" w:hanging="308"/>
        <w:spacing w:after="0" w:line="219" w:lineRule="auto"/>
        <w:tabs>
          <w:tab w:leader="none" w:pos="640" w:val="left"/>
        </w:tabs>
        <w:numPr>
          <w:ilvl w:val="0"/>
          <w:numId w:val="83"/>
        </w:numPr>
        <w:rPr>
          <w:rFonts w:ascii="Arial" w:cs="Arial" w:eastAsia="Arial" w:hAnsi="Arial"/>
          <w:sz w:val="22"/>
          <w:szCs w:val="22"/>
          <w:color w:val="auto"/>
        </w:rPr>
      </w:pPr>
      <w:r>
        <w:rPr>
          <w:rFonts w:ascii="Calibri" w:cs="Calibri" w:eastAsia="Calibri" w:hAnsi="Calibri"/>
          <w:sz w:val="18"/>
          <w:szCs w:val="18"/>
          <w:b w:val="1"/>
          <w:bCs w:val="1"/>
          <w:color w:val="auto"/>
        </w:rPr>
        <w:t>25% based on a pre-set, third year Adjusted Earnings Before Interest Tax Depreciaton and Amortzaton (“EBITDA”) performance target.</w:t>
      </w:r>
    </w:p>
    <w:p>
      <w:pPr>
        <w:spacing w:after="0" w:line="24" w:lineRule="exact"/>
        <w:rPr>
          <w:rFonts w:ascii="Arial" w:cs="Arial" w:eastAsia="Arial" w:hAnsi="Arial"/>
          <w:sz w:val="22"/>
          <w:szCs w:val="22"/>
          <w:color w:val="auto"/>
        </w:rPr>
      </w:pPr>
    </w:p>
    <w:p>
      <w:pPr>
        <w:ind w:left="640" w:hanging="308"/>
        <w:spacing w:after="0" w:line="219" w:lineRule="auto"/>
        <w:tabs>
          <w:tab w:leader="none" w:pos="640" w:val="left"/>
        </w:tabs>
        <w:numPr>
          <w:ilvl w:val="0"/>
          <w:numId w:val="83"/>
        </w:numPr>
        <w:rPr>
          <w:rFonts w:ascii="Arial" w:cs="Arial" w:eastAsia="Arial" w:hAnsi="Arial"/>
          <w:sz w:val="22"/>
          <w:szCs w:val="22"/>
          <w:color w:val="auto"/>
        </w:rPr>
      </w:pPr>
      <w:r>
        <w:rPr>
          <w:rFonts w:ascii="Calibri" w:cs="Calibri" w:eastAsia="Calibri" w:hAnsi="Calibri"/>
          <w:sz w:val="18"/>
          <w:szCs w:val="18"/>
          <w:b w:val="1"/>
          <w:bCs w:val="1"/>
          <w:color w:val="auto"/>
        </w:rPr>
        <w:t>50% based on three-year Total Shareholder Return (“TSR”) relatve to peers.</w:t>
      </w:r>
    </w:p>
    <w:p>
      <w:pPr>
        <w:spacing w:after="0" w:line="221" w:lineRule="auto"/>
        <w:rPr>
          <w:sz w:val="20"/>
          <w:szCs w:val="20"/>
          <w:color w:val="auto"/>
        </w:rPr>
      </w:pPr>
      <w:r>
        <w:rPr>
          <w:rFonts w:ascii="Calibri" w:cs="Calibri" w:eastAsia="Calibri" w:hAnsi="Calibri"/>
          <w:sz w:val="18"/>
          <w:szCs w:val="18"/>
          <w:b w:val="1"/>
          <w:bCs w:val="1"/>
          <w:u w:val="single" w:color="auto"/>
          <w:color w:val="auto"/>
        </w:rPr>
        <w:t>2024-2026 Performance Targets and Payout Scale</w:t>
      </w:r>
    </w:p>
    <w:p>
      <w:pPr>
        <w:ind w:right="100"/>
        <w:spacing w:after="0" w:line="226" w:lineRule="auto"/>
        <w:rPr>
          <w:sz w:val="20"/>
          <w:szCs w:val="20"/>
          <w:color w:val="auto"/>
        </w:rPr>
      </w:pPr>
      <w:r>
        <w:rPr>
          <w:rFonts w:ascii="Calibri" w:cs="Calibri" w:eastAsia="Calibri" w:hAnsi="Calibri"/>
          <w:sz w:val="17"/>
          <w:szCs w:val="17"/>
          <w:color w:val="auto"/>
        </w:rPr>
        <w:t>The payout scales for performance metrics below provide for PSUs to be earned above 100% for above target performance and below 100% for below target performance. For Relatve TSR, payout is capped at 100% if Xylem’s 3-year TSR is negatve. Results are interpolated between threshold to target and target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32385</wp:posOffset>
            </wp:positionV>
            <wp:extent cx="8890" cy="2383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8890" cy="23831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32385</wp:posOffset>
            </wp:positionV>
            <wp:extent cx="8890" cy="2383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8890" cy="23831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32385</wp:posOffset>
            </wp:positionV>
            <wp:extent cx="8255" cy="2383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8255" cy="23831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32385</wp:posOffset>
            </wp:positionV>
            <wp:extent cx="8890" cy="2383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8890" cy="23831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32385</wp:posOffset>
            </wp:positionV>
            <wp:extent cx="8255" cy="2383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8255" cy="2383155"/>
                    </a:xfrm>
                    <a:prstGeom prst="rect">
                      <a:avLst/>
                    </a:prstGeom>
                    <a:noFill/>
                  </pic:spPr>
                </pic:pic>
              </a:graphicData>
            </a:graphic>
          </wp:anchor>
        </w:drawing>
      </w:r>
    </w:p>
    <w:p>
      <w:pPr>
        <w:spacing w:after="0" w:line="11" w:lineRule="exact"/>
        <w:rPr>
          <w:sz w:val="20"/>
          <w:szCs w:val="20"/>
          <w:color w:val="auto"/>
        </w:rPr>
      </w:pPr>
    </w:p>
    <w:tbl>
      <w:tblPr>
        <w:tblLayout w:type="fixed"/>
        <w:tblInd w:w="760" w:type="dxa"/>
        <w:tblCellMar>
          <w:top w:w="0" w:type="dxa"/>
          <w:left w:w="0" w:type="dxa"/>
          <w:bottom w:w="0" w:type="dxa"/>
          <w:right w:w="0" w:type="dxa"/>
        </w:tblCellMar>
      </w:tblPr>
      <w:tr>
        <w:trPr>
          <w:trHeight w:val="201"/>
        </w:trPr>
        <w:tc>
          <w:tcPr>
            <w:tcW w:w="1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Calibri" w:cs="Calibri" w:eastAsia="Calibri" w:hAnsi="Calibri"/>
                <w:sz w:val="13"/>
                <w:szCs w:val="13"/>
                <w:b w:val="1"/>
                <w:bCs w:val="1"/>
                <w:color w:val="auto"/>
              </w:rPr>
              <w:t>Revenue</w:t>
            </w:r>
            <w:r>
              <w:rPr>
                <w:rFonts w:ascii="Calibri" w:cs="Calibri" w:eastAsia="Calibri" w:hAnsi="Calibri"/>
                <w:sz w:val="21"/>
                <w:szCs w:val="21"/>
                <w:b w:val="1"/>
                <w:bCs w:val="1"/>
                <w:color w:val="auto"/>
                <w:vertAlign w:val="superscript"/>
              </w:rPr>
              <w:t>1</w:t>
            </w:r>
          </w:p>
        </w:tc>
        <w:tc>
          <w:tcPr>
            <w:tcW w:w="9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line="201" w:lineRule="exact"/>
              <w:rPr>
                <w:sz w:val="20"/>
                <w:szCs w:val="20"/>
                <w:color w:val="auto"/>
              </w:rPr>
            </w:pPr>
            <w:r>
              <w:rPr>
                <w:rFonts w:ascii="Calibri" w:cs="Calibri" w:eastAsia="Calibri" w:hAnsi="Calibri"/>
                <w:sz w:val="13"/>
                <w:szCs w:val="13"/>
                <w:b w:val="1"/>
                <w:bCs w:val="1"/>
                <w:color w:val="auto"/>
              </w:rPr>
              <w:t>Adjusted EBITDA</w:t>
            </w:r>
            <w:r>
              <w:rPr>
                <w:rFonts w:ascii="Calibri" w:cs="Calibri" w:eastAsia="Calibri" w:hAnsi="Calibri"/>
                <w:sz w:val="21"/>
                <w:szCs w:val="21"/>
                <w:b w:val="1"/>
                <w:bCs w:val="1"/>
                <w:color w:val="auto"/>
                <w:vertAlign w:val="superscript"/>
              </w:rPr>
              <w:t>2</w:t>
            </w:r>
          </w:p>
        </w:tc>
        <w:tc>
          <w:tcPr>
            <w:tcW w:w="7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ind w:left="600"/>
              <w:spacing w:after="0" w:line="201" w:lineRule="exact"/>
              <w:rPr>
                <w:sz w:val="20"/>
                <w:szCs w:val="20"/>
                <w:color w:val="auto"/>
              </w:rPr>
            </w:pPr>
            <w:r>
              <w:rPr>
                <w:rFonts w:ascii="Calibri" w:cs="Calibri" w:eastAsia="Calibri" w:hAnsi="Calibri"/>
                <w:sz w:val="13"/>
                <w:szCs w:val="13"/>
                <w:b w:val="1"/>
                <w:bCs w:val="1"/>
                <w:color w:val="auto"/>
              </w:rPr>
              <w:t>Relatve TSR</w:t>
            </w:r>
            <w:r>
              <w:rPr>
                <w:rFonts w:ascii="Calibri" w:cs="Calibri" w:eastAsia="Calibri" w:hAnsi="Calibri"/>
                <w:sz w:val="21"/>
                <w:szCs w:val="21"/>
                <w:b w:val="1"/>
                <w:bCs w:val="1"/>
                <w:color w:val="auto"/>
                <w:vertAlign w:val="superscript"/>
              </w:rPr>
              <w:t>3</w:t>
            </w:r>
          </w:p>
        </w:tc>
        <w:tc>
          <w:tcPr>
            <w:tcW w:w="20" w:type="dxa"/>
            <w:vAlign w:val="bottom"/>
            <w:tcBorders>
              <w:top w:val="single" w:sz="8" w:color="auto"/>
            </w:tcBorders>
          </w:tcPr>
          <w:p>
            <w:pPr>
              <w:spacing w:after="0"/>
              <w:rPr>
                <w:sz w:val="17"/>
                <w:szCs w:val="17"/>
                <w:color w:val="auto"/>
              </w:rPr>
            </w:pPr>
          </w:p>
        </w:tc>
      </w:tr>
      <w:tr>
        <w:trPr>
          <w:trHeight w:val="163"/>
        </w:trPr>
        <w:tc>
          <w:tcPr>
            <w:tcW w:w="1560" w:type="dxa"/>
            <w:vAlign w:val="bottom"/>
          </w:tcPr>
          <w:p>
            <w:pPr>
              <w:spacing w:after="0"/>
              <w:rPr>
                <w:sz w:val="14"/>
                <w:szCs w:val="14"/>
                <w:color w:val="auto"/>
              </w:rPr>
            </w:pPr>
          </w:p>
        </w:tc>
        <w:tc>
          <w:tcPr>
            <w:tcW w:w="940" w:type="dxa"/>
            <w:vAlign w:val="bottom"/>
          </w:tcPr>
          <w:p>
            <w:pPr>
              <w:jc w:val="center"/>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1020" w:type="dxa"/>
            <w:vAlign w:val="bottom"/>
          </w:tcPr>
          <w:p>
            <w:pPr>
              <w:jc w:val="center"/>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9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w w:val="97"/>
              </w:rPr>
              <w:t>Payout</w:t>
            </w:r>
          </w:p>
        </w:tc>
        <w:tc>
          <w:tcPr>
            <w:tcW w:w="820" w:type="dxa"/>
            <w:vAlign w:val="bottom"/>
          </w:tcPr>
          <w:p>
            <w:pPr>
              <w:jc w:val="center"/>
              <w:ind w:left="109"/>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1280" w:type="dxa"/>
            <w:vAlign w:val="bottom"/>
          </w:tcPr>
          <w:p>
            <w:pPr>
              <w:jc w:val="center"/>
              <w:spacing w:after="0" w:line="163" w:lineRule="exact"/>
              <w:rPr>
                <w:sz w:val="20"/>
                <w:szCs w:val="20"/>
                <w:color w:val="auto"/>
              </w:rPr>
            </w:pPr>
            <w:r>
              <w:rPr>
                <w:rFonts w:ascii="Calibri" w:cs="Calibri" w:eastAsia="Calibri" w:hAnsi="Calibri"/>
                <w:sz w:val="11"/>
                <w:szCs w:val="11"/>
                <w:b w:val="1"/>
                <w:bCs w:val="1"/>
                <w:color w:val="auto"/>
              </w:rPr>
              <w:t>3</w:t>
            </w:r>
            <w:r>
              <w:rPr>
                <w:rFonts w:ascii="Calibri" w:cs="Calibri" w:eastAsia="Calibri" w:hAnsi="Calibri"/>
                <w:sz w:val="17"/>
                <w:szCs w:val="17"/>
                <w:b w:val="1"/>
                <w:bCs w:val="1"/>
                <w:color w:val="auto"/>
                <w:vertAlign w:val="superscript"/>
              </w:rPr>
              <w:t>rd</w:t>
            </w:r>
            <w:r>
              <w:rPr>
                <w:rFonts w:ascii="Calibri" w:cs="Calibri" w:eastAsia="Calibri" w:hAnsi="Calibri"/>
                <w:sz w:val="11"/>
                <w:szCs w:val="11"/>
                <w:b w:val="1"/>
                <w:bCs w:val="1"/>
                <w:color w:val="auto"/>
              </w:rPr>
              <w:t xml:space="preserve"> Year</w:t>
            </w:r>
          </w:p>
        </w:tc>
        <w:tc>
          <w:tcPr>
            <w:tcW w:w="760" w:type="dxa"/>
            <w:vAlign w:val="bottom"/>
          </w:tcPr>
          <w:p>
            <w:pPr>
              <w:jc w:val="center"/>
              <w:ind w:right="68"/>
              <w:spacing w:after="0" w:line="164" w:lineRule="exact"/>
              <w:rPr>
                <w:sz w:val="20"/>
                <w:szCs w:val="20"/>
                <w:color w:val="auto"/>
              </w:rPr>
            </w:pPr>
            <w:r>
              <w:rPr>
                <w:rFonts w:ascii="Calibri" w:cs="Calibri" w:eastAsia="Calibri" w:hAnsi="Calibri"/>
                <w:sz w:val="14"/>
                <w:szCs w:val="14"/>
                <w:b w:val="1"/>
                <w:bCs w:val="1"/>
                <w:color w:val="auto"/>
              </w:rPr>
              <w:t>Payout</w:t>
            </w:r>
          </w:p>
        </w:tc>
        <w:tc>
          <w:tcPr>
            <w:tcW w:w="104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3-Year</w:t>
            </w:r>
          </w:p>
        </w:tc>
        <w:tc>
          <w:tcPr>
            <w:tcW w:w="9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Payout</w:t>
            </w:r>
          </w:p>
        </w:tc>
        <w:tc>
          <w:tcPr>
            <w:tcW w:w="20" w:type="dxa"/>
            <w:vAlign w:val="bottom"/>
          </w:tcPr>
          <w:p>
            <w:pPr>
              <w:spacing w:after="0"/>
              <w:rPr>
                <w:sz w:val="14"/>
                <w:szCs w:val="14"/>
                <w:color w:val="auto"/>
              </w:rPr>
            </w:pPr>
          </w:p>
        </w:tc>
      </w:tr>
      <w:tr>
        <w:trPr>
          <w:trHeight w:val="243"/>
        </w:trPr>
        <w:tc>
          <w:tcPr>
            <w:tcW w:w="1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Actual</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 of Plan</w:t>
            </w:r>
          </w:p>
        </w:tc>
        <w:tc>
          <w:tcPr>
            <w:tcW w:w="900" w:type="dxa"/>
            <w:vAlign w:val="bottom"/>
            <w:tcBorders>
              <w:bottom w:val="single" w:sz="8" w:color="auto"/>
            </w:tcBorders>
          </w:tcPr>
          <w:p>
            <w:pPr>
              <w:jc w:val="center"/>
              <w:spacing w:after="0" w:line="243" w:lineRule="exact"/>
              <w:rPr>
                <w:sz w:val="20"/>
                <w:szCs w:val="20"/>
                <w:color w:val="auto"/>
              </w:rPr>
            </w:pPr>
            <w:r>
              <w:rPr>
                <w:rFonts w:ascii="Calibri" w:cs="Calibri" w:eastAsia="Calibri" w:hAnsi="Calibri"/>
                <w:sz w:val="14"/>
                <w:szCs w:val="14"/>
                <w:b w:val="1"/>
                <w:bCs w:val="1"/>
                <w:color w:val="auto"/>
                <w:w w:val="88"/>
              </w:rPr>
              <w:t>%</w:t>
            </w:r>
            <w:r>
              <w:rPr>
                <w:rFonts w:ascii="Calibri" w:cs="Calibri" w:eastAsia="Calibri" w:hAnsi="Calibri"/>
                <w:sz w:val="23"/>
                <w:szCs w:val="23"/>
                <w:b w:val="1"/>
                <w:bCs w:val="1"/>
                <w:color w:val="auto"/>
                <w:w w:val="88"/>
                <w:vertAlign w:val="superscript"/>
              </w:rPr>
              <w:t>4</w:t>
            </w:r>
          </w:p>
        </w:tc>
        <w:tc>
          <w:tcPr>
            <w:tcW w:w="820" w:type="dxa"/>
            <w:vAlign w:val="bottom"/>
            <w:tcBorders>
              <w:bottom w:val="single" w:sz="8" w:color="auto"/>
            </w:tcBorders>
          </w:tcPr>
          <w:p>
            <w:pPr>
              <w:jc w:val="center"/>
              <w:ind w:left="89"/>
              <w:spacing w:after="0"/>
              <w:rPr>
                <w:sz w:val="20"/>
                <w:szCs w:val="20"/>
                <w:color w:val="auto"/>
              </w:rPr>
            </w:pPr>
            <w:r>
              <w:rPr>
                <w:rFonts w:ascii="Calibri" w:cs="Calibri" w:eastAsia="Calibri" w:hAnsi="Calibri"/>
                <w:sz w:val="14"/>
                <w:szCs w:val="14"/>
                <w:b w:val="1"/>
                <w:bCs w:val="1"/>
                <w:color w:val="auto"/>
              </w:rPr>
              <w:t>Actual</w:t>
            </w:r>
          </w:p>
        </w:tc>
        <w:tc>
          <w:tcPr>
            <w:tcW w:w="12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 of Plan</w:t>
            </w:r>
          </w:p>
        </w:tc>
        <w:tc>
          <w:tcPr>
            <w:tcW w:w="760" w:type="dxa"/>
            <w:vAlign w:val="bottom"/>
            <w:tcBorders>
              <w:bottom w:val="single" w:sz="8" w:color="auto"/>
            </w:tcBorders>
          </w:tcPr>
          <w:p>
            <w:pPr>
              <w:jc w:val="center"/>
              <w:ind w:right="48"/>
              <w:spacing w:after="0" w:line="243" w:lineRule="exact"/>
              <w:rPr>
                <w:sz w:val="20"/>
                <w:szCs w:val="20"/>
                <w:color w:val="auto"/>
              </w:rPr>
            </w:pPr>
            <w:r>
              <w:rPr>
                <w:rFonts w:ascii="Calibri" w:cs="Calibri" w:eastAsia="Calibri" w:hAnsi="Calibri"/>
                <w:sz w:val="14"/>
                <w:szCs w:val="14"/>
                <w:b w:val="1"/>
                <w:bCs w:val="1"/>
                <w:color w:val="auto"/>
                <w:w w:val="88"/>
              </w:rPr>
              <w:t>%</w:t>
            </w:r>
            <w:r>
              <w:rPr>
                <w:rFonts w:ascii="Calibri" w:cs="Calibri" w:eastAsia="Calibri" w:hAnsi="Calibri"/>
                <w:sz w:val="23"/>
                <w:szCs w:val="23"/>
                <w:b w:val="1"/>
                <w:bCs w:val="1"/>
                <w:color w:val="auto"/>
                <w:w w:val="88"/>
                <w:vertAlign w:val="superscript"/>
              </w:rPr>
              <w:t>4</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%ile Rank</w:t>
            </w:r>
          </w:p>
        </w:tc>
        <w:tc>
          <w:tcPr>
            <w:tcW w:w="900" w:type="dxa"/>
            <w:vAlign w:val="bottom"/>
            <w:tcBorders>
              <w:bottom w:val="single" w:sz="8" w:color="auto"/>
            </w:tcBorders>
          </w:tcPr>
          <w:p>
            <w:pPr>
              <w:jc w:val="center"/>
              <w:spacing w:after="0" w:line="243" w:lineRule="exact"/>
              <w:rPr>
                <w:sz w:val="20"/>
                <w:szCs w:val="20"/>
                <w:color w:val="auto"/>
              </w:rPr>
            </w:pPr>
            <w:r>
              <w:rPr>
                <w:rFonts w:ascii="Calibri" w:cs="Calibri" w:eastAsia="Calibri" w:hAnsi="Calibri"/>
                <w:sz w:val="14"/>
                <w:szCs w:val="14"/>
                <w:b w:val="1"/>
                <w:bCs w:val="1"/>
                <w:color w:val="auto"/>
                <w:w w:val="99"/>
              </w:rPr>
              <w:t>%</w:t>
            </w:r>
            <w:r>
              <w:rPr>
                <w:rFonts w:ascii="Calibri" w:cs="Calibri" w:eastAsia="Calibri" w:hAnsi="Calibri"/>
                <w:sz w:val="23"/>
                <w:szCs w:val="23"/>
                <w:b w:val="1"/>
                <w:bCs w:val="1"/>
                <w:color w:val="auto"/>
                <w:w w:val="99"/>
                <w:vertAlign w:val="superscript"/>
              </w:rPr>
              <w:t>4</w:t>
            </w:r>
          </w:p>
        </w:tc>
        <w:tc>
          <w:tcPr>
            <w:tcW w:w="20" w:type="dxa"/>
            <w:vAlign w:val="bottom"/>
            <w:tcBorders>
              <w:bottom w:val="single" w:sz="8" w:color="auto"/>
            </w:tcBorders>
          </w:tcPr>
          <w:p>
            <w:pPr>
              <w:spacing w:after="0"/>
              <w:rPr>
                <w:sz w:val="21"/>
                <w:szCs w:val="21"/>
                <w:color w:val="auto"/>
              </w:rPr>
            </w:pPr>
          </w:p>
        </w:tc>
      </w:tr>
      <w:tr>
        <w:trPr>
          <w:trHeight w:val="210"/>
        </w:trPr>
        <w:tc>
          <w:tcPr>
            <w:tcW w:w="156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Maximum Payout</w:t>
            </w:r>
          </w:p>
        </w:tc>
        <w:tc>
          <w:tcPr>
            <w:tcW w:w="94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shd w:val="clear" w:color="auto" w:fill="BFBFBF"/>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shd w:val="clear" w:color="auto" w:fill="BFBFBF"/>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shd w:val="clear" w:color="auto" w:fill="BFBFBF"/>
          </w:tcPr>
          <w:p>
            <w:pPr>
              <w:jc w:val="center"/>
              <w:spacing w:after="0" w:line="210" w:lineRule="exact"/>
              <w:rPr>
                <w:sz w:val="20"/>
                <w:szCs w:val="20"/>
                <w:color w:val="auto"/>
              </w:rPr>
            </w:pPr>
            <w:r>
              <w:rPr>
                <w:rFonts w:ascii="Calibri" w:cs="Calibri" w:eastAsia="Calibri" w:hAnsi="Calibri"/>
                <w:sz w:val="22"/>
                <w:szCs w:val="22"/>
                <w:b w:val="1"/>
                <w:bCs w:val="1"/>
                <w:color w:val="auto"/>
                <w:vertAlign w:val="subscript"/>
              </w:rPr>
              <w:t>X</w:t>
            </w:r>
            <w:r>
              <w:rPr>
                <w:rFonts w:ascii="Calibri" w:cs="Calibri" w:eastAsia="Calibri" w:hAnsi="Calibri"/>
                <w:sz w:val="10"/>
                <w:szCs w:val="10"/>
                <w:b w:val="1"/>
                <w:bCs w:val="1"/>
                <w:color w:val="auto"/>
              </w:rPr>
              <w:t>th</w:t>
            </w:r>
          </w:p>
        </w:tc>
        <w:tc>
          <w:tcPr>
            <w:tcW w:w="900" w:type="dxa"/>
            <w:vAlign w:val="bottom"/>
            <w:shd w:val="clear" w:color="auto" w:fill="BFBFBF"/>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8"/>
                <w:szCs w:val="18"/>
                <w:color w:val="auto"/>
              </w:rPr>
            </w:pPr>
          </w:p>
        </w:tc>
      </w:tr>
      <w:tr>
        <w:trPr>
          <w:trHeight w:val="242"/>
        </w:trPr>
        <w:tc>
          <w:tcPr>
            <w:tcW w:w="1560" w:type="dxa"/>
            <w:vAlign w:val="bottom"/>
          </w:tcPr>
          <w:p>
            <w:pPr>
              <w:jc w:val="center"/>
              <w:spacing w:after="0"/>
              <w:rPr>
                <w:sz w:val="20"/>
                <w:szCs w:val="20"/>
                <w:color w:val="auto"/>
              </w:rPr>
            </w:pPr>
            <w:r>
              <w:rPr>
                <w:rFonts w:ascii="Calibri" w:cs="Calibri" w:eastAsia="Calibri" w:hAnsi="Calibri"/>
                <w:sz w:val="14"/>
                <w:szCs w:val="14"/>
                <w:b w:val="1"/>
                <w:bCs w:val="1"/>
                <w:color w:val="auto"/>
              </w:rPr>
              <w:t>Above Plan</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41" w:lineRule="exact"/>
              <w:rPr>
                <w:sz w:val="20"/>
                <w:szCs w:val="20"/>
                <w:color w:val="auto"/>
              </w:rPr>
            </w:pPr>
            <w:r>
              <w:rPr>
                <w:rFonts w:ascii="Calibri" w:cs="Calibri" w:eastAsia="Calibri" w:hAnsi="Calibri"/>
                <w:sz w:val="26"/>
                <w:szCs w:val="26"/>
                <w:b w:val="1"/>
                <w:bCs w:val="1"/>
                <w:color w:val="auto"/>
                <w:w w:val="93"/>
                <w:vertAlign w:val="subscript"/>
              </w:rPr>
              <w:t>X</w:t>
            </w:r>
            <w:r>
              <w:rPr>
                <w:rFonts w:ascii="Calibri" w:cs="Calibri" w:eastAsia="Calibri" w:hAnsi="Calibri"/>
                <w:sz w:val="11"/>
                <w:szCs w:val="11"/>
                <w:b w:val="1"/>
                <w:bCs w:val="1"/>
                <w:color w:val="auto"/>
                <w:w w:val="93"/>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1"/>
                <w:szCs w:val="21"/>
                <w:color w:val="auto"/>
              </w:rPr>
            </w:pPr>
          </w:p>
        </w:tc>
      </w:tr>
      <w:tr>
        <w:trPr>
          <w:trHeight w:val="257"/>
        </w:trPr>
        <w:tc>
          <w:tcPr>
            <w:tcW w:w="15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57"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2"/>
                <w:szCs w:val="22"/>
                <w:color w:val="auto"/>
              </w:rPr>
            </w:pPr>
          </w:p>
        </w:tc>
      </w:tr>
      <w:tr>
        <w:trPr>
          <w:trHeight w:val="243"/>
        </w:trPr>
        <w:tc>
          <w:tcPr>
            <w:tcW w:w="15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43" w:lineRule="exact"/>
              <w:rPr>
                <w:sz w:val="20"/>
                <w:szCs w:val="20"/>
                <w:color w:val="auto"/>
              </w:rPr>
            </w:pPr>
            <w:r>
              <w:rPr>
                <w:rFonts w:ascii="Calibri" w:cs="Calibri" w:eastAsia="Calibri" w:hAnsi="Calibri"/>
                <w:sz w:val="26"/>
                <w:szCs w:val="26"/>
                <w:b w:val="1"/>
                <w:bCs w:val="1"/>
                <w:color w:val="auto"/>
                <w:w w:val="93"/>
                <w:vertAlign w:val="subscript"/>
              </w:rPr>
              <w:t>X</w:t>
            </w:r>
            <w:r>
              <w:rPr>
                <w:rFonts w:ascii="Calibri" w:cs="Calibri" w:eastAsia="Calibri" w:hAnsi="Calibri"/>
                <w:sz w:val="11"/>
                <w:szCs w:val="11"/>
                <w:b w:val="1"/>
                <w:bCs w:val="1"/>
                <w:color w:val="auto"/>
                <w:w w:val="93"/>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1"/>
                <w:szCs w:val="21"/>
                <w:color w:val="auto"/>
              </w:rPr>
            </w:pPr>
          </w:p>
        </w:tc>
      </w:tr>
      <w:tr>
        <w:trPr>
          <w:trHeight w:val="310"/>
        </w:trPr>
        <w:tc>
          <w:tcPr>
            <w:tcW w:w="15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31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4"/>
                <w:szCs w:val="24"/>
                <w:color w:val="auto"/>
              </w:rPr>
            </w:pPr>
          </w:p>
        </w:tc>
      </w:tr>
      <w:tr>
        <w:trPr>
          <w:trHeight w:val="270"/>
        </w:trPr>
        <w:tc>
          <w:tcPr>
            <w:tcW w:w="1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98"/>
        </w:trPr>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98"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4"/>
                <w:szCs w:val="24"/>
                <w:color w:val="auto"/>
              </w:rPr>
            </w:pPr>
          </w:p>
        </w:tc>
      </w:tr>
      <w:tr>
        <w:trPr>
          <w:trHeight w:val="216"/>
        </w:trPr>
        <w:tc>
          <w:tcPr>
            <w:tcW w:w="156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Plan/Target</w:t>
            </w:r>
          </w:p>
        </w:tc>
        <w:tc>
          <w:tcPr>
            <w:tcW w:w="94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shd w:val="clear" w:color="auto" w:fill="FFFFCC"/>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shd w:val="clear" w:color="auto" w:fill="FFFFCC"/>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shd w:val="clear" w:color="auto" w:fill="FFFFCC"/>
          </w:tcPr>
          <w:p>
            <w:pPr>
              <w:jc w:val="center"/>
              <w:spacing w:after="0" w:line="216" w:lineRule="exact"/>
              <w:rPr>
                <w:sz w:val="20"/>
                <w:szCs w:val="20"/>
                <w:color w:val="auto"/>
              </w:rPr>
            </w:pPr>
            <w:r>
              <w:rPr>
                <w:rFonts w:ascii="Calibri" w:cs="Calibri" w:eastAsia="Calibri" w:hAnsi="Calibri"/>
                <w:sz w:val="23"/>
                <w:szCs w:val="23"/>
                <w:b w:val="1"/>
                <w:bCs w:val="1"/>
                <w:color w:val="auto"/>
                <w:vertAlign w:val="subscript"/>
              </w:rPr>
              <w:t>X</w:t>
            </w:r>
            <w:r>
              <w:rPr>
                <w:rFonts w:ascii="Calibri" w:cs="Calibri" w:eastAsia="Calibri" w:hAnsi="Calibri"/>
                <w:sz w:val="10"/>
                <w:szCs w:val="10"/>
                <w:b w:val="1"/>
                <w:bCs w:val="1"/>
                <w:color w:val="auto"/>
              </w:rPr>
              <w:t>th</w:t>
            </w:r>
          </w:p>
        </w:tc>
        <w:tc>
          <w:tcPr>
            <w:tcW w:w="900" w:type="dxa"/>
            <w:vAlign w:val="bottom"/>
            <w:shd w:val="clear" w:color="auto" w:fill="FFFFCC"/>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8"/>
                <w:szCs w:val="18"/>
                <w:color w:val="auto"/>
              </w:rPr>
            </w:pPr>
          </w:p>
        </w:tc>
      </w:tr>
      <w:tr>
        <w:trPr>
          <w:trHeight w:val="242"/>
        </w:trPr>
        <w:tc>
          <w:tcPr>
            <w:tcW w:w="1560" w:type="dxa"/>
            <w:vAlign w:val="bottom"/>
          </w:tcPr>
          <w:p>
            <w:pPr>
              <w:jc w:val="center"/>
              <w:spacing w:after="0"/>
              <w:rPr>
                <w:sz w:val="20"/>
                <w:szCs w:val="20"/>
                <w:color w:val="auto"/>
              </w:rPr>
            </w:pPr>
            <w:r>
              <w:rPr>
                <w:rFonts w:ascii="Calibri" w:cs="Calibri" w:eastAsia="Calibri" w:hAnsi="Calibri"/>
                <w:sz w:val="14"/>
                <w:szCs w:val="14"/>
                <w:b w:val="1"/>
                <w:bCs w:val="1"/>
                <w:color w:val="auto"/>
              </w:rPr>
              <w:t>Below Plan</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41" w:lineRule="exact"/>
              <w:rPr>
                <w:sz w:val="20"/>
                <w:szCs w:val="20"/>
                <w:color w:val="auto"/>
              </w:rPr>
            </w:pPr>
            <w:r>
              <w:rPr>
                <w:rFonts w:ascii="Calibri" w:cs="Calibri" w:eastAsia="Calibri" w:hAnsi="Calibri"/>
                <w:sz w:val="26"/>
                <w:szCs w:val="26"/>
                <w:b w:val="1"/>
                <w:bCs w:val="1"/>
                <w:color w:val="auto"/>
                <w:w w:val="93"/>
                <w:vertAlign w:val="subscript"/>
              </w:rPr>
              <w:t>X</w:t>
            </w:r>
            <w:r>
              <w:rPr>
                <w:rFonts w:ascii="Calibri" w:cs="Calibri" w:eastAsia="Calibri" w:hAnsi="Calibri"/>
                <w:sz w:val="11"/>
                <w:szCs w:val="11"/>
                <w:b w:val="1"/>
                <w:bCs w:val="1"/>
                <w:color w:val="auto"/>
                <w:w w:val="93"/>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1"/>
                <w:szCs w:val="21"/>
                <w:color w:val="auto"/>
              </w:rPr>
            </w:pPr>
          </w:p>
        </w:tc>
      </w:tr>
      <w:tr>
        <w:trPr>
          <w:trHeight w:val="270"/>
        </w:trPr>
        <w:tc>
          <w:tcPr>
            <w:tcW w:w="15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70"/>
        </w:trPr>
        <w:tc>
          <w:tcPr>
            <w:tcW w:w="15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70" w:lineRule="exact"/>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23"/>
                <w:szCs w:val="23"/>
                <w:color w:val="auto"/>
              </w:rPr>
            </w:pPr>
          </w:p>
        </w:tc>
      </w:tr>
      <w:tr>
        <w:trPr>
          <w:trHeight w:val="217"/>
        </w:trPr>
        <w:tc>
          <w:tcPr>
            <w:tcW w:w="15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820" w:type="dxa"/>
            <w:vAlign w:val="bottom"/>
          </w:tcPr>
          <w:p>
            <w:pPr>
              <w:jc w:val="center"/>
              <w:ind w:left="109"/>
              <w:spacing w:after="0"/>
              <w:rPr>
                <w:sz w:val="20"/>
                <w:szCs w:val="20"/>
                <w:color w:val="auto"/>
              </w:rPr>
            </w:pPr>
            <w:r>
              <w:rPr>
                <w:rFonts w:ascii="Calibri" w:cs="Calibri" w:eastAsia="Calibri" w:hAnsi="Calibri"/>
                <w:sz w:val="14"/>
                <w:szCs w:val="14"/>
                <w:b w:val="1"/>
                <w:bCs w:val="1"/>
                <w:color w:val="auto"/>
              </w:rPr>
              <w:t>$X</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7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X%</w:t>
            </w:r>
          </w:p>
        </w:tc>
        <w:tc>
          <w:tcPr>
            <w:tcW w:w="1040" w:type="dxa"/>
            <w:vAlign w:val="bottom"/>
          </w:tcPr>
          <w:p>
            <w:pPr>
              <w:jc w:val="center"/>
              <w:spacing w:after="0" w:line="217" w:lineRule="exact"/>
              <w:rPr>
                <w:sz w:val="20"/>
                <w:szCs w:val="20"/>
                <w:color w:val="auto"/>
              </w:rPr>
            </w:pPr>
            <w:r>
              <w:rPr>
                <w:rFonts w:ascii="Calibri" w:cs="Calibri" w:eastAsia="Calibri" w:hAnsi="Calibri"/>
                <w:sz w:val="23"/>
                <w:szCs w:val="23"/>
                <w:b w:val="1"/>
                <w:bCs w:val="1"/>
                <w:color w:val="auto"/>
                <w:vertAlign w:val="subscript"/>
              </w:rPr>
              <w:t>X</w:t>
            </w:r>
            <w:r>
              <w:rPr>
                <w:rFonts w:ascii="Calibri" w:cs="Calibri" w:eastAsia="Calibri" w:hAnsi="Calibri"/>
                <w:sz w:val="10"/>
                <w:szCs w:val="10"/>
                <w:b w:val="1"/>
                <w:bCs w:val="1"/>
                <w:color w:val="auto"/>
              </w:rPr>
              <w:t>th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-2185670</wp:posOffset>
            </wp:positionV>
            <wp:extent cx="8255" cy="2237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8255" cy="22371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-2185670</wp:posOffset>
            </wp:positionV>
            <wp:extent cx="8890" cy="2237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8890" cy="22371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-2185670</wp:posOffset>
            </wp:positionV>
            <wp:extent cx="8255" cy="22371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8255" cy="223710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-2185670</wp:posOffset>
            </wp:positionV>
            <wp:extent cx="8255" cy="22371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8255" cy="223710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-2185670</wp:posOffset>
            </wp:positionV>
            <wp:extent cx="8255" cy="22371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8255" cy="2237105"/>
                    </a:xfrm>
                    <a:prstGeom prst="rect">
                      <a:avLst/>
                    </a:prstGeom>
                    <a:noFill/>
                  </pic:spPr>
                </pic:pic>
              </a:graphicData>
            </a:graphic>
          </wp:anchor>
        </w:drawing>
      </w:r>
    </w:p>
    <w:p>
      <w:pPr>
        <w:spacing w:after="0" w:line="195" w:lineRule="auto"/>
        <w:rPr>
          <w:sz w:val="20"/>
          <w:szCs w:val="20"/>
          <w:color w:val="auto"/>
        </w:rPr>
      </w:pPr>
      <w:r>
        <w:rPr>
          <w:rFonts w:ascii="Calibri" w:cs="Calibri" w:eastAsia="Calibri" w:hAnsi="Calibri"/>
          <w:sz w:val="18"/>
          <w:szCs w:val="18"/>
          <w:color w:val="auto"/>
        </w:rPr>
        <w:t>maximum.</w:t>
      </w:r>
    </w:p>
    <w:p>
      <w:pPr>
        <w:sectPr>
          <w:pgSz w:w="11900" w:h="16838" w:orient="portrait"/>
          <w:cols w:equalWidth="0" w:num="1">
            <w:col w:w="11240"/>
          </w:cols>
          <w:pgMar w:left="320" w:top="1400" w:right="339" w:bottom="1440" w:gutter="0" w:footer="0" w:header="0"/>
        </w:sectPr>
      </w:pPr>
    </w:p>
    <w:bookmarkStart w:id="86" w:name="page87"/>
    <w:bookmarkEnd w:id="86"/>
    <w:p>
      <w:pPr>
        <w:spacing w:after="0" w:line="204" w:lineRule="auto"/>
        <w:framePr w:w="1360" w:h="135" w:wrap="auto" w:vAnchor="page" w:hAnchor="page" w:x="6920" w:y="10076"/>
        <w:rPr>
          <w:rFonts w:ascii="Calibri" w:cs="Calibri" w:eastAsia="Calibri" w:hAnsi="Calibri"/>
          <w:sz w:val="13"/>
          <w:szCs w:val="13"/>
          <w:color w:val="auto"/>
        </w:rPr>
      </w:pPr>
      <w:r>
        <w:rPr>
          <w:rFonts w:ascii="Calibri" w:cs="Calibri" w:eastAsia="Calibri" w:hAnsi="Calibri"/>
          <w:sz w:val="13"/>
          <w:szCs w:val="13"/>
          <w:color w:val="auto"/>
        </w:rPr>
        <w:t>Paragraph 2(g)(iv)</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Threshold</w:t>
            </w:r>
          </w:p>
        </w:tc>
        <w:tc>
          <w:tcPr>
            <w:tcW w:w="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4"/>
              </w:rPr>
              <w:t>$X</w:t>
            </w:r>
          </w:p>
        </w:tc>
        <w:tc>
          <w:tcPr>
            <w:tcW w:w="2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5"/>
                <w:szCs w:val="15"/>
                <w:color w:val="auto"/>
              </w:rPr>
            </w:pPr>
          </w:p>
        </w:tc>
        <w:tc>
          <w:tcPr>
            <w:tcW w:w="940" w:type="dxa"/>
            <w:vAlign w:val="bottom"/>
            <w:vMerge w:val="restart"/>
          </w:tcPr>
          <w:p>
            <w:pPr>
              <w:ind w:left="380"/>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5"/>
                <w:szCs w:val="15"/>
                <w:color w:val="auto"/>
              </w:rPr>
            </w:pPr>
          </w:p>
        </w:tc>
        <w:tc>
          <w:tcPr>
            <w:tcW w:w="940" w:type="dxa"/>
            <w:vAlign w:val="bottom"/>
            <w:vMerge w:val="restart"/>
          </w:tcPr>
          <w:p>
            <w:pPr>
              <w:ind w:left="360"/>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Calibri" w:cs="Calibri" w:eastAsia="Calibri" w:hAnsi="Calibri"/>
                <w:sz w:val="28"/>
                <w:szCs w:val="28"/>
                <w:b w:val="1"/>
                <w:bCs w:val="1"/>
                <w:color w:val="auto"/>
                <w:w w:val="85"/>
                <w:vertAlign w:val="subscript"/>
              </w:rPr>
              <w:t>X</w:t>
            </w:r>
            <w:r>
              <w:rPr>
                <w:rFonts w:ascii="Calibri" w:cs="Calibri" w:eastAsia="Calibri" w:hAnsi="Calibri"/>
                <w:sz w:val="12"/>
                <w:szCs w:val="12"/>
                <w:b w:val="1"/>
                <w:bCs w:val="1"/>
                <w:color w:val="auto"/>
                <w:w w:val="85"/>
              </w:rPr>
              <w:t>th</w:t>
            </w:r>
          </w:p>
        </w:tc>
        <w:tc>
          <w:tcPr>
            <w:tcW w:w="20" w:type="dxa"/>
            <w:vAlign w:val="bottom"/>
          </w:tcPr>
          <w:p>
            <w:pPr>
              <w:spacing w:after="0"/>
              <w:rPr>
                <w:sz w:val="15"/>
                <w:szCs w:val="15"/>
                <w:color w:val="auto"/>
              </w:rPr>
            </w:pPr>
          </w:p>
        </w:tc>
        <w:tc>
          <w:tcPr>
            <w:tcW w:w="940" w:type="dxa"/>
            <w:vAlign w:val="bottom"/>
            <w:vMerge w:val="restart"/>
          </w:tcPr>
          <w:p>
            <w:pPr>
              <w:ind w:left="380"/>
              <w:spacing w:after="0"/>
              <w:rPr>
                <w:sz w:val="20"/>
                <w:szCs w:val="20"/>
                <w:color w:val="auto"/>
              </w:rPr>
            </w:pPr>
            <w:r>
              <w:rPr>
                <w:rFonts w:ascii="Calibri" w:cs="Calibri" w:eastAsia="Calibri" w:hAnsi="Calibri"/>
                <w:sz w:val="14"/>
                <w:szCs w:val="14"/>
                <w:b w:val="1"/>
                <w:bCs w:val="1"/>
                <w:color w:val="auto"/>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000000"/>
          </w:tcPr>
          <w:p>
            <w:pPr>
              <w:spacing w:after="0"/>
              <w:rPr>
                <w:sz w:val="14"/>
                <w:szCs w:val="14"/>
                <w:color w:val="auto"/>
              </w:rPr>
            </w:pPr>
          </w:p>
        </w:tc>
        <w:tc>
          <w:tcPr>
            <w:tcW w:w="156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shd w:val="clear" w:color="auto" w:fill="000000"/>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Below Threshold</w:t>
            </w:r>
          </w:p>
        </w:tc>
        <w:tc>
          <w:tcPr>
            <w:tcW w:w="20" w:type="dxa"/>
            <w:vAlign w:val="bottom"/>
            <w:tcBorders>
              <w:bottom w:val="single" w:sz="8" w:color="auto"/>
            </w:tcBorders>
            <w:shd w:val="clear" w:color="auto" w:fill="000000"/>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&lt;$X</w:t>
            </w:r>
          </w:p>
        </w:tc>
        <w:tc>
          <w:tcPr>
            <w:tcW w:w="20" w:type="dxa"/>
            <w:vAlign w:val="bottom"/>
            <w:tcBorders>
              <w:bottom w:val="single" w:sz="8" w:color="auto"/>
            </w:tcBorders>
            <w:shd w:val="clear" w:color="auto" w:fill="000000"/>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&lt;X%</w:t>
            </w:r>
          </w:p>
        </w:tc>
        <w:tc>
          <w:tcPr>
            <w:tcW w:w="20" w:type="dxa"/>
            <w:vAlign w:val="bottom"/>
            <w:tcBorders>
              <w:bottom w:val="single" w:sz="8" w:color="auto"/>
            </w:tcBorders>
            <w:shd w:val="clear" w:color="auto" w:fill="000000"/>
          </w:tcPr>
          <w:p>
            <w:pPr>
              <w:spacing w:after="0"/>
              <w:rPr>
                <w:sz w:val="22"/>
                <w:szCs w:val="22"/>
                <w:color w:val="auto"/>
              </w:rPr>
            </w:pPr>
          </w:p>
        </w:tc>
        <w:tc>
          <w:tcPr>
            <w:tcW w:w="940" w:type="dxa"/>
            <w:vAlign w:val="bottom"/>
            <w:tcBorders>
              <w:bottom w:val="single" w:sz="8" w:color="auto"/>
            </w:tcBorders>
          </w:tcPr>
          <w:p>
            <w:pPr>
              <w:ind w:left="380"/>
              <w:spacing w:after="0"/>
              <w:rPr>
                <w:sz w:val="20"/>
                <w:szCs w:val="20"/>
                <w:color w:val="auto"/>
              </w:rPr>
            </w:pPr>
            <w:r>
              <w:rPr>
                <w:rFonts w:ascii="Calibri" w:cs="Calibri" w:eastAsia="Calibri" w:hAnsi="Calibri"/>
                <w:sz w:val="14"/>
                <w:szCs w:val="14"/>
                <w:b w:val="1"/>
                <w:bCs w:val="1"/>
                <w:color w:val="auto"/>
              </w:rPr>
              <w:t>X%</w:t>
            </w:r>
          </w:p>
        </w:tc>
        <w:tc>
          <w:tcPr>
            <w:tcW w:w="20" w:type="dxa"/>
            <w:vAlign w:val="bottom"/>
            <w:tcBorders>
              <w:bottom w:val="single" w:sz="8" w:color="auto"/>
            </w:tcBorders>
            <w:shd w:val="clear" w:color="auto" w:fill="000000"/>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&lt;$X</w:t>
            </w:r>
          </w:p>
        </w:tc>
        <w:tc>
          <w:tcPr>
            <w:tcW w:w="20" w:type="dxa"/>
            <w:vAlign w:val="bottom"/>
            <w:tcBorders>
              <w:bottom w:val="single" w:sz="8" w:color="auto"/>
            </w:tcBorders>
            <w:shd w:val="clear" w:color="auto" w:fill="000000"/>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6"/>
              </w:rPr>
              <w:t>&lt;X%</w:t>
            </w:r>
          </w:p>
        </w:tc>
        <w:tc>
          <w:tcPr>
            <w:tcW w:w="20" w:type="dxa"/>
            <w:vAlign w:val="bottom"/>
            <w:tcBorders>
              <w:bottom w:val="single" w:sz="8" w:color="auto"/>
            </w:tcBorders>
            <w:shd w:val="clear" w:color="auto" w:fill="000000"/>
          </w:tcPr>
          <w:p>
            <w:pPr>
              <w:spacing w:after="0"/>
              <w:rPr>
                <w:sz w:val="22"/>
                <w:szCs w:val="22"/>
                <w:color w:val="auto"/>
              </w:rPr>
            </w:pPr>
          </w:p>
        </w:tc>
        <w:tc>
          <w:tcPr>
            <w:tcW w:w="940" w:type="dxa"/>
            <w:vAlign w:val="bottom"/>
            <w:tcBorders>
              <w:bottom w:val="single" w:sz="8" w:color="auto"/>
            </w:tcBorders>
          </w:tcPr>
          <w:p>
            <w:pPr>
              <w:ind w:left="360"/>
              <w:spacing w:after="0"/>
              <w:rPr>
                <w:sz w:val="20"/>
                <w:szCs w:val="20"/>
                <w:color w:val="auto"/>
              </w:rPr>
            </w:pPr>
            <w:r>
              <w:rPr>
                <w:rFonts w:ascii="Calibri" w:cs="Calibri" w:eastAsia="Calibri" w:hAnsi="Calibri"/>
                <w:sz w:val="14"/>
                <w:szCs w:val="14"/>
                <w:b w:val="1"/>
                <w:bCs w:val="1"/>
                <w:color w:val="auto"/>
              </w:rPr>
              <w:t>X%</w:t>
            </w:r>
          </w:p>
        </w:tc>
        <w:tc>
          <w:tcPr>
            <w:tcW w:w="20" w:type="dxa"/>
            <w:vAlign w:val="bottom"/>
            <w:tcBorders>
              <w:bottom w:val="single" w:sz="8" w:color="auto"/>
            </w:tcBorders>
            <w:shd w:val="clear" w:color="auto" w:fill="000000"/>
          </w:tcPr>
          <w:p>
            <w:pPr>
              <w:spacing w:after="0"/>
              <w:rPr>
                <w:sz w:val="22"/>
                <w:szCs w:val="22"/>
                <w:color w:val="auto"/>
              </w:rPr>
            </w:pPr>
          </w:p>
        </w:tc>
        <w:tc>
          <w:tcPr>
            <w:tcW w:w="920" w:type="dxa"/>
            <w:vAlign w:val="bottom"/>
            <w:tcBorders>
              <w:bottom w:val="single" w:sz="8" w:color="auto"/>
            </w:tcBorders>
          </w:tcPr>
          <w:p>
            <w:pPr>
              <w:jc w:val="center"/>
              <w:spacing w:after="0" w:line="263" w:lineRule="exact"/>
              <w:rPr>
                <w:sz w:val="20"/>
                <w:szCs w:val="20"/>
                <w:color w:val="auto"/>
              </w:rPr>
            </w:pPr>
            <w:r>
              <w:rPr>
                <w:rFonts w:ascii="Calibri" w:cs="Calibri" w:eastAsia="Calibri" w:hAnsi="Calibri"/>
                <w:sz w:val="14"/>
                <w:szCs w:val="14"/>
                <w:b w:val="1"/>
                <w:bCs w:val="1"/>
                <w:color w:val="auto"/>
                <w:w w:val="84"/>
              </w:rPr>
              <w:t>&lt;X</w:t>
            </w:r>
            <w:r>
              <w:rPr>
                <w:rFonts w:ascii="Calibri" w:cs="Calibri" w:eastAsia="Calibri" w:hAnsi="Calibri"/>
                <w:sz w:val="23"/>
                <w:szCs w:val="23"/>
                <w:b w:val="1"/>
                <w:bCs w:val="1"/>
                <w:color w:val="auto"/>
                <w:w w:val="84"/>
                <w:vertAlign w:val="superscript"/>
              </w:rPr>
              <w:t>th</w:t>
            </w:r>
          </w:p>
        </w:tc>
        <w:tc>
          <w:tcPr>
            <w:tcW w:w="20" w:type="dxa"/>
            <w:vAlign w:val="bottom"/>
            <w:tcBorders>
              <w:bottom w:val="single" w:sz="8" w:color="auto"/>
            </w:tcBorders>
            <w:shd w:val="clear" w:color="auto" w:fill="000000"/>
          </w:tcPr>
          <w:p>
            <w:pPr>
              <w:spacing w:after="0"/>
              <w:rPr>
                <w:sz w:val="22"/>
                <w:szCs w:val="22"/>
                <w:color w:val="auto"/>
              </w:rPr>
            </w:pPr>
          </w:p>
        </w:tc>
        <w:tc>
          <w:tcPr>
            <w:tcW w:w="940" w:type="dxa"/>
            <w:vAlign w:val="bottom"/>
            <w:tcBorders>
              <w:bottom w:val="single" w:sz="8" w:color="auto"/>
            </w:tcBorders>
          </w:tcPr>
          <w:p>
            <w:pPr>
              <w:ind w:left="380"/>
              <w:spacing w:after="0"/>
              <w:rPr>
                <w:sz w:val="20"/>
                <w:szCs w:val="20"/>
                <w:color w:val="auto"/>
              </w:rPr>
            </w:pPr>
            <w:r>
              <w:rPr>
                <w:rFonts w:ascii="Calibri" w:cs="Calibri" w:eastAsia="Calibri" w:hAnsi="Calibri"/>
                <w:sz w:val="14"/>
                <w:szCs w:val="14"/>
                <w:b w:val="1"/>
                <w:bCs w:val="1"/>
                <w:color w:val="auto"/>
              </w:rPr>
              <w:t>X%</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585470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854700" cy="274320"/>
                    </a:xfrm>
                    <a:prstGeom prst="rect">
                      <a:avLst/>
                    </a:prstGeom>
                    <a:noFill/>
                  </pic:spPr>
                </pic:pic>
              </a:graphicData>
            </a:graphic>
          </wp:anchor>
        </w:drawing>
      </w: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363" w:lineRule="exact"/>
        <w:rPr>
          <w:rFonts w:ascii="Calibri" w:cs="Calibri" w:eastAsia="Calibri" w:hAnsi="Calibri"/>
          <w:sz w:val="13"/>
          <w:szCs w:val="13"/>
          <w:color w:val="auto"/>
        </w:rPr>
      </w:pPr>
    </w:p>
    <w:p>
      <w:pPr>
        <w:jc w:val="center"/>
        <w:spacing w:after="0"/>
        <w:rPr>
          <w:sz w:val="20"/>
          <w:szCs w:val="20"/>
          <w:color w:val="auto"/>
        </w:rPr>
      </w:pPr>
      <w:r>
        <w:rPr>
          <w:rFonts w:ascii="Calibri" w:cs="Calibri" w:eastAsia="Calibri" w:hAnsi="Calibri"/>
          <w:sz w:val="18"/>
          <w:szCs w:val="18"/>
          <w:b w:val="1"/>
          <w:bCs w:val="1"/>
          <w:color w:val="auto"/>
        </w:rPr>
        <w:t>Appendix A Non-Competton Covenant</w:t>
      </w:r>
    </w:p>
    <w:p>
      <w:pPr>
        <w:spacing w:after="0" w:line="2" w:lineRule="exact"/>
        <w:rPr>
          <w:rFonts w:ascii="Calibri" w:cs="Calibri" w:eastAsia="Calibri" w:hAnsi="Calibri"/>
          <w:sz w:val="13"/>
          <w:szCs w:val="13"/>
          <w:color w:val="auto"/>
        </w:rPr>
      </w:pPr>
    </w:p>
    <w:p>
      <w:pPr>
        <w:ind w:left="640" w:hanging="308"/>
        <w:spacing w:after="0"/>
        <w:tabs>
          <w:tab w:leader="none" w:pos="640" w:val="left"/>
        </w:tabs>
        <w:numPr>
          <w:ilvl w:val="0"/>
          <w:numId w:val="84"/>
        </w:numPr>
        <w:rPr>
          <w:rFonts w:ascii="Arial" w:cs="Arial" w:eastAsia="Arial" w:hAnsi="Arial"/>
          <w:sz w:val="22"/>
          <w:szCs w:val="22"/>
          <w:color w:val="auto"/>
        </w:rPr>
      </w:pPr>
      <w:r>
        <w:rPr>
          <w:rFonts w:ascii="Calibri" w:cs="Calibri" w:eastAsia="Calibri" w:hAnsi="Calibri"/>
          <w:sz w:val="18"/>
          <w:szCs w:val="18"/>
          <w:u w:val="single" w:color="auto"/>
          <w:color w:val="auto"/>
        </w:rPr>
        <w:t>Defnitons</w:t>
      </w:r>
      <w:r>
        <w:rPr>
          <w:rFonts w:ascii="Calibri" w:cs="Calibri" w:eastAsia="Calibri" w:hAnsi="Calibri"/>
          <w:sz w:val="18"/>
          <w:szCs w:val="18"/>
          <w:color w:val="auto"/>
        </w:rPr>
        <w:t>.</w:t>
      </w:r>
    </w:p>
    <w:p>
      <w:pPr>
        <w:spacing w:after="0" w:line="17" w:lineRule="exact"/>
        <w:rPr>
          <w:rFonts w:ascii="Calibri" w:cs="Calibri" w:eastAsia="Calibri" w:hAnsi="Calibri"/>
          <w:sz w:val="13"/>
          <w:szCs w:val="13"/>
          <w:color w:val="auto"/>
        </w:rPr>
      </w:pPr>
    </w:p>
    <w:p>
      <w:pPr>
        <w:jc w:val="both"/>
        <w:ind w:left="660" w:hanging="328"/>
        <w:spacing w:after="0" w:line="220" w:lineRule="auto"/>
        <w:tabs>
          <w:tab w:leader="none" w:pos="651" w:val="left"/>
        </w:tabs>
        <w:numPr>
          <w:ilvl w:val="0"/>
          <w:numId w:val="85"/>
        </w:numPr>
        <w:rPr>
          <w:rFonts w:ascii="Arial" w:cs="Arial" w:eastAsia="Arial" w:hAnsi="Arial"/>
          <w:sz w:val="22"/>
          <w:szCs w:val="22"/>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Competng Products</w:t>
      </w:r>
      <w:r>
        <w:rPr>
          <w:rFonts w:ascii="Calibri" w:cs="Calibri" w:eastAsia="Calibri" w:hAnsi="Calibri"/>
          <w:sz w:val="18"/>
          <w:szCs w:val="18"/>
          <w:color w:val="auto"/>
        </w:rPr>
        <w:t>” means products or services sold by the Company and/or its Afliates</w:t>
      </w:r>
      <w:r>
        <w:rPr>
          <w:rFonts w:ascii="Calibri" w:cs="Calibri" w:eastAsia="Calibri" w:hAnsi="Calibri"/>
          <w:sz w:val="18"/>
          <w:szCs w:val="18"/>
          <w:color w:val="0000FF"/>
        </w:rPr>
        <w:t>[1]</w:t>
      </w:r>
      <w:r>
        <w:rPr>
          <w:rFonts w:ascii="Calibri" w:cs="Calibri" w:eastAsia="Calibri" w:hAnsi="Calibri"/>
          <w:sz w:val="18"/>
          <w:szCs w:val="18"/>
          <w:color w:val="auto"/>
        </w:rPr>
        <w:t>, or any prospectve product or service the Company and/or its Afliates took steps to develop, and for which the Partcipant had any responsibility during the 24 months preceding the terminaton of the Partcipant’s employment;</w:t>
      </w:r>
    </w:p>
    <w:p>
      <w:pPr>
        <w:spacing w:after="0" w:line="9" w:lineRule="exact"/>
        <w:rPr>
          <w:rFonts w:ascii="Arial" w:cs="Arial" w:eastAsia="Arial" w:hAnsi="Arial"/>
          <w:sz w:val="22"/>
          <w:szCs w:val="22"/>
          <w:color w:val="auto"/>
        </w:rPr>
      </w:pPr>
    </w:p>
    <w:p>
      <w:pPr>
        <w:ind w:left="660" w:hanging="328"/>
        <w:spacing w:after="0" w:line="230" w:lineRule="auto"/>
        <w:tabs>
          <w:tab w:leader="none" w:pos="651" w:val="left"/>
        </w:tabs>
        <w:numPr>
          <w:ilvl w:val="0"/>
          <w:numId w:val="85"/>
        </w:numPr>
        <w:rPr>
          <w:rFonts w:ascii="Arial" w:cs="Arial" w:eastAsia="Arial" w:hAnsi="Arial"/>
          <w:sz w:val="22"/>
          <w:szCs w:val="22"/>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Restricted Territory</w:t>
      </w:r>
      <w:r>
        <w:rPr>
          <w:rFonts w:ascii="Calibri" w:cs="Calibri" w:eastAsia="Calibri" w:hAnsi="Calibri"/>
          <w:sz w:val="18"/>
          <w:szCs w:val="18"/>
          <w:color w:val="auto"/>
        </w:rPr>
        <w:t>” means the geographic territory over which the Partcipant had responsibility during the 24 months preceding the terminaton of the Partcipant’s employment.</w:t>
      </w:r>
    </w:p>
    <w:p>
      <w:pPr>
        <w:spacing w:after="0" w:line="3" w:lineRule="exact"/>
        <w:rPr>
          <w:rFonts w:ascii="Calibri" w:cs="Calibri" w:eastAsia="Calibri" w:hAnsi="Calibri"/>
          <w:sz w:val="13"/>
          <w:szCs w:val="13"/>
          <w:color w:val="auto"/>
        </w:rPr>
      </w:pPr>
    </w:p>
    <w:p>
      <w:pPr>
        <w:ind w:left="640" w:hanging="308"/>
        <w:spacing w:after="0"/>
        <w:tabs>
          <w:tab w:leader="none" w:pos="640" w:val="left"/>
        </w:tabs>
        <w:numPr>
          <w:ilvl w:val="0"/>
          <w:numId w:val="86"/>
        </w:numPr>
        <w:rPr>
          <w:rFonts w:ascii="Arial" w:cs="Arial" w:eastAsia="Arial" w:hAnsi="Arial"/>
          <w:sz w:val="22"/>
          <w:szCs w:val="22"/>
          <w:color w:val="auto"/>
        </w:rPr>
      </w:pPr>
      <w:r>
        <w:rPr>
          <w:rFonts w:ascii="Calibri" w:cs="Calibri" w:eastAsia="Calibri" w:hAnsi="Calibri"/>
          <w:sz w:val="18"/>
          <w:szCs w:val="18"/>
          <w:u w:val="single" w:color="auto"/>
          <w:color w:val="auto"/>
        </w:rPr>
        <w:t>Non-Competton</w:t>
      </w:r>
      <w:r>
        <w:rPr>
          <w:rFonts w:ascii="Calibri" w:cs="Calibri" w:eastAsia="Calibri" w:hAnsi="Calibri"/>
          <w:sz w:val="18"/>
          <w:szCs w:val="18"/>
          <w:color w:val="auto"/>
        </w:rPr>
        <w:t>.</w:t>
      </w:r>
    </w:p>
    <w:p>
      <w:pPr>
        <w:spacing w:after="0" w:line="24" w:lineRule="exact"/>
        <w:rPr>
          <w:rFonts w:ascii="Calibri" w:cs="Calibri" w:eastAsia="Calibri" w:hAnsi="Calibri"/>
          <w:sz w:val="13"/>
          <w:szCs w:val="13"/>
          <w:color w:val="auto"/>
        </w:rPr>
      </w:pPr>
    </w:p>
    <w:p>
      <w:pPr>
        <w:ind w:firstLine="324"/>
        <w:spacing w:after="0" w:line="208" w:lineRule="auto"/>
        <w:rPr>
          <w:sz w:val="20"/>
          <w:szCs w:val="20"/>
          <w:color w:val="auto"/>
        </w:rPr>
      </w:pPr>
      <w:r>
        <w:rPr>
          <w:rFonts w:ascii="Calibri" w:cs="Calibri" w:eastAsia="Calibri" w:hAnsi="Calibri"/>
          <w:sz w:val="18"/>
          <w:szCs w:val="18"/>
          <w:color w:val="auto"/>
        </w:rPr>
        <w:t>During the Partcipant’s employment and for 12 months afer terminaton of the Partcipant’s employment, the Partcipant will not directly or indirectly, on behalf of the Partcipant or in conjuncton with any other person or entty:</w:t>
      </w:r>
    </w:p>
    <w:p>
      <w:pPr>
        <w:spacing w:after="0" w:line="2" w:lineRule="exact"/>
        <w:rPr>
          <w:rFonts w:ascii="Calibri" w:cs="Calibri" w:eastAsia="Calibri" w:hAnsi="Calibri"/>
          <w:sz w:val="13"/>
          <w:szCs w:val="13"/>
          <w:color w:val="auto"/>
        </w:rPr>
      </w:pPr>
    </w:p>
    <w:p>
      <w:pPr>
        <w:ind w:left="640" w:hanging="308"/>
        <w:spacing w:after="0"/>
        <w:tabs>
          <w:tab w:leader="none" w:pos="640" w:val="left"/>
        </w:tabs>
        <w:numPr>
          <w:ilvl w:val="0"/>
          <w:numId w:val="87"/>
        </w:numPr>
        <w:rPr>
          <w:rFonts w:ascii="Arial" w:cs="Arial" w:eastAsia="Arial" w:hAnsi="Arial"/>
          <w:sz w:val="22"/>
          <w:szCs w:val="22"/>
          <w:color w:val="auto"/>
        </w:rPr>
      </w:pPr>
      <w:r>
        <w:rPr>
          <w:rFonts w:ascii="Calibri" w:cs="Calibri" w:eastAsia="Calibri" w:hAnsi="Calibri"/>
          <w:sz w:val="18"/>
          <w:szCs w:val="18"/>
          <w:color w:val="auto"/>
        </w:rPr>
        <w:t>own, invest in, or provide fnancing to any business that sells Competng Products in the Restricted Territory;</w:t>
      </w:r>
    </w:p>
    <w:p>
      <w:pPr>
        <w:spacing w:after="0" w:line="41"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87"/>
        </w:numPr>
        <w:rPr>
          <w:rFonts w:ascii="Arial" w:cs="Arial" w:eastAsia="Arial" w:hAnsi="Arial"/>
          <w:sz w:val="22"/>
          <w:szCs w:val="22"/>
          <w:color w:val="auto"/>
        </w:rPr>
      </w:pPr>
      <w:r>
        <w:rPr>
          <w:rFonts w:ascii="Calibri" w:cs="Calibri" w:eastAsia="Calibri" w:hAnsi="Calibri"/>
          <w:sz w:val="18"/>
          <w:szCs w:val="18"/>
          <w:color w:val="auto"/>
        </w:rPr>
        <w:t>work in the Restricted Territory for any person or entty that sells Competng Products, in any role: (1) that is similar to any positon the Partcipant held with the Company and its Afliates during the 24 months preceding the terminaton of the Partcipant’s employment, (2) that is executve, leadership, managerial, or strategic in nature, or (3) that may cause the Partcipant to inevitably rely upon or disclose the Company’s and/or its Afliates’ confdental or proprietary informaton or trade secrets.</w:t>
      </w:r>
    </w:p>
    <w:p>
      <w:pPr>
        <w:spacing w:after="0" w:line="32" w:lineRule="exact"/>
        <w:rPr>
          <w:rFonts w:ascii="Calibri" w:cs="Calibri" w:eastAsia="Calibri" w:hAnsi="Calibri"/>
          <w:sz w:val="13"/>
          <w:szCs w:val="13"/>
          <w:color w:val="auto"/>
        </w:rPr>
      </w:pPr>
    </w:p>
    <w:p>
      <w:pPr>
        <w:ind w:left="660" w:hanging="328"/>
        <w:spacing w:after="0" w:line="211" w:lineRule="auto"/>
        <w:tabs>
          <w:tab w:leader="none" w:pos="651" w:val="left"/>
        </w:tabs>
        <w:numPr>
          <w:ilvl w:val="0"/>
          <w:numId w:val="88"/>
        </w:numPr>
        <w:rPr>
          <w:rFonts w:ascii="Arial" w:cs="Arial" w:eastAsia="Arial" w:hAnsi="Arial"/>
          <w:sz w:val="22"/>
          <w:szCs w:val="22"/>
          <w:color w:val="auto"/>
        </w:rPr>
      </w:pPr>
      <w:r>
        <w:rPr>
          <w:rFonts w:ascii="Calibri" w:cs="Calibri" w:eastAsia="Calibri" w:hAnsi="Calibri"/>
          <w:sz w:val="18"/>
          <w:szCs w:val="18"/>
          <w:u w:val="single" w:color="auto"/>
          <w:color w:val="auto"/>
        </w:rPr>
        <w:t>Jurisdicton-and Other Specifc Requirements</w:t>
      </w:r>
      <w:r>
        <w:rPr>
          <w:rFonts w:ascii="Calibri" w:cs="Calibri" w:eastAsia="Calibri" w:hAnsi="Calibri"/>
          <w:sz w:val="18"/>
          <w:szCs w:val="18"/>
          <w:color w:val="auto"/>
        </w:rPr>
        <w:t>. A Partcipant residing in a jurisdicton identfed on Exhibit 1 will be subject to the jurisdicton-specifc and other applicable requirements set forth on Exhibit 1.</w:t>
      </w:r>
    </w:p>
    <w:p>
      <w:pPr>
        <w:spacing w:after="0" w:line="41"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88"/>
        </w:numPr>
        <w:rPr>
          <w:rFonts w:ascii="Arial" w:cs="Arial" w:eastAsia="Arial" w:hAnsi="Arial"/>
          <w:sz w:val="22"/>
          <w:szCs w:val="22"/>
          <w:color w:val="auto"/>
        </w:rPr>
      </w:pPr>
      <w:r>
        <w:rPr>
          <w:rFonts w:ascii="Calibri" w:cs="Calibri" w:eastAsia="Calibri" w:hAnsi="Calibri"/>
          <w:sz w:val="18"/>
          <w:szCs w:val="18"/>
          <w:u w:val="single" w:color="auto"/>
          <w:color w:val="auto"/>
        </w:rPr>
        <w:t>Subsequent Employment Protocol</w:t>
      </w:r>
      <w:r>
        <w:rPr>
          <w:rFonts w:ascii="Calibri" w:cs="Calibri" w:eastAsia="Calibri" w:hAnsi="Calibri"/>
          <w:sz w:val="18"/>
          <w:szCs w:val="18"/>
          <w:color w:val="auto"/>
        </w:rPr>
        <w:t>. During the Partcipant’s employment and for 12 months afer terminaton of the Partcipant’s employment, prior to acceptng employment with any person or entty, the Partcipant will provide the Partcipant’s prospectve employer with a copy of this Agreement, which includes the Partcipant Obligatons. Additonally, at least 7 days before acceptng subsequent employment, the Partcipant will notfy the Company of the Partcipant’s prospectve employer’s name, address and telephone number, and a descripton of the job dutes and geographic locaton for which the Partcipant is being considered.</w:t>
      </w:r>
    </w:p>
    <w:p>
      <w:pPr>
        <w:spacing w:after="0" w:line="6" w:lineRule="exact"/>
        <w:rPr>
          <w:rFonts w:ascii="Arial" w:cs="Arial" w:eastAsia="Arial" w:hAnsi="Arial"/>
          <w:sz w:val="22"/>
          <w:szCs w:val="22"/>
          <w:color w:val="auto"/>
        </w:rPr>
      </w:pPr>
    </w:p>
    <w:p>
      <w:pPr>
        <w:ind w:left="640" w:hanging="308"/>
        <w:spacing w:after="0"/>
        <w:tabs>
          <w:tab w:leader="none" w:pos="640" w:val="left"/>
        </w:tabs>
        <w:numPr>
          <w:ilvl w:val="0"/>
          <w:numId w:val="88"/>
        </w:numPr>
        <w:rPr>
          <w:rFonts w:ascii="Arial" w:cs="Arial" w:eastAsia="Arial" w:hAnsi="Arial"/>
          <w:sz w:val="22"/>
          <w:szCs w:val="22"/>
          <w:color w:val="auto"/>
        </w:rPr>
      </w:pPr>
      <w:r>
        <w:rPr>
          <w:rFonts w:ascii="Calibri" w:cs="Calibri" w:eastAsia="Calibri" w:hAnsi="Calibri"/>
          <w:sz w:val="18"/>
          <w:szCs w:val="18"/>
          <w:u w:val="single" w:color="auto"/>
          <w:color w:val="auto"/>
        </w:rPr>
        <w:t>Certfcatons</w:t>
      </w:r>
      <w:r>
        <w:rPr>
          <w:rFonts w:ascii="Calibri" w:cs="Calibri" w:eastAsia="Calibri" w:hAnsi="Calibri"/>
          <w:sz w:val="18"/>
          <w:szCs w:val="18"/>
          <w:color w:val="auto"/>
        </w:rPr>
        <w:t>. By executng this Agreement, which includes the Partcipant Obligatons set forth above, the Partcipant certfes that the Partcipant:</w:t>
      </w:r>
    </w:p>
    <w:p>
      <w:pPr>
        <w:spacing w:after="0" w:line="23" w:lineRule="exact"/>
        <w:rPr>
          <w:rFonts w:ascii="Arial" w:cs="Arial" w:eastAsia="Arial" w:hAnsi="Arial"/>
          <w:sz w:val="22"/>
          <w:szCs w:val="22"/>
          <w:color w:val="auto"/>
        </w:rPr>
      </w:pPr>
    </w:p>
    <w:p>
      <w:pPr>
        <w:jc w:val="both"/>
        <w:ind w:left="660" w:hanging="4"/>
        <w:spacing w:after="0" w:line="214" w:lineRule="auto"/>
        <w:tabs>
          <w:tab w:leader="none" w:pos="917"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has not and will not use or disclose to the Company or its Afliates any confdental informaton and/or trade secrets belonging to others, including the Partcipant’s prior employers; (b) will not use any prior inventons made by the Partcipant and which the Company and its Afliates is not legally enttled to learn of or use; and (c) is not subject to any prior agreements that would prevent the Partcipant from fully performing the Partcipant’s dutes for the Company and its Afliates.</w:t>
      </w: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315" w:lineRule="exact"/>
        <w:rPr>
          <w:rFonts w:ascii="Calibri" w:cs="Calibri" w:eastAsia="Calibri" w:hAnsi="Calibri"/>
          <w:sz w:val="13"/>
          <w:szCs w:val="13"/>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Exhibit 1 State and Other Specifc Requirements</w:t>
      </w:r>
    </w:p>
    <w:p>
      <w:pPr>
        <w:jc w:val="center"/>
        <w:spacing w:after="0" w:line="206" w:lineRule="auto"/>
        <w:rPr>
          <w:sz w:val="20"/>
          <w:szCs w:val="20"/>
          <w:color w:val="auto"/>
        </w:rPr>
      </w:pPr>
      <w:r>
        <w:rPr>
          <w:rFonts w:ascii="Calibri" w:cs="Calibri" w:eastAsia="Calibri" w:hAnsi="Calibri"/>
          <w:sz w:val="18"/>
          <w:szCs w:val="18"/>
          <w:b w:val="1"/>
          <w:bCs w:val="1"/>
          <w:color w:val="auto"/>
        </w:rPr>
        <w:t>COLORADO</w:t>
      </w:r>
    </w:p>
    <w:p>
      <w:pPr>
        <w:sectPr>
          <w:pgSz w:w="11900" w:h="16838" w:orient="portrait"/>
          <w:cols w:equalWidth="0" w:num="1">
            <w:col w:w="11240"/>
          </w:cols>
          <w:pgMar w:left="320" w:top="1290" w:right="339" w:bottom="1440" w:gutter="0" w:footer="0" w:header="0"/>
        </w:sectPr>
      </w:pPr>
    </w:p>
    <w:p>
      <w:pPr>
        <w:ind w:left="660"/>
        <w:spacing w:after="0" w:line="222" w:lineRule="auto"/>
        <w:rPr>
          <w:sz w:val="20"/>
          <w:szCs w:val="20"/>
          <w:color w:val="auto"/>
        </w:rPr>
      </w:pPr>
      <w:r>
        <w:rPr>
          <w:rFonts w:ascii="Calibri" w:cs="Calibri" w:eastAsia="Calibri" w:hAnsi="Calibri"/>
          <w:sz w:val="18"/>
          <w:szCs w:val="18"/>
          <w:color w:val="auto"/>
        </w:rPr>
        <w:t xml:space="preserve">Paragraph 2(g)(v) </w:t>
      </w:r>
      <w:r>
        <w:rPr>
          <w:rFonts w:ascii="Calibri" w:cs="Calibri" w:eastAsia="Calibri" w:hAnsi="Calibri"/>
          <w:sz w:val="21"/>
          <w:szCs w:val="21"/>
          <w:color w:val="auto"/>
        </w:rPr>
        <w:t>does not apply unless the employee who, when the covenant not</w:t>
      </w:r>
    </w:p>
    <w:p>
      <w:pPr>
        <w:spacing w:after="0" w:line="1" w:lineRule="exact"/>
        <w:rPr>
          <w:rFonts w:ascii="Calibri" w:cs="Calibri" w:eastAsia="Calibri" w:hAnsi="Calibri"/>
          <w:sz w:val="13"/>
          <w:szCs w:val="13"/>
          <w:color w:val="auto"/>
        </w:rPr>
      </w:pPr>
    </w:p>
    <w:p>
      <w:pPr>
        <w:ind w:right="1340"/>
        <w:spacing w:after="0" w:line="218" w:lineRule="auto"/>
        <w:rPr>
          <w:sz w:val="20"/>
          <w:szCs w:val="20"/>
          <w:color w:val="auto"/>
        </w:rPr>
      </w:pPr>
      <w:r>
        <w:rPr>
          <w:rFonts w:ascii="Calibri" w:cs="Calibri" w:eastAsia="Calibri" w:hAnsi="Calibri"/>
          <w:sz w:val="22"/>
          <w:szCs w:val="22"/>
          <w:color w:val="auto"/>
        </w:rPr>
        <w:t>enforced, earns at least $112,500 as of 2023 (adjusted on a yearly basis). who, when the covenant not</w:t>
      </w:r>
    </w:p>
    <w:p>
      <w:pPr>
        <w:spacing w:after="0" w:line="20" w:lineRule="exact"/>
        <w:rPr>
          <w:rFonts w:ascii="Calibri" w:cs="Calibri" w:eastAsia="Calibri" w:hAnsi="Calibri"/>
          <w:sz w:val="13"/>
          <w:szCs w:val="13"/>
          <w:color w:val="auto"/>
        </w:rPr>
      </w:pPr>
      <w:r>
        <w:rPr>
          <w:rFonts w:ascii="Calibri" w:cs="Calibri" w:eastAsia="Calibri" w:hAnsi="Calibri"/>
          <w:sz w:val="13"/>
          <w:szCs w:val="13"/>
          <w:color w:val="auto"/>
        </w:rPr>
        <w:br w:type="column"/>
      </w:r>
    </w:p>
    <w:p>
      <w:pPr>
        <w:ind w:firstLine="6"/>
        <w:spacing w:after="0" w:line="215" w:lineRule="auto"/>
        <w:rPr>
          <w:sz w:val="20"/>
          <w:szCs w:val="20"/>
          <w:color w:val="auto"/>
        </w:rPr>
      </w:pPr>
      <w:r>
        <w:rPr>
          <w:rFonts w:ascii="Calibri" w:cs="Calibri" w:eastAsia="Calibri" w:hAnsi="Calibri"/>
          <w:sz w:val="22"/>
          <w:szCs w:val="22"/>
          <w:color w:val="auto"/>
        </w:rPr>
        <w:t>to compete is signed and when it is does not apply unless the employee</w:t>
      </w:r>
    </w:p>
    <w:p>
      <w:pPr>
        <w:sectPr>
          <w:pgSz w:w="11900" w:h="16838" w:orient="portrait"/>
          <w:cols w:equalWidth="0" w:num="2">
            <w:col w:w="7920" w:space="60"/>
            <w:col w:w="3260"/>
          </w:cols>
          <w:pgMar w:left="320" w:top="1290" w:right="33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22"/>
          <w:szCs w:val="22"/>
          <w:color w:val="auto"/>
        </w:rPr>
        <w:t>to solicit is entered and when it is enforced, earns at least $67,500 as of 2023 (adjusted on a yearly basis).</w:t>
      </w:r>
    </w:p>
    <w:p>
      <w:pPr>
        <w:jc w:val="center"/>
        <w:spacing w:after="0" w:line="225" w:lineRule="auto"/>
        <w:rPr>
          <w:sz w:val="20"/>
          <w:szCs w:val="20"/>
          <w:color w:val="auto"/>
        </w:rPr>
      </w:pPr>
      <w:r>
        <w:rPr>
          <w:rFonts w:ascii="Calibri" w:cs="Calibri" w:eastAsia="Calibri" w:hAnsi="Calibri"/>
          <w:sz w:val="18"/>
          <w:szCs w:val="18"/>
          <w:b w:val="1"/>
          <w:bCs w:val="1"/>
          <w:color w:val="auto"/>
        </w:rPr>
        <w:t>DISTRICT OF COLUMBIA</w:t>
      </w:r>
    </w:p>
    <w:p>
      <w:pPr>
        <w:jc w:val="both"/>
        <w:ind w:firstLine="648"/>
        <w:spacing w:after="0" w:line="221" w:lineRule="auto"/>
        <w:rPr>
          <w:sz w:val="20"/>
          <w:szCs w:val="20"/>
          <w:color w:val="auto"/>
        </w:rPr>
      </w:pPr>
      <w:r>
        <w:rPr>
          <w:rFonts w:ascii="Calibri" w:cs="Calibri" w:eastAsia="Calibri" w:hAnsi="Calibri"/>
          <w:sz w:val="18"/>
          <w:szCs w:val="18"/>
          <w:color w:val="auto"/>
        </w:rPr>
        <w:t>Paragraph 2(g)(v) does not apply to employees earning less than $150,000 in 2023. This amount may increase each calendar year according to the Consumer Price Index for All Urban Consumers in the Washington Metropolitan Statstcal Area.</w:t>
      </w:r>
    </w:p>
    <w:p>
      <w:pPr>
        <w:jc w:val="center"/>
        <w:spacing w:after="0" w:line="221" w:lineRule="auto"/>
        <w:rPr>
          <w:sz w:val="20"/>
          <w:szCs w:val="20"/>
          <w:color w:val="auto"/>
        </w:rPr>
      </w:pPr>
      <w:r>
        <w:rPr>
          <w:rFonts w:ascii="Calibri" w:cs="Calibri" w:eastAsia="Calibri" w:hAnsi="Calibri"/>
          <w:sz w:val="18"/>
          <w:szCs w:val="18"/>
          <w:b w:val="1"/>
          <w:bCs w:val="1"/>
          <w:color w:val="auto"/>
        </w:rPr>
        <w:t>GEORGIA</w:t>
      </w: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Georgia, Paragraph 2(g)(iv) shall apply in the United States, which the employee agrees is a reasonable geographic territory in which the Company and/or an Afliate does business.</w:t>
      </w:r>
    </w:p>
    <w:p>
      <w:pPr>
        <w:jc w:val="center"/>
        <w:spacing w:after="0" w:line="206" w:lineRule="auto"/>
        <w:rPr>
          <w:sz w:val="20"/>
          <w:szCs w:val="20"/>
          <w:color w:val="auto"/>
        </w:rPr>
      </w:pPr>
      <w:r>
        <w:rPr>
          <w:rFonts w:ascii="Calibri" w:cs="Calibri" w:eastAsia="Calibri" w:hAnsi="Calibri"/>
          <w:sz w:val="18"/>
          <w:szCs w:val="18"/>
          <w:b w:val="1"/>
          <w:bCs w:val="1"/>
          <w:color w:val="auto"/>
        </w:rPr>
        <w:t>ILLINOIS</w:t>
      </w:r>
    </w:p>
    <w:p>
      <w:pPr>
        <w:ind w:left="660"/>
        <w:spacing w:after="0" w:line="235" w:lineRule="auto"/>
        <w:rPr>
          <w:sz w:val="20"/>
          <w:szCs w:val="20"/>
          <w:color w:val="auto"/>
        </w:rPr>
      </w:pPr>
      <w:r>
        <w:rPr>
          <w:rFonts w:ascii="Calibri" w:cs="Calibri" w:eastAsia="Calibri" w:hAnsi="Calibri"/>
          <w:sz w:val="17"/>
          <w:szCs w:val="17"/>
          <w:color w:val="auto"/>
        </w:rPr>
        <w:t>Paragraph 2(g)(v) does not apply unless the employee’s annual compensaton exceeds $75,000 per year (which statutorily increases every fve years).</w:t>
      </w:r>
    </w:p>
    <w:p>
      <w:pPr>
        <w:spacing w:after="0" w:line="221" w:lineRule="auto"/>
        <w:rPr>
          <w:sz w:val="20"/>
          <w:szCs w:val="20"/>
          <w:color w:val="auto"/>
        </w:rPr>
      </w:pPr>
      <w:r>
        <w:rPr>
          <w:rFonts w:ascii="Calibri" w:cs="Calibri" w:eastAsia="Calibri" w:hAnsi="Calibri"/>
          <w:sz w:val="18"/>
          <w:szCs w:val="18"/>
          <w:color w:val="auto"/>
        </w:rPr>
        <w:t>Paragraph 2(g)(iv) does not apply unless the employee’s annual compensaton exceeds $45,000 per year (which statutorily increases every 5 years).</w:t>
      </w:r>
    </w:p>
    <w:p>
      <w:pPr>
        <w:ind w:left="5220"/>
        <w:spacing w:after="0" w:line="221" w:lineRule="auto"/>
        <w:rPr>
          <w:sz w:val="20"/>
          <w:szCs w:val="20"/>
          <w:color w:val="auto"/>
        </w:rPr>
      </w:pPr>
      <w:r>
        <w:rPr>
          <w:rFonts w:ascii="Calibri" w:cs="Calibri" w:eastAsia="Calibri" w:hAnsi="Calibri"/>
          <w:sz w:val="18"/>
          <w:szCs w:val="18"/>
          <w:b w:val="1"/>
          <w:bCs w:val="1"/>
          <w:color w:val="auto"/>
        </w:rPr>
        <w:t>LOUISIANA</w:t>
      </w:r>
    </w:p>
    <w:p>
      <w:pPr>
        <w:ind w:left="660"/>
        <w:spacing w:after="0" w:line="221" w:lineRule="auto"/>
        <w:rPr>
          <w:sz w:val="20"/>
          <w:szCs w:val="20"/>
          <w:color w:val="auto"/>
        </w:rPr>
      </w:pPr>
      <w:r>
        <w:rPr>
          <w:rFonts w:ascii="Calibri" w:cs="Calibri" w:eastAsia="Calibri" w:hAnsi="Calibri"/>
          <w:sz w:val="18"/>
          <w:szCs w:val="18"/>
          <w:color w:val="auto"/>
        </w:rPr>
        <w:t>For employees who perform work in Louisiana, Paragraphs 2(g)(iv) and 2(g)(v) shall only apply in the St Tammany Parish.</w:t>
      </w:r>
    </w:p>
    <w:p>
      <w:pPr>
        <w:ind w:left="5380"/>
        <w:spacing w:after="0" w:line="221" w:lineRule="auto"/>
        <w:rPr>
          <w:sz w:val="20"/>
          <w:szCs w:val="20"/>
          <w:color w:val="auto"/>
        </w:rPr>
      </w:pPr>
      <w:r>
        <w:rPr>
          <w:rFonts w:ascii="Calibri" w:cs="Calibri" w:eastAsia="Calibri" w:hAnsi="Calibri"/>
          <w:sz w:val="18"/>
          <w:szCs w:val="18"/>
          <w:b w:val="1"/>
          <w:bCs w:val="1"/>
          <w:color w:val="auto"/>
        </w:rPr>
        <w:t>MAINE</w:t>
      </w:r>
    </w:p>
    <w:p>
      <w:pPr>
        <w:spacing w:after="0" w:line="1"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Maine when this Agreement is signed, Paragraphs 2(g)(iv) and 2(g)(v) do not take efect untl 6 months afer the Agreement is signed, or 12 months afer the employee’s start of employment with the Company and/or an Afliate for 12 months, whichever is later.</w:t>
      </w:r>
    </w:p>
    <w:p>
      <w:pPr>
        <w:ind w:left="5200"/>
        <w:spacing w:after="0" w:line="221" w:lineRule="auto"/>
        <w:rPr>
          <w:sz w:val="20"/>
          <w:szCs w:val="20"/>
          <w:color w:val="auto"/>
        </w:rPr>
      </w:pPr>
      <w:r>
        <w:rPr>
          <w:rFonts w:ascii="Calibri" w:cs="Calibri" w:eastAsia="Calibri" w:hAnsi="Calibri"/>
          <w:sz w:val="18"/>
          <w:szCs w:val="18"/>
          <w:b w:val="1"/>
          <w:bCs w:val="1"/>
          <w:color w:val="auto"/>
        </w:rPr>
        <w:t>MARYLAND</w:t>
      </w:r>
    </w:p>
    <w:p>
      <w:pPr>
        <w:ind w:left="660"/>
        <w:spacing w:after="0" w:line="221" w:lineRule="auto"/>
        <w:rPr>
          <w:sz w:val="20"/>
          <w:szCs w:val="20"/>
          <w:color w:val="auto"/>
        </w:rPr>
      </w:pPr>
      <w:r>
        <w:rPr>
          <w:rFonts w:ascii="Calibri" w:cs="Calibri" w:eastAsia="Calibri" w:hAnsi="Calibri"/>
          <w:sz w:val="18"/>
          <w:szCs w:val="18"/>
          <w:color w:val="auto"/>
        </w:rPr>
        <w:t>Paragraph 2(g)(v) does not apply if the employee earns equal to or less than (a) $15 per hour; or (b) $31,200 annually.</w:t>
      </w:r>
    </w:p>
    <w:p>
      <w:pPr>
        <w:ind w:left="4980"/>
        <w:spacing w:after="0" w:line="221" w:lineRule="auto"/>
        <w:rPr>
          <w:sz w:val="20"/>
          <w:szCs w:val="20"/>
          <w:color w:val="auto"/>
        </w:rPr>
      </w:pPr>
      <w:r>
        <w:rPr>
          <w:rFonts w:ascii="Calibri" w:cs="Calibri" w:eastAsia="Calibri" w:hAnsi="Calibri"/>
          <w:sz w:val="18"/>
          <w:szCs w:val="18"/>
          <w:b w:val="1"/>
          <w:bCs w:val="1"/>
          <w:color w:val="auto"/>
        </w:rPr>
        <w:t>MASSACHUSETTS</w:t>
      </w:r>
    </w:p>
    <w:p>
      <w:pPr>
        <w:spacing w:after="0" w:line="15"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18"/>
          <w:szCs w:val="18"/>
          <w:color w:val="auto"/>
        </w:rPr>
        <w:t>For employees working in Massachusets, Paragraph 2(o) of the Agreement will not apply. Further, if the Company chooses to enforce the non-competton provisions set forth in Paragraph 2(g)(v) of the Agreement, then the Company will contnue to pay the employee at least 50% of the employee’s highest base salary that the employee earned at the Company or an Afliate (as applicable) in the 2 years before the end of employee’s employment. The Company will pay this amount for 12 months following the employee’s terminaton. The restricton set forth in Paragraph 2(g)(v) of the Agreement will not apply if the employee is involuntarily terminated without cause.</w:t>
      </w:r>
    </w:p>
    <w:p>
      <w:pPr>
        <w:ind w:left="5320"/>
        <w:spacing w:after="0" w:line="224" w:lineRule="auto"/>
        <w:rPr>
          <w:sz w:val="20"/>
          <w:szCs w:val="20"/>
          <w:color w:val="auto"/>
        </w:rPr>
      </w:pPr>
      <w:r>
        <w:rPr>
          <w:rFonts w:ascii="Calibri" w:cs="Calibri" w:eastAsia="Calibri" w:hAnsi="Calibri"/>
          <w:sz w:val="18"/>
          <w:szCs w:val="18"/>
          <w:b w:val="1"/>
          <w:bCs w:val="1"/>
          <w:color w:val="auto"/>
        </w:rPr>
        <w:t>NEVADA</w:t>
      </w:r>
    </w:p>
    <w:p>
      <w:pPr>
        <w:ind w:left="660"/>
        <w:spacing w:after="0" w:line="222" w:lineRule="auto"/>
        <w:rPr>
          <w:sz w:val="20"/>
          <w:szCs w:val="20"/>
          <w:color w:val="auto"/>
        </w:rPr>
      </w:pPr>
      <w:r>
        <w:rPr>
          <w:rFonts w:ascii="Calibri" w:cs="Calibri" w:eastAsia="Calibri" w:hAnsi="Calibri"/>
          <w:sz w:val="18"/>
          <w:szCs w:val="18"/>
          <w:color w:val="auto"/>
        </w:rPr>
        <w:t>Paragraph 2(g)(v) does not apply if the employee is paid solely on an hourly wage basis, exclusive of any tps or gratuites.</w:t>
      </w:r>
    </w:p>
    <w:p>
      <w:pPr>
        <w:ind w:left="4980"/>
        <w:spacing w:after="0" w:line="221" w:lineRule="auto"/>
        <w:rPr>
          <w:sz w:val="20"/>
          <w:szCs w:val="20"/>
          <w:color w:val="auto"/>
        </w:rPr>
      </w:pPr>
      <w:r>
        <w:rPr>
          <w:rFonts w:ascii="Calibri" w:cs="Calibri" w:eastAsia="Calibri" w:hAnsi="Calibri"/>
          <w:sz w:val="18"/>
          <w:szCs w:val="18"/>
          <w:b w:val="1"/>
          <w:bCs w:val="1"/>
          <w:color w:val="auto"/>
        </w:rPr>
        <w:t>NEW HAMPSHIRE</w:t>
      </w:r>
    </w:p>
    <w:p>
      <w:pPr>
        <w:ind w:left="660"/>
        <w:spacing w:after="0" w:line="221" w:lineRule="auto"/>
        <w:rPr>
          <w:sz w:val="20"/>
          <w:szCs w:val="20"/>
          <w:color w:val="auto"/>
        </w:rPr>
      </w:pPr>
      <w:r>
        <w:rPr>
          <w:rFonts w:ascii="Calibri" w:cs="Calibri" w:eastAsia="Calibri" w:hAnsi="Calibri"/>
          <w:sz w:val="18"/>
          <w:szCs w:val="18"/>
          <w:color w:val="auto"/>
        </w:rPr>
        <w:t>Paragraph 2(g)(v) does not apply if the employee earns an hourly rate less than or equal to 200 percent of the federal minimum wage.</w:t>
      </w:r>
    </w:p>
    <w:p>
      <w:pPr>
        <w:ind w:left="5040"/>
        <w:spacing w:after="0" w:line="221" w:lineRule="auto"/>
        <w:rPr>
          <w:sz w:val="20"/>
          <w:szCs w:val="20"/>
          <w:color w:val="auto"/>
        </w:rPr>
      </w:pPr>
      <w:r>
        <w:rPr>
          <w:rFonts w:ascii="Calibri" w:cs="Calibri" w:eastAsia="Calibri" w:hAnsi="Calibri"/>
          <w:sz w:val="18"/>
          <w:szCs w:val="18"/>
          <w:b w:val="1"/>
          <w:bCs w:val="1"/>
          <w:color w:val="auto"/>
        </w:rPr>
        <w:t>NORTH DAKOTA</w:t>
      </w:r>
    </w:p>
    <w:p>
      <w:pPr>
        <w:spacing w:after="0" w:line="1"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North Dakota at the tme of executon of this Agreement (including the Partcipant Obligatons incorporated herein), Paragraphs 2(g)(iv) and 2(g)(v) will not apply.</w:t>
      </w:r>
    </w:p>
    <w:p>
      <w:pPr>
        <w:jc w:val="center"/>
        <w:spacing w:after="0" w:line="221" w:lineRule="auto"/>
        <w:rPr>
          <w:sz w:val="20"/>
          <w:szCs w:val="20"/>
          <w:color w:val="auto"/>
        </w:rPr>
      </w:pPr>
      <w:r>
        <w:rPr>
          <w:rFonts w:ascii="Calibri" w:cs="Calibri" w:eastAsia="Calibri" w:hAnsi="Calibri"/>
          <w:sz w:val="18"/>
          <w:szCs w:val="18"/>
          <w:b w:val="1"/>
          <w:bCs w:val="1"/>
          <w:color w:val="auto"/>
        </w:rPr>
        <w:t>OKLAHOMA</w:t>
      </w:r>
    </w:p>
    <w:p>
      <w:pPr>
        <w:jc w:val="both"/>
        <w:ind w:firstLine="648"/>
        <w:spacing w:after="0" w:line="216" w:lineRule="auto"/>
        <w:rPr>
          <w:sz w:val="20"/>
          <w:szCs w:val="20"/>
          <w:color w:val="auto"/>
        </w:rPr>
      </w:pPr>
      <w:r>
        <w:rPr>
          <w:rFonts w:ascii="Calibri" w:cs="Calibri" w:eastAsia="Calibri" w:hAnsi="Calibri"/>
          <w:sz w:val="18"/>
          <w:szCs w:val="18"/>
          <w:color w:val="auto"/>
        </w:rPr>
        <w:t>For employees residing in Oklahoma at the tme of executon of this Agreement (including the Partcipant Obligatons incorporated herein), Paragraph 2(g)(v) will not apply and Paragraph 2(g)(iv) will only apply to the extent that Paragraph prohibits the employee from directly solicitng the sale of goods, services or a combinaton of goods and services from the established customers of the Company and/or its Afliates.</w:t>
      </w:r>
    </w:p>
    <w:p>
      <w:pPr>
        <w:jc w:val="center"/>
        <w:spacing w:after="0" w:line="221" w:lineRule="auto"/>
        <w:rPr>
          <w:sz w:val="20"/>
          <w:szCs w:val="20"/>
          <w:color w:val="auto"/>
        </w:rPr>
      </w:pPr>
      <w:r>
        <w:rPr>
          <w:rFonts w:ascii="Calibri" w:cs="Calibri" w:eastAsia="Calibri" w:hAnsi="Calibri"/>
          <w:sz w:val="18"/>
          <w:szCs w:val="18"/>
          <w:b w:val="1"/>
          <w:bCs w:val="1"/>
          <w:color w:val="auto"/>
        </w:rPr>
        <w:t>OREGON</w:t>
      </w:r>
    </w:p>
    <w:p>
      <w:pPr>
        <w:spacing w:after="0" w:line="1"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Oregon when they sign this Agreement (including the Partcipant Obligatons incorporated herein), the Company shall provide a copy of a signed, writen copy of the Agreement (including the Partcipant Obligatons incorporated herein) within 30 days afer the date of terminaton of the employee’s employment with the Company or its Afliate, as applicable. Paragraph 2(g)(v) shall only apply if the total amount of the employee's annual compensaton, at the tme of the employee's terminaton, exceeds $100,533, adjusted annually for infaton pursuant to the Consumer Price Index for All Urban Consumers, West Region (All Items).</w:t>
      </w:r>
    </w:p>
    <w:p>
      <w:pPr>
        <w:jc w:val="center"/>
        <w:spacing w:after="0" w:line="222" w:lineRule="auto"/>
        <w:rPr>
          <w:sz w:val="20"/>
          <w:szCs w:val="20"/>
          <w:color w:val="auto"/>
        </w:rPr>
      </w:pPr>
      <w:r>
        <w:rPr>
          <w:rFonts w:ascii="Calibri" w:cs="Calibri" w:eastAsia="Calibri" w:hAnsi="Calibri"/>
          <w:sz w:val="18"/>
          <w:szCs w:val="18"/>
          <w:b w:val="1"/>
          <w:bCs w:val="1"/>
          <w:color w:val="auto"/>
        </w:rPr>
        <w:t>VIRGINIA</w:t>
      </w:r>
    </w:p>
    <w:p>
      <w:pPr>
        <w:jc w:val="both"/>
        <w:ind w:firstLine="648"/>
        <w:spacing w:after="0" w:line="221" w:lineRule="auto"/>
        <w:rPr>
          <w:sz w:val="20"/>
          <w:szCs w:val="20"/>
          <w:color w:val="auto"/>
        </w:rPr>
      </w:pPr>
      <w:r>
        <w:rPr>
          <w:rFonts w:ascii="Calibri" w:cs="Calibri" w:eastAsia="Calibri" w:hAnsi="Calibri"/>
          <w:sz w:val="18"/>
          <w:szCs w:val="18"/>
          <w:color w:val="auto"/>
        </w:rPr>
        <w:t>Paragraph 2(g)(v) does not apply if an employee’s average weekly earnings are less than the average weekly wage of the Commonwealth as determined pursuant to subsecton B of § 65.2-500.</w:t>
      </w:r>
    </w:p>
    <w:p>
      <w:pPr>
        <w:jc w:val="center"/>
        <w:spacing w:after="0" w:line="221" w:lineRule="auto"/>
        <w:rPr>
          <w:sz w:val="20"/>
          <w:szCs w:val="20"/>
          <w:color w:val="auto"/>
        </w:rPr>
      </w:pPr>
      <w:r>
        <w:rPr>
          <w:rFonts w:ascii="Calibri" w:cs="Calibri" w:eastAsia="Calibri" w:hAnsi="Calibri"/>
          <w:sz w:val="18"/>
          <w:szCs w:val="18"/>
          <w:b w:val="1"/>
          <w:bCs w:val="1"/>
          <w:color w:val="auto"/>
        </w:rPr>
        <w:t>WASHINGTON</w:t>
      </w:r>
    </w:p>
    <w:p>
      <w:pPr>
        <w:sectPr>
          <w:pgSz w:w="11900" w:h="16838" w:orient="portrait"/>
          <w:cols w:equalWidth="0" w:num="1">
            <w:col w:w="11240"/>
          </w:cols>
          <w:pgMar w:left="320" w:top="1383" w:right="339" w:bottom="1440" w:gutter="0" w:footer="0" w:header="0"/>
        </w:sectPr>
      </w:pPr>
    </w:p>
    <w:bookmarkStart w:id="88" w:name="page89"/>
    <w:bookmarkEnd w:id="88"/>
    <w:p>
      <w:pPr>
        <w:jc w:val="both"/>
        <w:ind w:firstLine="648"/>
        <w:spacing w:after="0" w:line="242" w:lineRule="auto"/>
        <w:rPr>
          <w:sz w:val="20"/>
          <w:szCs w:val="20"/>
          <w:color w:val="auto"/>
        </w:rPr>
      </w:pPr>
      <w:r>
        <w:rPr>
          <w:rFonts w:ascii="Calibri" w:cs="Calibri" w:eastAsia="Calibri" w:hAnsi="Calibri"/>
          <w:sz w:val="17"/>
          <w:szCs w:val="17"/>
          <w:color w:val="auto"/>
        </w:rPr>
        <w:t>For employees residing in Washington, Paragraph 2(o) will not apply. Further, if an employee is terminated as the result of a layof, and the Company chooses to enforce the non-competton provisions set forth in Paragraph 2(g)(v) of the Agreement, then the Company or its Afliate, as applicable, will contnue to pay the Employee’s base salary for twelve months following the layof , less any earnings the employee has received from the employee’s then-current employer. Paragraph 2(g)(v) shall only apply if the employee’s earnings, when annualized, exceed $100,000 per year, to be adjusted for infaton.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hanging="252"/>
        <w:spacing w:after="0"/>
        <w:tabs>
          <w:tab w:leader="none" w:pos="260" w:val="left"/>
        </w:tabs>
        <w:numPr>
          <w:ilvl w:val="0"/>
          <w:numId w:val="89"/>
        </w:numPr>
        <w:rPr>
          <w:rFonts w:ascii="Calibri" w:cs="Calibri" w:eastAsia="Calibri" w:hAnsi="Calibri"/>
          <w:sz w:val="18"/>
          <w:szCs w:val="18"/>
          <w:color w:val="0000FF"/>
        </w:rPr>
      </w:pPr>
      <w:r>
        <w:rPr>
          <w:rFonts w:ascii="Calibri" w:cs="Calibri" w:eastAsia="Calibri" w:hAnsi="Calibri"/>
          <w:sz w:val="22"/>
          <w:szCs w:val="22"/>
          <w:color w:val="auto"/>
        </w:rPr>
        <w:t>This term carries the same meaning as how it is defned in Xylem’s Omnibus Incentve Plan.</w:t>
      </w:r>
    </w:p>
    <w:p>
      <w:pPr>
        <w:sectPr>
          <w:pgSz w:w="11900" w:h="16838" w:orient="portrait"/>
          <w:cols w:equalWidth="0" w:num="1">
            <w:col w:w="11240"/>
          </w:cols>
          <w:pgMar w:left="320" w:top="1427" w:right="339" w:bottom="1440" w:gutter="0" w:footer="0" w:header="0"/>
        </w:sectPr>
      </w:pPr>
    </w:p>
    <w:bookmarkStart w:id="89" w:name="page90"/>
    <w:bookmarkEnd w:id="89"/>
    <w:p>
      <w:pPr>
        <w:jc w:val="center"/>
        <w:ind w:right="-19"/>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2011 OMNIBUS INCENTIVE PLAN</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“[YEAR]” RESTRICTED STOCK UNIT GRANT AGREEMENT</w:t>
      </w:r>
    </w:p>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color w:val="auto"/>
        </w:rPr>
        <w:t>This Agreement (the “</w:t>
      </w:r>
      <w:r>
        <w:rPr>
          <w:rFonts w:ascii="Calibri" w:cs="Calibri" w:eastAsia="Calibri" w:hAnsi="Calibri"/>
          <w:sz w:val="21"/>
          <w:szCs w:val="21"/>
          <w:b w:val="1"/>
          <w:bCs w:val="1"/>
          <w:color w:val="auto"/>
        </w:rPr>
        <w:t>Agreement</w:t>
      </w:r>
      <w:r>
        <w:rPr>
          <w:rFonts w:ascii="Calibri" w:cs="Calibri" w:eastAsia="Calibri" w:hAnsi="Calibri"/>
          <w:sz w:val="18"/>
          <w:szCs w:val="18"/>
          <w:color w:val="auto"/>
        </w:rPr>
        <w:t>”) between Xylem Inc. (the “</w:t>
      </w:r>
      <w:r>
        <w:rPr>
          <w:rFonts w:ascii="Calibri" w:cs="Calibri" w:eastAsia="Calibri" w:hAnsi="Calibri"/>
          <w:sz w:val="21"/>
          <w:szCs w:val="21"/>
          <w:b w:val="1"/>
          <w:bCs w:val="1"/>
          <w:color w:val="auto"/>
        </w:rPr>
        <w:t>Company</w:t>
      </w:r>
      <w:r>
        <w:rPr>
          <w:rFonts w:ascii="Calibri" w:cs="Calibri" w:eastAsia="Calibri" w:hAnsi="Calibri"/>
          <w:sz w:val="18"/>
          <w:szCs w:val="18"/>
          <w:color w:val="auto"/>
        </w:rPr>
        <w:t xml:space="preserve">”) and </w:t>
      </w:r>
      <w:r>
        <w:rPr>
          <w:rFonts w:ascii="Calibri" w:cs="Calibri" w:eastAsia="Calibri" w:hAnsi="Calibri"/>
          <w:sz w:val="21"/>
          <w:szCs w:val="21"/>
          <w:b w:val="1"/>
          <w:bCs w:val="1"/>
          <w:color w:val="auto"/>
        </w:rPr>
        <w:t>###PARTICIPANT_NAME###</w:t>
      </w:r>
      <w:r>
        <w:rPr>
          <w:rFonts w:ascii="Calibri" w:cs="Calibri" w:eastAsia="Calibri" w:hAnsi="Calibri"/>
          <w:sz w:val="18"/>
          <w:szCs w:val="18"/>
          <w:color w:val="auto"/>
        </w:rPr>
        <w:t xml:space="preserve"> (the “</w:t>
      </w:r>
      <w:r>
        <w:rPr>
          <w:rFonts w:ascii="Calibri" w:cs="Calibri" w:eastAsia="Calibri" w:hAnsi="Calibri"/>
          <w:sz w:val="21"/>
          <w:szCs w:val="21"/>
          <w:b w:val="1"/>
          <w:bCs w:val="1"/>
          <w:color w:val="auto"/>
        </w:rPr>
        <w:t>Partcipant</w:t>
      </w:r>
      <w:r>
        <w:rPr>
          <w:rFonts w:ascii="Calibri" w:cs="Calibri" w:eastAsia="Calibri" w:hAnsi="Calibri"/>
          <w:sz w:val="18"/>
          <w:szCs w:val="18"/>
          <w:color w:val="auto"/>
        </w:rPr>
        <w:t>”) is efectve as of</w:t>
      </w:r>
    </w:p>
    <w:p>
      <w:pPr>
        <w:spacing w:after="0" w:line="218" w:lineRule="auto"/>
        <w:rPr>
          <w:sz w:val="20"/>
          <w:szCs w:val="20"/>
          <w:color w:val="auto"/>
        </w:rPr>
      </w:pPr>
      <w:r>
        <w:rPr>
          <w:rFonts w:ascii="Calibri" w:cs="Calibri" w:eastAsia="Calibri" w:hAnsi="Calibri"/>
          <w:sz w:val="22"/>
          <w:szCs w:val="22"/>
          <w:b w:val="1"/>
          <w:bCs w:val="1"/>
          <w:color w:val="auto"/>
        </w:rPr>
        <w:t>###GRANT_DATE###</w:t>
      </w:r>
      <w:r>
        <w:rPr>
          <w:rFonts w:ascii="Calibri" w:cs="Calibri" w:eastAsia="Calibri" w:hAnsi="Calibri"/>
          <w:sz w:val="17"/>
          <w:szCs w:val="17"/>
          <w:color w:val="auto"/>
        </w:rPr>
        <w:t>. Capitalized terms that are not defned in this Agreement are defned in the Company’s 2011 Omnibus Incentve Plan (Amended</w:t>
      </w:r>
    </w:p>
    <w:p>
      <w:pPr>
        <w:spacing w:after="0" w:line="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and Restated February 24, 2016) (the “</w:t>
      </w:r>
      <w:r>
        <w:rPr>
          <w:rFonts w:ascii="Calibri" w:cs="Calibri" w:eastAsia="Calibri" w:hAnsi="Calibri"/>
          <w:sz w:val="21"/>
          <w:szCs w:val="21"/>
          <w:b w:val="1"/>
          <w:bCs w:val="1"/>
          <w:color w:val="auto"/>
        </w:rPr>
        <w:t>Plan</w:t>
      </w:r>
      <w:r>
        <w:rPr>
          <w:rFonts w:ascii="Calibri" w:cs="Calibri" w:eastAsia="Calibri" w:hAnsi="Calibri"/>
          <w:sz w:val="18"/>
          <w:szCs w:val="18"/>
          <w:color w:val="auto"/>
        </w:rPr>
        <w:t>”). This Agreement is only being provided in English. The Partcipant is an employee of the Company or an Afliate. In recogniton of the Partcipant’s valued services, the Company, through the Leadership Development and Compensaton Commitee of its Board of Directors (the “</w:t>
      </w:r>
      <w:r>
        <w:rPr>
          <w:rFonts w:ascii="Calibri" w:cs="Calibri" w:eastAsia="Calibri" w:hAnsi="Calibri"/>
          <w:sz w:val="21"/>
          <w:szCs w:val="21"/>
          <w:b w:val="1"/>
          <w:bCs w:val="1"/>
          <w:color w:val="auto"/>
        </w:rPr>
        <w:t>Commitee</w:t>
      </w:r>
      <w:r>
        <w:rPr>
          <w:rFonts w:ascii="Calibri" w:cs="Calibri" w:eastAsia="Calibri" w:hAnsi="Calibri"/>
          <w:sz w:val="18"/>
          <w:szCs w:val="18"/>
          <w:color w:val="auto"/>
        </w:rPr>
        <w:t>”), is providing the Partcipant an inducement to remain employed and an incentve for increased eforts while employed. In consideraton of the terms and conditons in this Agreement, the partes agree as follows:</w:t>
      </w:r>
    </w:p>
    <w:p>
      <w:pPr>
        <w:spacing w:after="0" w:line="4"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Grant of Restricted Stock Units</w:t>
      </w:r>
      <w:r>
        <w:rPr>
          <w:rFonts w:ascii="Calibri" w:cs="Calibri" w:eastAsia="Calibri" w:hAnsi="Calibri"/>
          <w:sz w:val="18"/>
          <w:szCs w:val="18"/>
          <w:color w:val="auto"/>
        </w:rPr>
        <w:t>. The Company hereby confrms the grant on</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###GRANT_DATE###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w:t>
      </w:r>
      <w:r>
        <w:rPr>
          <w:rFonts w:ascii="Calibri" w:cs="Calibri" w:eastAsia="Calibri" w:hAnsi="Calibri"/>
          <w:sz w:val="21"/>
          <w:szCs w:val="21"/>
          <w:b w:val="1"/>
          <w:bCs w:val="1"/>
          <w:color w:val="auto"/>
        </w:rPr>
        <w:t>Grant Date</w:t>
      </w:r>
      <w:r>
        <w:rPr>
          <w:rFonts w:ascii="Calibri" w:cs="Calibri" w:eastAsia="Calibri" w:hAnsi="Calibri"/>
          <w:sz w:val="18"/>
          <w:szCs w:val="18"/>
          <w:color w:val="auto"/>
        </w:rPr>
        <w:t>”) to the Partcipant of</w:t>
      </w:r>
    </w:p>
    <w:p>
      <w:pPr>
        <w:spacing w:after="0" w:line="14" w:lineRule="exact"/>
        <w:rPr>
          <w:rFonts w:ascii="Arial" w:cs="Arial" w:eastAsia="Arial" w:hAnsi="Arial"/>
          <w:sz w:val="22"/>
          <w:szCs w:val="22"/>
          <w:color w:val="auto"/>
        </w:rPr>
      </w:pPr>
    </w:p>
    <w:p>
      <w:pPr>
        <w:ind w:left="660"/>
        <w:spacing w:after="0" w:line="204" w:lineRule="auto"/>
        <w:rPr>
          <w:rFonts w:ascii="Arial" w:cs="Arial" w:eastAsia="Arial" w:hAnsi="Arial"/>
          <w:sz w:val="22"/>
          <w:szCs w:val="22"/>
          <w:color w:val="auto"/>
        </w:rPr>
      </w:pPr>
      <w:r>
        <w:rPr>
          <w:rFonts w:ascii="Calibri" w:cs="Calibri" w:eastAsia="Calibri" w:hAnsi="Calibri"/>
          <w:sz w:val="22"/>
          <w:szCs w:val="22"/>
          <w:b w:val="1"/>
          <w:bCs w:val="1"/>
          <w:color w:val="auto"/>
        </w:rPr>
        <w:t xml:space="preserve">###TOTAL_AWARDS### </w:t>
      </w:r>
      <w:r>
        <w:rPr>
          <w:rFonts w:ascii="Calibri" w:cs="Calibri" w:eastAsia="Calibri" w:hAnsi="Calibri"/>
          <w:sz w:val="17"/>
          <w:szCs w:val="17"/>
          <w:color w:val="auto"/>
        </w:rPr>
        <w:t>Restricted Stock Units (“</w:t>
      </w:r>
      <w:r>
        <w:rPr>
          <w:rFonts w:ascii="Calibri" w:cs="Calibri" w:eastAsia="Calibri" w:hAnsi="Calibri"/>
          <w:sz w:val="22"/>
          <w:szCs w:val="22"/>
          <w:b w:val="1"/>
          <w:bCs w:val="1"/>
          <w:color w:val="auto"/>
        </w:rPr>
        <w:t>RSUs</w:t>
      </w:r>
      <w:r>
        <w:rPr>
          <w:rFonts w:ascii="Calibri" w:cs="Calibri" w:eastAsia="Calibri" w:hAnsi="Calibri"/>
          <w:sz w:val="17"/>
          <w:szCs w:val="17"/>
          <w:color w:val="auto"/>
        </w:rPr>
        <w:t>”). The RSUs are notonal units of measurement denominated in Shares of common</w:t>
      </w:r>
    </w:p>
    <w:p>
      <w:pPr>
        <w:ind w:left="660"/>
        <w:spacing w:after="0" w:line="228" w:lineRule="auto"/>
        <w:rPr>
          <w:sz w:val="20"/>
          <w:szCs w:val="20"/>
          <w:color w:val="auto"/>
        </w:rPr>
      </w:pPr>
      <w:r>
        <w:rPr>
          <w:rFonts w:ascii="Calibri" w:cs="Calibri" w:eastAsia="Calibri" w:hAnsi="Calibri"/>
          <w:sz w:val="18"/>
          <w:szCs w:val="18"/>
          <w:color w:val="auto"/>
        </w:rPr>
        <w:t>stock (</w:t>
      </w:r>
      <w:r>
        <w:rPr>
          <w:rFonts w:ascii="Calibri" w:cs="Calibri" w:eastAsia="Calibri" w:hAnsi="Calibri"/>
          <w:sz w:val="21"/>
          <w:szCs w:val="21"/>
          <w:i w:val="1"/>
          <w:iCs w:val="1"/>
          <w:color w:val="auto"/>
        </w:rPr>
        <w:t>i.e</w:t>
      </w:r>
      <w:r>
        <w:rPr>
          <w:rFonts w:ascii="Calibri" w:cs="Calibri" w:eastAsia="Calibri" w:hAnsi="Calibri"/>
          <w:sz w:val="18"/>
          <w:szCs w:val="18"/>
          <w:color w:val="auto"/>
        </w:rPr>
        <w:t>., one RSU is equivalent in value to one Share of common stock of the Company).</w:t>
      </w:r>
    </w:p>
    <w:p>
      <w:pPr>
        <w:ind w:right="100" w:firstLine="324"/>
        <w:spacing w:after="0" w:line="223" w:lineRule="auto"/>
        <w:rPr>
          <w:sz w:val="20"/>
          <w:szCs w:val="20"/>
          <w:color w:val="auto"/>
        </w:rPr>
      </w:pPr>
      <w:r>
        <w:rPr>
          <w:rFonts w:ascii="Calibri" w:cs="Calibri" w:eastAsia="Calibri" w:hAnsi="Calibri"/>
          <w:sz w:val="18"/>
          <w:szCs w:val="18"/>
          <w:color w:val="auto"/>
        </w:rPr>
        <w:t>The RSUs represent an unfunded, unsecured right to receive Shares and dividend equivalent payments in the future if the conditons in the Plan and this Agreement are satsfed.</w:t>
      </w:r>
    </w:p>
    <w:p>
      <w:pPr>
        <w:ind w:left="340"/>
        <w:spacing w:after="0" w:line="221" w:lineRule="auto"/>
        <w:rPr>
          <w:sz w:val="20"/>
          <w:szCs w:val="20"/>
          <w:color w:val="auto"/>
        </w:rPr>
      </w:pPr>
      <w:r>
        <w:rPr>
          <w:rFonts w:ascii="Calibri" w:cs="Calibri" w:eastAsia="Calibri" w:hAnsi="Calibri"/>
          <w:sz w:val="18"/>
          <w:szCs w:val="18"/>
          <w:b w:val="1"/>
          <w:bCs w:val="1"/>
          <w:color w:val="auto"/>
        </w:rPr>
        <w:t>Nature of the Grant:</w:t>
      </w:r>
    </w:p>
    <w:p>
      <w:pPr>
        <w:spacing w:after="0" w:line="42" w:lineRule="exact"/>
        <w:rPr>
          <w:sz w:val="20"/>
          <w:szCs w:val="20"/>
          <w:color w:val="auto"/>
        </w:rPr>
      </w:pPr>
    </w:p>
    <w:p>
      <w:pPr>
        <w:jc w:val="both"/>
        <w:ind w:left="660" w:hanging="328"/>
        <w:spacing w:after="0" w:line="214" w:lineRule="auto"/>
        <w:tabs>
          <w:tab w:leader="none" w:pos="651" w:val="left"/>
        </w:tabs>
        <w:numPr>
          <w:ilvl w:val="0"/>
          <w:numId w:val="91"/>
        </w:numPr>
        <w:rPr>
          <w:rFonts w:ascii="Arial" w:cs="Arial" w:eastAsia="Arial" w:hAnsi="Arial"/>
          <w:sz w:val="22"/>
          <w:szCs w:val="22"/>
          <w:color w:val="auto"/>
        </w:rPr>
      </w:pPr>
      <w:r>
        <w:rPr>
          <w:rFonts w:ascii="Calibri" w:cs="Calibri" w:eastAsia="Calibri" w:hAnsi="Calibri"/>
          <w:sz w:val="18"/>
          <w:szCs w:val="18"/>
          <w:color w:val="auto"/>
        </w:rPr>
        <w:t>The grant of the RSUs is voluntary and occasional and does not create any contractual or other right to receive future grants of RSUs, or benefts in lieu of RSUs, even if RSUs have been granted in the past. All decisions with respect to future RSUs or other grants, if any, will be at the sole discreton of the Company;</w:t>
      </w:r>
    </w:p>
    <w:p>
      <w:pPr>
        <w:spacing w:after="0" w:line="1" w:lineRule="exact"/>
        <w:rPr>
          <w:rFonts w:ascii="Arial" w:cs="Arial" w:eastAsia="Arial" w:hAnsi="Arial"/>
          <w:sz w:val="22"/>
          <w:szCs w:val="22"/>
          <w:color w:val="auto"/>
        </w:rPr>
      </w:pPr>
    </w:p>
    <w:p>
      <w:pPr>
        <w:ind w:left="640" w:hanging="308"/>
        <w:spacing w:after="0" w:line="228" w:lineRule="auto"/>
        <w:tabs>
          <w:tab w:leader="none" w:pos="640" w:val="left"/>
        </w:tabs>
        <w:numPr>
          <w:ilvl w:val="0"/>
          <w:numId w:val="91"/>
        </w:numPr>
        <w:rPr>
          <w:rFonts w:ascii="Arial" w:cs="Arial" w:eastAsia="Arial" w:hAnsi="Arial"/>
          <w:sz w:val="22"/>
          <w:szCs w:val="22"/>
          <w:color w:val="auto"/>
        </w:rPr>
      </w:pPr>
      <w:r>
        <w:rPr>
          <w:rFonts w:ascii="Calibri" w:cs="Calibri" w:eastAsia="Calibri" w:hAnsi="Calibri"/>
          <w:sz w:val="18"/>
          <w:szCs w:val="18"/>
          <w:color w:val="auto"/>
        </w:rPr>
        <w:t>The Partcipant is voluntarily partcipatng in the Plan;</w:t>
      </w:r>
    </w:p>
    <w:p>
      <w:pPr>
        <w:spacing w:after="0" w:line="42" w:lineRule="exact"/>
        <w:rPr>
          <w:rFonts w:ascii="Arial" w:cs="Arial" w:eastAsia="Arial" w:hAnsi="Arial"/>
          <w:sz w:val="22"/>
          <w:szCs w:val="22"/>
          <w:color w:val="auto"/>
        </w:rPr>
      </w:pPr>
    </w:p>
    <w:p>
      <w:pPr>
        <w:jc w:val="both"/>
        <w:ind w:left="660" w:hanging="328"/>
        <w:spacing w:after="0" w:line="214" w:lineRule="auto"/>
        <w:tabs>
          <w:tab w:leader="none" w:pos="652" w:val="left"/>
        </w:tabs>
        <w:numPr>
          <w:ilvl w:val="0"/>
          <w:numId w:val="91"/>
        </w:numPr>
        <w:rPr>
          <w:rFonts w:ascii="Arial" w:cs="Arial" w:eastAsia="Arial" w:hAnsi="Arial"/>
          <w:sz w:val="22"/>
          <w:szCs w:val="22"/>
          <w:color w:val="auto"/>
        </w:rPr>
      </w:pPr>
      <w:r>
        <w:rPr>
          <w:rFonts w:ascii="Calibri" w:cs="Calibri" w:eastAsia="Calibri" w:hAnsi="Calibri"/>
          <w:sz w:val="18"/>
          <w:szCs w:val="18"/>
          <w:color w:val="auto"/>
        </w:rPr>
        <w:t>The RSUs and the Shares subject to the RSUs, are not part of normal or expected compensaton for any purpose, including for purposes of calculatng any severance, resignaton, terminaton, redundancy, dismissal, end-of-service payments, bonuses, pension or retrement or welfare benefts or similar payments;</w:t>
      </w:r>
    </w:p>
    <w:p>
      <w:pPr>
        <w:spacing w:after="0" w:line="2" w:lineRule="exact"/>
        <w:rPr>
          <w:rFonts w:ascii="Arial" w:cs="Arial" w:eastAsia="Arial" w:hAnsi="Arial"/>
          <w:sz w:val="22"/>
          <w:szCs w:val="22"/>
          <w:color w:val="auto"/>
        </w:rPr>
      </w:pPr>
    </w:p>
    <w:p>
      <w:pPr>
        <w:ind w:left="640" w:hanging="308"/>
        <w:spacing w:after="0"/>
        <w:tabs>
          <w:tab w:leader="none" w:pos="640" w:val="left"/>
        </w:tabs>
        <w:numPr>
          <w:ilvl w:val="0"/>
          <w:numId w:val="91"/>
        </w:numPr>
        <w:rPr>
          <w:rFonts w:ascii="Arial" w:cs="Arial" w:eastAsia="Arial" w:hAnsi="Arial"/>
          <w:sz w:val="22"/>
          <w:szCs w:val="22"/>
          <w:color w:val="auto"/>
        </w:rPr>
      </w:pPr>
      <w:r>
        <w:rPr>
          <w:rFonts w:ascii="Calibri" w:cs="Calibri" w:eastAsia="Calibri" w:hAnsi="Calibri"/>
          <w:sz w:val="18"/>
          <w:szCs w:val="18"/>
          <w:color w:val="auto"/>
        </w:rPr>
        <w:t>Future value of the underlying Shares is unknown, indeterminable and cannot be predicted with certainty;</w:t>
      </w:r>
    </w:p>
    <w:p>
      <w:pPr>
        <w:spacing w:after="0" w:line="41" w:lineRule="exact"/>
        <w:rPr>
          <w:rFonts w:ascii="Arial" w:cs="Arial" w:eastAsia="Arial" w:hAnsi="Arial"/>
          <w:sz w:val="22"/>
          <w:szCs w:val="22"/>
          <w:color w:val="auto"/>
        </w:rPr>
      </w:pPr>
    </w:p>
    <w:p>
      <w:pPr>
        <w:ind w:left="660" w:hanging="328"/>
        <w:spacing w:after="0" w:line="211" w:lineRule="auto"/>
        <w:tabs>
          <w:tab w:leader="none" w:pos="651" w:val="left"/>
        </w:tabs>
        <w:numPr>
          <w:ilvl w:val="0"/>
          <w:numId w:val="91"/>
        </w:numPr>
        <w:rPr>
          <w:rFonts w:ascii="Arial" w:cs="Arial" w:eastAsia="Arial" w:hAnsi="Arial"/>
          <w:sz w:val="22"/>
          <w:szCs w:val="22"/>
          <w:color w:val="auto"/>
        </w:rPr>
      </w:pPr>
      <w:r>
        <w:rPr>
          <w:rFonts w:ascii="Calibri" w:cs="Calibri" w:eastAsia="Calibri" w:hAnsi="Calibri"/>
          <w:sz w:val="18"/>
          <w:szCs w:val="18"/>
          <w:color w:val="auto"/>
        </w:rPr>
        <w:t>No claim or enttlement to compensaton or damages will arise from forfeiture of the RSUs resultng from the terminaton of the Partcipant's employment; and</w:t>
      </w:r>
    </w:p>
    <w:p>
      <w:pPr>
        <w:spacing w:after="0" w:line="41" w:lineRule="exact"/>
        <w:rPr>
          <w:rFonts w:ascii="Arial" w:cs="Arial" w:eastAsia="Arial" w:hAnsi="Arial"/>
          <w:sz w:val="22"/>
          <w:szCs w:val="22"/>
          <w:color w:val="auto"/>
        </w:rPr>
      </w:pPr>
    </w:p>
    <w:p>
      <w:pPr>
        <w:jc w:val="both"/>
        <w:ind w:left="660" w:hanging="328"/>
        <w:spacing w:after="0" w:line="214" w:lineRule="auto"/>
        <w:tabs>
          <w:tab w:leader="none" w:pos="659" w:val="left"/>
        </w:tabs>
        <w:numPr>
          <w:ilvl w:val="0"/>
          <w:numId w:val="91"/>
        </w:numPr>
        <w:rPr>
          <w:rFonts w:ascii="Arial" w:cs="Arial" w:eastAsia="Arial" w:hAnsi="Arial"/>
          <w:sz w:val="22"/>
          <w:szCs w:val="22"/>
          <w:color w:val="auto"/>
        </w:rPr>
      </w:pPr>
      <w:r>
        <w:rPr>
          <w:rFonts w:ascii="Calibri" w:cs="Calibri" w:eastAsia="Calibri" w:hAnsi="Calibri"/>
          <w:sz w:val="18"/>
          <w:szCs w:val="18"/>
          <w:color w:val="auto"/>
        </w:rPr>
        <w:t>The Company will not be liable for any foreign exchange rate fuctuaton between the Partcipant’s local currency and the United States Dollar that may afect the value of the RSUs or of any amounts due to the Partcipant pursuant to the setlement of the RSUs or the subsequent sale of any Shares acquired upon setlement.</w:t>
      </w:r>
    </w:p>
    <w:p>
      <w:pPr>
        <w:spacing w:after="0" w:line="3" w:lineRule="exact"/>
        <w:rPr>
          <w:sz w:val="20"/>
          <w:szCs w:val="20"/>
          <w:color w:val="auto"/>
        </w:rPr>
      </w:pPr>
    </w:p>
    <w:p>
      <w:pPr>
        <w:ind w:left="640" w:hanging="308"/>
        <w:spacing w:after="0"/>
        <w:tabs>
          <w:tab w:leader="none" w:pos="640" w:val="left"/>
        </w:tabs>
        <w:numPr>
          <w:ilvl w:val="0"/>
          <w:numId w:val="92"/>
        </w:numPr>
        <w:rPr>
          <w:rFonts w:ascii="Arial" w:cs="Arial" w:eastAsia="Arial" w:hAnsi="Arial"/>
          <w:sz w:val="22"/>
          <w:szCs w:val="22"/>
          <w:color w:val="auto"/>
        </w:rPr>
      </w:pPr>
      <w:r>
        <w:rPr>
          <w:rFonts w:ascii="Calibri" w:cs="Calibri" w:eastAsia="Calibri" w:hAnsi="Calibri"/>
          <w:sz w:val="18"/>
          <w:szCs w:val="18"/>
          <w:b w:val="1"/>
          <w:bCs w:val="1"/>
          <w:u w:val="single" w:color="auto"/>
          <w:color w:val="auto"/>
        </w:rPr>
        <w:t>Terms and Conditons</w:t>
      </w:r>
      <w:r>
        <w:rPr>
          <w:rFonts w:ascii="Calibri" w:cs="Calibri" w:eastAsia="Calibri" w:hAnsi="Calibri"/>
          <w:sz w:val="18"/>
          <w:szCs w:val="18"/>
          <w:color w:val="auto"/>
        </w:rPr>
        <w:t>. It is understood and agreed that the RSUs are subject to the following terms and conditons:</w:t>
      </w:r>
    </w:p>
    <w:p>
      <w:pPr>
        <w:spacing w:after="0" w:line="42" w:lineRule="exact"/>
        <w:rPr>
          <w:sz w:val="20"/>
          <w:szCs w:val="20"/>
          <w:color w:val="auto"/>
        </w:rPr>
      </w:pPr>
    </w:p>
    <w:p>
      <w:pPr>
        <w:ind w:left="660" w:hanging="328"/>
        <w:spacing w:after="0" w:line="211" w:lineRule="auto"/>
        <w:tabs>
          <w:tab w:leader="none" w:pos="651" w:val="left"/>
        </w:tabs>
        <w:numPr>
          <w:ilvl w:val="0"/>
          <w:numId w:val="93"/>
        </w:numPr>
        <w:rPr>
          <w:rFonts w:ascii="Arial" w:cs="Arial" w:eastAsia="Arial" w:hAnsi="Arial"/>
          <w:sz w:val="22"/>
          <w:szCs w:val="22"/>
          <w:color w:val="auto"/>
        </w:rPr>
      </w:pPr>
      <w:r>
        <w:rPr>
          <w:rFonts w:ascii="Calibri" w:cs="Calibri" w:eastAsia="Calibri" w:hAnsi="Calibri"/>
          <w:sz w:val="18"/>
          <w:szCs w:val="18"/>
          <w:b w:val="1"/>
          <w:bCs w:val="1"/>
          <w:color w:val="auto"/>
        </w:rPr>
        <w:t>Restrictons</w:t>
      </w:r>
      <w:r>
        <w:rPr>
          <w:rFonts w:ascii="Calibri" w:cs="Calibri" w:eastAsia="Calibri" w:hAnsi="Calibri"/>
          <w:sz w:val="18"/>
          <w:szCs w:val="18"/>
          <w:color w:val="auto"/>
        </w:rPr>
        <w:t>. Except as otherwise provided in the Plan and this Agreement, neither this Award nor any RSUs subject to this Award may be sold,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assigned, pledged, exchanged, transferred, hypothecated or encumbered, other than to the Company as a result of forfeiture of the RSUs.</w:t>
      </w:r>
    </w:p>
    <w:p>
      <w:pPr>
        <w:spacing w:after="0" w:line="28" w:lineRule="exact"/>
        <w:rPr>
          <w:rFonts w:ascii="Arial" w:cs="Arial" w:eastAsia="Arial" w:hAnsi="Arial"/>
          <w:sz w:val="22"/>
          <w:szCs w:val="22"/>
          <w:color w:val="auto"/>
        </w:rPr>
      </w:pPr>
    </w:p>
    <w:p>
      <w:pPr>
        <w:jc w:val="both"/>
        <w:ind w:left="660" w:hanging="328"/>
        <w:spacing w:after="0" w:line="218" w:lineRule="auto"/>
        <w:tabs>
          <w:tab w:leader="none" w:pos="651" w:val="left"/>
        </w:tabs>
        <w:numPr>
          <w:ilvl w:val="0"/>
          <w:numId w:val="93"/>
        </w:numPr>
        <w:rPr>
          <w:rFonts w:ascii="Arial" w:cs="Arial" w:eastAsia="Arial" w:hAnsi="Arial"/>
          <w:sz w:val="22"/>
          <w:szCs w:val="22"/>
          <w:color w:val="auto"/>
        </w:rPr>
      </w:pPr>
      <w:r>
        <w:rPr>
          <w:rFonts w:ascii="Calibri" w:cs="Calibri" w:eastAsia="Calibri" w:hAnsi="Calibri"/>
          <w:sz w:val="18"/>
          <w:szCs w:val="18"/>
          <w:b w:val="1"/>
          <w:bCs w:val="1"/>
          <w:color w:val="auto"/>
        </w:rPr>
        <w:t xml:space="preserve">Votng and Dividend Equivalent Rights. </w:t>
      </w:r>
      <w:r>
        <w:rPr>
          <w:rFonts w:ascii="Calibri" w:cs="Calibri" w:eastAsia="Calibri" w:hAnsi="Calibri"/>
          <w:sz w:val="18"/>
          <w:szCs w:val="18"/>
          <w:color w:val="auto"/>
        </w:rPr>
        <w:t>The Partcipant will not have any privileges of a shareholder of the Company with respect to the RSUs or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Shares that may be delivered under this Agreement, including without limitaton any right to vote the Shares or to receive dividends, unless and untl the Shares are delivered on vestng of the RSUs. Dividend equivalents will be earned with respect to each RSU that vests and the amount will be equal to the total dividends declared on a Share, where the record date of the dividend is between the Grant Date of this Award and the date a Share is issued on vestng of the RSU. Any dividend equivalents earned will be paid in cash to the Partcipant when the Shares subject to the vested RSUs are issued. No dividend equivalents will be earned or paid with respect to any porton of the RSUs that do not vest. Dividend equivalents will not accrue interest.</w:t>
      </w:r>
    </w:p>
    <w:p>
      <w:pPr>
        <w:sectPr>
          <w:pgSz w:w="11900" w:h="16838" w:orient="portrait"/>
          <w:cols w:equalWidth="0" w:num="1">
            <w:col w:w="11240"/>
          </w:cols>
          <w:pgMar w:left="320" w:top="1395" w:right="339" w:bottom="1440" w:gutter="0" w:footer="0" w:header="0"/>
        </w:sectPr>
      </w:pPr>
    </w:p>
    <w:bookmarkStart w:id="90" w:name="page91"/>
    <w:bookmarkEnd w:id="90"/>
    <w:p>
      <w:pPr>
        <w:spacing w:after="0" w:line="14" w:lineRule="exact"/>
        <w:rPr>
          <w:sz w:val="20"/>
          <w:szCs w:val="20"/>
          <w:color w:val="auto"/>
        </w:rPr>
      </w:pPr>
    </w:p>
    <w:p>
      <w:pPr>
        <w:jc w:val="both"/>
        <w:ind w:left="660" w:hanging="328"/>
        <w:spacing w:after="0" w:line="214" w:lineRule="auto"/>
        <w:tabs>
          <w:tab w:leader="none" w:pos="652" w:val="left"/>
        </w:tabs>
        <w:numPr>
          <w:ilvl w:val="0"/>
          <w:numId w:val="94"/>
        </w:numPr>
        <w:rPr>
          <w:rFonts w:ascii="Arial" w:cs="Arial" w:eastAsia="Arial" w:hAnsi="Arial"/>
          <w:sz w:val="22"/>
          <w:szCs w:val="22"/>
          <w:color w:val="auto"/>
        </w:rPr>
      </w:pPr>
      <w:r>
        <w:rPr>
          <w:rFonts w:ascii="Calibri" w:cs="Calibri" w:eastAsia="Calibri" w:hAnsi="Calibri"/>
          <w:sz w:val="18"/>
          <w:szCs w:val="18"/>
          <w:b w:val="1"/>
          <w:bCs w:val="1"/>
          <w:color w:val="auto"/>
        </w:rPr>
        <w:t>Vestng and Payment</w:t>
      </w:r>
      <w:r>
        <w:rPr>
          <w:rFonts w:ascii="Calibri" w:cs="Calibri" w:eastAsia="Calibri" w:hAnsi="Calibri"/>
          <w:sz w:val="18"/>
          <w:szCs w:val="18"/>
          <w:color w:val="auto"/>
        </w:rPr>
        <w:t>. RSUs will vest as long as the Partcipant has been actvely employed by the Company or an Afliate from the Grant 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through the vestng date. Actve employment does not include any potental severance period or an approved leave of absence greater than 6 months. The RSUs will vest in 3 installments as follows:</w:t>
      </w:r>
    </w:p>
    <w:p>
      <w:pPr>
        <w:jc w:val="center"/>
        <w:ind w:left="640"/>
        <w:spacing w:after="0" w:line="222" w:lineRule="auto"/>
        <w:rPr>
          <w:sz w:val="20"/>
          <w:szCs w:val="20"/>
          <w:color w:val="auto"/>
        </w:rPr>
      </w:pPr>
      <w:r>
        <w:rPr>
          <w:rFonts w:ascii="Calibri" w:cs="Calibri" w:eastAsia="Calibri" w:hAnsi="Calibri"/>
          <w:sz w:val="18"/>
          <w:szCs w:val="18"/>
          <w:color w:val="auto"/>
        </w:rPr>
        <w:t>###VEST_SCHEDULE_TABLE###</w:t>
      </w:r>
    </w:p>
    <w:p>
      <w:pPr>
        <w:jc w:val="both"/>
        <w:ind w:firstLine="648"/>
        <w:spacing w:after="0" w:line="217" w:lineRule="auto"/>
        <w:rPr>
          <w:sz w:val="20"/>
          <w:szCs w:val="20"/>
          <w:color w:val="auto"/>
        </w:rPr>
      </w:pPr>
      <w:r>
        <w:rPr>
          <w:rFonts w:ascii="Calibri" w:cs="Calibri" w:eastAsia="Calibri" w:hAnsi="Calibri"/>
          <w:sz w:val="18"/>
          <w:szCs w:val="18"/>
          <w:color w:val="auto"/>
        </w:rPr>
        <w:t>Except as provided in subsecton 2(i), on vestng of the RSUs, including vestng pursuant to subsectons 2(d) or 2(e), the Company will deliver to the Partcipant (i) one Share for each vested RSU, with any fractonal Shares resultng from proraton pursuant to subsecton 2(e), if applicable, to be rounded to the nearest whole Share, and (ii) an amount in cash atributable to dividend equivalents earned in accordance with subsecton 2(b), less Shares withheld in accordance with subsecton 2(f).</w:t>
      </w:r>
    </w:p>
    <w:p>
      <w:pPr>
        <w:spacing w:after="0" w:line="2"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For China-based Partcipants, the Company will provide a cash payment equivalent to the Fair Market Value of the shares vested as soon as practcable following the Vestng Date.</w:t>
      </w:r>
    </w:p>
    <w:p>
      <w:pPr>
        <w:spacing w:after="0" w:line="42" w:lineRule="exact"/>
        <w:rPr>
          <w:sz w:val="20"/>
          <w:szCs w:val="20"/>
          <w:color w:val="auto"/>
        </w:rPr>
      </w:pPr>
    </w:p>
    <w:p>
      <w:pPr>
        <w:jc w:val="both"/>
        <w:ind w:left="660" w:hanging="328"/>
        <w:spacing w:after="0" w:line="214" w:lineRule="auto"/>
        <w:tabs>
          <w:tab w:leader="none" w:pos="651" w:val="left"/>
        </w:tabs>
        <w:numPr>
          <w:ilvl w:val="0"/>
          <w:numId w:val="95"/>
        </w:numPr>
        <w:rPr>
          <w:rFonts w:ascii="Arial" w:cs="Arial" w:eastAsia="Arial" w:hAnsi="Arial"/>
          <w:sz w:val="22"/>
          <w:szCs w:val="22"/>
          <w:color w:val="auto"/>
        </w:rPr>
      </w:pPr>
      <w:r>
        <w:rPr>
          <w:rFonts w:ascii="Calibri" w:cs="Calibri" w:eastAsia="Calibri" w:hAnsi="Calibri"/>
          <w:sz w:val="18"/>
          <w:szCs w:val="18"/>
          <w:b w:val="1"/>
          <w:bCs w:val="1"/>
          <w:color w:val="auto"/>
        </w:rPr>
        <w:t xml:space="preserve">Efect of Change in control. </w:t>
      </w:r>
      <w:r>
        <w:rPr>
          <w:rFonts w:ascii="Calibri" w:cs="Calibri" w:eastAsia="Calibri" w:hAnsi="Calibri"/>
          <w:sz w:val="18"/>
          <w:szCs w:val="18"/>
          <w:color w:val="auto"/>
        </w:rPr>
        <w:t>In the event of a Change in Control prior to the end of the vestng date, if the acquiring or surviving company in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transacton assumes or contnues any then-outstanding RSUs under the Plan, any unvested RSUs will contnue to vest based on the RSUs’ service-based vestng criteria untl the vestng date.</w:t>
      </w:r>
    </w:p>
    <w:p>
      <w:pPr>
        <w:spacing w:after="0" w:line="1" w:lineRule="exact"/>
        <w:rPr>
          <w:rFonts w:ascii="Arial" w:cs="Arial" w:eastAsia="Arial" w:hAnsi="Arial"/>
          <w:sz w:val="22"/>
          <w:szCs w:val="22"/>
          <w:color w:val="auto"/>
        </w:rPr>
      </w:pPr>
    </w:p>
    <w:p>
      <w:pPr>
        <w:ind w:left="660"/>
        <w:spacing w:after="0" w:line="221" w:lineRule="auto"/>
        <w:rPr>
          <w:rFonts w:ascii="Arial" w:cs="Arial" w:eastAsia="Arial" w:hAnsi="Arial"/>
          <w:sz w:val="22"/>
          <w:szCs w:val="22"/>
          <w:color w:val="auto"/>
        </w:rPr>
      </w:pPr>
      <w:r>
        <w:rPr>
          <w:rFonts w:ascii="Calibri" w:cs="Calibri" w:eastAsia="Calibri" w:hAnsi="Calibri"/>
          <w:sz w:val="18"/>
          <w:szCs w:val="18"/>
          <w:color w:val="auto"/>
        </w:rPr>
        <w:t>If the Partcipant’s actve employment with the Company or an Afliate is terminated by the Company or an Afliate without Cause or by the</w:t>
      </w:r>
    </w:p>
    <w:p>
      <w:pPr>
        <w:jc w:val="both"/>
        <w:spacing w:after="0" w:line="221" w:lineRule="auto"/>
        <w:rPr>
          <w:sz w:val="20"/>
          <w:szCs w:val="20"/>
          <w:color w:val="auto"/>
        </w:rPr>
      </w:pPr>
      <w:r>
        <w:rPr>
          <w:rFonts w:ascii="Calibri" w:cs="Calibri" w:eastAsia="Calibri" w:hAnsi="Calibri"/>
          <w:sz w:val="18"/>
          <w:szCs w:val="18"/>
          <w:color w:val="auto"/>
        </w:rPr>
        <w:t>Partcipant for Good Reason (for applicable Partcipants only) within 2 years of a Change in Control, any assumed unvested RSUs will become 100% vested on the terminaton date.</w:t>
      </w:r>
    </w:p>
    <w:p>
      <w:pPr>
        <w:jc w:val="both"/>
        <w:ind w:firstLine="648"/>
        <w:spacing w:after="0" w:line="221" w:lineRule="auto"/>
        <w:rPr>
          <w:sz w:val="20"/>
          <w:szCs w:val="20"/>
          <w:color w:val="auto"/>
        </w:rPr>
      </w:pPr>
      <w:r>
        <w:rPr>
          <w:rFonts w:ascii="Calibri" w:cs="Calibri" w:eastAsia="Calibri" w:hAnsi="Calibri"/>
          <w:sz w:val="18"/>
          <w:szCs w:val="18"/>
          <w:color w:val="auto"/>
        </w:rPr>
        <w:t>If the acquiring or surviving company in the transacton does not assume or contnue outstanding awards under the Plan, immediately prior to the Change in Control any unvested RSUs will become 100% vested.</w:t>
      </w:r>
    </w:p>
    <w:p>
      <w:pPr>
        <w:jc w:val="both"/>
        <w:ind w:firstLine="648"/>
        <w:spacing w:after="0" w:line="219"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Cause</w:t>
      </w:r>
      <w:r>
        <w:rPr>
          <w:rFonts w:ascii="Calibri" w:cs="Calibri" w:eastAsia="Calibri" w:hAnsi="Calibri"/>
          <w:sz w:val="18"/>
          <w:szCs w:val="18"/>
          <w:color w:val="auto"/>
        </w:rPr>
        <w:t>” means (i) the Partcipant’s willful and contnued failure to substantally perform his, her or their dutes with the Company or an Afliate (other than any such failure resultng from the Partcipant’s incapacity due to physical or mental illness) or (ii) the Partcipant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2" w:lineRule="exact"/>
        <w:rPr>
          <w:sz w:val="20"/>
          <w:szCs w:val="20"/>
          <w:color w:val="auto"/>
        </w:rPr>
      </w:pPr>
    </w:p>
    <w:p>
      <w:pPr>
        <w:jc w:val="both"/>
        <w:ind w:firstLine="648"/>
        <w:spacing w:after="0" w:line="222"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Good Reason</w:t>
      </w:r>
      <w:r>
        <w:rPr>
          <w:rFonts w:ascii="Calibri" w:cs="Calibri" w:eastAsia="Calibri" w:hAnsi="Calibri"/>
          <w:sz w:val="18"/>
          <w:szCs w:val="18"/>
          <w:color w:val="auto"/>
        </w:rPr>
        <w:t>” means, without the Partcipant’s express writen consent (i) a reducton in annual target total cash compensaton (base salary and target bonus), (ii) the assignment of any dutes inconsistent in any material adverse respect with the Partcipant’s positon, authority, dutes or responsibilites, (iii) any other acton by the Company or an Afliate which results in a material diminuton in such positon, authority, dutes or responsibilites; or (iv) the Company or an Afliate requiring the Partcipant to relocate to a work locaton 50 miles or more from the locaton where the Partcipant was principally working immediately prior to the Change in Control. The Partcipant must give notce within 90 days of any Good Reason event.</w:t>
      </w:r>
    </w:p>
    <w:p>
      <w:pPr>
        <w:spacing w:after="0" w:line="3"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Good Reason only applies to Company or Afliate employees who are at the tme of terminaton of employment, or were at any tme during the 2 year period immediately preceding the Change in Control, covered by the Xylem Special Senior Executve Severance Pay Plan or the Xylem Enhanced Severance Pay Plan and will exclude an isolated, insubstantal and inadvertent acton not taken in bad faith that is resolved by the Company or an Afliate within 30 days of receiving notce.</w:t>
      </w:r>
    </w:p>
    <w:p>
      <w:pPr>
        <w:spacing w:after="0" w:line="42" w:lineRule="exact"/>
        <w:rPr>
          <w:sz w:val="20"/>
          <w:szCs w:val="20"/>
          <w:color w:val="auto"/>
        </w:rPr>
      </w:pPr>
    </w:p>
    <w:p>
      <w:pPr>
        <w:jc w:val="both"/>
        <w:ind w:left="660" w:hanging="328"/>
        <w:spacing w:after="0" w:line="215" w:lineRule="auto"/>
        <w:tabs>
          <w:tab w:leader="none" w:pos="651" w:val="left"/>
        </w:tabs>
        <w:numPr>
          <w:ilvl w:val="0"/>
          <w:numId w:val="96"/>
        </w:numPr>
        <w:rPr>
          <w:rFonts w:ascii="Arial" w:cs="Arial" w:eastAsia="Arial" w:hAnsi="Arial"/>
          <w:sz w:val="22"/>
          <w:szCs w:val="22"/>
          <w:color w:val="auto"/>
        </w:rPr>
      </w:pPr>
      <w:r>
        <w:rPr>
          <w:rFonts w:ascii="Calibri" w:cs="Calibri" w:eastAsia="Calibri" w:hAnsi="Calibri"/>
          <w:sz w:val="18"/>
          <w:szCs w:val="18"/>
          <w:b w:val="1"/>
          <w:bCs w:val="1"/>
          <w:color w:val="auto"/>
        </w:rPr>
        <w:t xml:space="preserve">Efect of Terminaton of Employment. </w:t>
      </w:r>
      <w:r>
        <w:rPr>
          <w:rFonts w:ascii="Calibri" w:cs="Calibri" w:eastAsia="Calibri" w:hAnsi="Calibri"/>
          <w:sz w:val="18"/>
          <w:szCs w:val="18"/>
          <w:color w:val="auto"/>
        </w:rPr>
        <w:t>RSUs will only vest if the Partcipant is actvely employed by the Company or an Afliate prior to the vestng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date. If the Partcipant's actve employment with the Company or an Afliate is terminated for any reason prior to the vestng date, and the terminaton consttutes a “separaton from service” within the meaning of Secton 409A of the Code and any related regulatons or other efectve guidance promulgated thereunder (“</w:t>
      </w:r>
      <w:r>
        <w:rPr>
          <w:rFonts w:ascii="Calibri" w:cs="Calibri" w:eastAsia="Calibri" w:hAnsi="Calibri"/>
          <w:sz w:val="21"/>
          <w:szCs w:val="21"/>
          <w:b w:val="1"/>
          <w:bCs w:val="1"/>
          <w:color w:val="auto"/>
        </w:rPr>
        <w:t>Secton 409A</w:t>
      </w:r>
      <w:r>
        <w:rPr>
          <w:rFonts w:ascii="Calibri" w:cs="Calibri" w:eastAsia="Calibri" w:hAnsi="Calibri"/>
          <w:sz w:val="18"/>
          <w:szCs w:val="18"/>
          <w:color w:val="auto"/>
        </w:rPr>
        <w:t>”), subject to subsecton 2(d), the following would apply to any unvested RSUs on the date of the Partcipant’s terminaton of employment:</w:t>
      </w:r>
    </w:p>
    <w:p>
      <w:pPr>
        <w:spacing w:after="0" w:line="5" w:lineRule="exact"/>
        <w:rPr>
          <w:rFonts w:ascii="Arial" w:cs="Arial" w:eastAsia="Arial" w:hAnsi="Arial"/>
          <w:sz w:val="22"/>
          <w:szCs w:val="22"/>
          <w:color w:val="auto"/>
        </w:rPr>
      </w:pPr>
    </w:p>
    <w:p>
      <w:pPr>
        <w:ind w:left="1940" w:hanging="312"/>
        <w:spacing w:after="0"/>
        <w:tabs>
          <w:tab w:leader="none" w:pos="1940" w:val="left"/>
        </w:tabs>
        <w:numPr>
          <w:ilvl w:val="1"/>
          <w:numId w:val="96"/>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Death or Disability</w:t>
      </w:r>
      <w:r>
        <w:rPr>
          <w:rFonts w:ascii="Calibri" w:cs="Calibri" w:eastAsia="Calibri" w:hAnsi="Calibri"/>
          <w:sz w:val="18"/>
          <w:szCs w:val="18"/>
          <w:color w:val="auto"/>
        </w:rPr>
        <w:t>. Any unvested RSUs will immediately become 100% vested.</w:t>
      </w:r>
    </w:p>
    <w:p>
      <w:pPr>
        <w:spacing w:after="0" w:line="41" w:lineRule="exact"/>
        <w:rPr>
          <w:rFonts w:ascii="Arial" w:cs="Arial" w:eastAsia="Arial" w:hAnsi="Arial"/>
          <w:sz w:val="22"/>
          <w:szCs w:val="22"/>
          <w:color w:val="auto"/>
        </w:rPr>
      </w:pPr>
    </w:p>
    <w:p>
      <w:pPr>
        <w:ind w:left="1960" w:right="320" w:hanging="332"/>
        <w:spacing w:after="0" w:line="214" w:lineRule="auto"/>
        <w:tabs>
          <w:tab w:leader="none" w:pos="1951" w:val="left"/>
        </w:tabs>
        <w:numPr>
          <w:ilvl w:val="1"/>
          <w:numId w:val="96"/>
        </w:numPr>
        <w:rPr>
          <w:rFonts w:ascii="Arial" w:cs="Arial" w:eastAsia="Arial" w:hAnsi="Arial"/>
          <w:sz w:val="22"/>
          <w:szCs w:val="22"/>
          <w:color w:val="auto"/>
        </w:rPr>
      </w:pPr>
      <w:r>
        <w:rPr>
          <w:rFonts w:ascii="Calibri" w:cs="Calibri" w:eastAsia="Calibri" w:hAnsi="Calibri"/>
          <w:sz w:val="18"/>
          <w:szCs w:val="18"/>
          <w:u w:val="single" w:color="auto"/>
          <w:color w:val="auto"/>
        </w:rPr>
        <w:t>Terminaton due to Retrement or while Retrement Eligible</w:t>
      </w:r>
      <w:r>
        <w:rPr>
          <w:rFonts w:ascii="Calibri" w:cs="Calibri" w:eastAsia="Calibri" w:hAnsi="Calibri"/>
          <w:sz w:val="18"/>
          <w:szCs w:val="18"/>
          <w:color w:val="auto"/>
        </w:rPr>
        <w:t>. A prorated porton (as described below) of unvested RSUs with a vestng date within 12 months of terminaton shall immediately vest on the Partcipant’s terminaton of employment. All other unvested RSUs will automatcally be forfeited.</w:t>
      </w:r>
    </w:p>
    <w:p>
      <w:pPr>
        <w:sectPr>
          <w:pgSz w:w="11900" w:h="16838" w:orient="portrait"/>
          <w:cols w:equalWidth="0" w:num="1">
            <w:col w:w="11240"/>
          </w:cols>
          <w:pgMar w:left="320" w:top="1440" w:right="339" w:bottom="1440" w:gutter="0" w:footer="0" w:header="0"/>
        </w:sectPr>
      </w:pPr>
    </w:p>
    <w:bookmarkStart w:id="91" w:name="page92"/>
    <w:bookmarkEnd w:id="91"/>
    <w:p>
      <w:pPr>
        <w:ind w:left="1940" w:hanging="312"/>
        <w:spacing w:after="0"/>
        <w:tabs>
          <w:tab w:leader="none" w:pos="1940" w:val="left"/>
        </w:tabs>
        <w:numPr>
          <w:ilvl w:val="0"/>
          <w:numId w:val="97"/>
        </w:numPr>
        <w:rPr>
          <w:rFonts w:ascii="Arial" w:cs="Arial" w:eastAsia="Arial" w:hAnsi="Arial"/>
          <w:sz w:val="22"/>
          <w:szCs w:val="22"/>
          <w:color w:val="auto"/>
        </w:rPr>
      </w:pPr>
      <w:r>
        <w:rPr>
          <w:rFonts w:ascii="Calibri" w:cs="Calibri" w:eastAsia="Calibri" w:hAnsi="Calibri"/>
          <w:sz w:val="18"/>
          <w:szCs w:val="18"/>
          <w:u w:val="single" w:color="auto"/>
          <w:color w:val="auto"/>
        </w:rPr>
        <w:t>Terminaton other than for Death, Disability and Retrement</w:t>
      </w:r>
      <w:r>
        <w:rPr>
          <w:rFonts w:ascii="Calibri" w:cs="Calibri" w:eastAsia="Calibri" w:hAnsi="Calibri"/>
          <w:sz w:val="18"/>
          <w:szCs w:val="18"/>
          <w:color w:val="auto"/>
        </w:rPr>
        <w:t>. All unvested RSUs will automatcally be forfeited.</w:t>
      </w:r>
    </w:p>
    <w:p>
      <w:pPr>
        <w:spacing w:after="0" w:line="23" w:lineRule="exact"/>
        <w:rPr>
          <w:sz w:val="20"/>
          <w:szCs w:val="20"/>
          <w:color w:val="auto"/>
        </w:rPr>
      </w:pPr>
    </w:p>
    <w:p>
      <w:pPr>
        <w:jc w:val="both"/>
        <w:ind w:firstLine="648"/>
        <w:spacing w:after="0" w:line="215"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Commitee upon the basis of such evidence, including independent medical reports and data, as the Commitee deems appropriate or necessary.</w:t>
      </w:r>
    </w:p>
    <w:p>
      <w:pPr>
        <w:spacing w:after="0" w:line="1"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spacing w:after="0" w:line="1" w:lineRule="exact"/>
        <w:rPr>
          <w:sz w:val="20"/>
          <w:szCs w:val="20"/>
          <w:color w:val="auto"/>
        </w:rPr>
      </w:pPr>
    </w:p>
    <w:p>
      <w:pPr>
        <w:jc w:val="both"/>
        <w:ind w:firstLine="648"/>
        <w:spacing w:after="0" w:line="218" w:lineRule="auto"/>
        <w:rPr>
          <w:sz w:val="20"/>
          <w:szCs w:val="20"/>
          <w:color w:val="auto"/>
        </w:rPr>
      </w:pPr>
      <w:r>
        <w:rPr>
          <w:rFonts w:ascii="Calibri" w:cs="Calibri" w:eastAsia="Calibri" w:hAnsi="Calibri"/>
          <w:sz w:val="18"/>
          <w:szCs w:val="18"/>
          <w:b w:val="1"/>
          <w:bCs w:val="1"/>
          <w:color w:val="auto"/>
        </w:rPr>
        <w:t xml:space="preserve">Prorated Vestng Upon Retrement. </w:t>
      </w:r>
      <w:r>
        <w:rPr>
          <w:rFonts w:ascii="Calibri" w:cs="Calibri" w:eastAsia="Calibri" w:hAnsi="Calibri"/>
          <w:sz w:val="18"/>
          <w:szCs w:val="18"/>
          <w:color w:val="auto"/>
        </w:rPr>
        <w:t>The prorated porton of the RSUs that vests upon the Partcipant’s terminaton of employment due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Partcipant's Retrement will be determined by multplying the total number of unvested RSUs with vestng date within 12 months of terminaton by a fracton, of which the numerator is the number of full months (not to exceed 12) the Partcipant has been contnually employed since the most recent Vest Period Start Date, and the denominator is 12. For this purpose, full months of employment shall be based on monthly anniversaries of the Vest Period Start Date, not calendar months.</w:t>
      </w:r>
    </w:p>
    <w:p>
      <w:pPr>
        <w:spacing w:after="0" w:line="43" w:lineRule="exact"/>
        <w:rPr>
          <w:sz w:val="20"/>
          <w:szCs w:val="20"/>
          <w:color w:val="auto"/>
        </w:rPr>
      </w:pPr>
    </w:p>
    <w:p>
      <w:pPr>
        <w:jc w:val="both"/>
        <w:ind w:left="660" w:hanging="328"/>
        <w:spacing w:after="0" w:line="218" w:lineRule="auto"/>
        <w:tabs>
          <w:tab w:leader="none" w:pos="651" w:val="left"/>
        </w:tabs>
        <w:numPr>
          <w:ilvl w:val="0"/>
          <w:numId w:val="98"/>
        </w:numPr>
        <w:rPr>
          <w:rFonts w:ascii="Arial" w:cs="Arial" w:eastAsia="Arial" w:hAnsi="Arial"/>
          <w:sz w:val="22"/>
          <w:szCs w:val="22"/>
          <w:color w:val="auto"/>
        </w:rPr>
      </w:pPr>
      <w:r>
        <w:rPr>
          <w:rFonts w:ascii="Calibri" w:cs="Calibri" w:eastAsia="Calibri" w:hAnsi="Calibri"/>
          <w:sz w:val="18"/>
          <w:szCs w:val="18"/>
          <w:b w:val="1"/>
          <w:bCs w:val="1"/>
          <w:color w:val="auto"/>
        </w:rPr>
        <w:t xml:space="preserve">Tax Withholding. </w:t>
      </w:r>
      <w:r>
        <w:rPr>
          <w:rFonts w:ascii="Calibri" w:cs="Calibri" w:eastAsia="Calibri" w:hAnsi="Calibri"/>
          <w:sz w:val="18"/>
          <w:szCs w:val="18"/>
          <w:color w:val="auto"/>
        </w:rPr>
        <w:t>The Company may make such provisions and take such actons as it may deem necessary for the withholding of all applicable taxes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atributable to the RSUs and any related dividend equivalents. Unless the Commitee determines otherwise, the minimum statutory tax withholding required to be withheld upon delivery of the Shares (or such other amount that will not cause an adverse accountng consequence or cost) and payment of dividend equivalents will be satsfed by withholding a number of Shares having an aggregate Fair Market Value equal to the minimum statutory tax required to be withheld (or such other amount that will not cause an adverse accountng consequence or cost). If this withholding would result in a fractonal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29" w:lineRule="exact"/>
        <w:rPr>
          <w:rFonts w:ascii="Arial" w:cs="Arial" w:eastAsia="Arial" w:hAnsi="Arial"/>
          <w:sz w:val="22"/>
          <w:szCs w:val="22"/>
          <w:color w:val="auto"/>
        </w:rPr>
      </w:pPr>
    </w:p>
    <w:p>
      <w:pPr>
        <w:jc w:val="both"/>
        <w:ind w:left="660" w:hanging="328"/>
        <w:spacing w:after="0" w:line="216" w:lineRule="auto"/>
        <w:tabs>
          <w:tab w:leader="none" w:pos="651" w:val="left"/>
        </w:tabs>
        <w:numPr>
          <w:ilvl w:val="0"/>
          <w:numId w:val="98"/>
        </w:numPr>
        <w:rPr>
          <w:rFonts w:ascii="Arial" w:cs="Arial" w:eastAsia="Arial" w:hAnsi="Arial"/>
          <w:sz w:val="22"/>
          <w:szCs w:val="22"/>
          <w:color w:val="auto"/>
        </w:rPr>
      </w:pPr>
      <w:r>
        <w:rPr>
          <w:rFonts w:ascii="Calibri" w:cs="Calibri" w:eastAsia="Calibri" w:hAnsi="Calibri"/>
          <w:sz w:val="18"/>
          <w:szCs w:val="18"/>
          <w:b w:val="1"/>
          <w:bCs w:val="1"/>
          <w:color w:val="auto"/>
        </w:rPr>
        <w:t xml:space="preserve">Partcipant Covenants and Forfeiture and Clawback Provisions. </w:t>
      </w:r>
      <w:r>
        <w:rPr>
          <w:rFonts w:ascii="Calibri" w:cs="Calibri" w:eastAsia="Calibri" w:hAnsi="Calibri"/>
          <w:sz w:val="18"/>
          <w:szCs w:val="18"/>
          <w:color w:val="auto"/>
        </w:rPr>
        <w:t>The Partcipant acknowledges and agrees that the RSUs, whether previously vested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or not, may be cancelled in full, and the Partcipant may be required to return to the Company any Shares received on setlement of vested RSUs or the net afer-tax income, or the pre-tax value to the extent required by applicable law and/or the Company’s Recoupment of Incentve-Based Compensaton Policy 40-05, from the dispositon of any Shares received upon setlement of vested RSUs, to the extent required by applicable law and/or the Company Policy 40-05, or if the Commitee, in its sole discreton, determines that the Partcipant:</w:t>
      </w:r>
    </w:p>
    <w:p>
      <w:pPr>
        <w:spacing w:after="0" w:line="7" w:lineRule="exact"/>
        <w:rPr>
          <w:sz w:val="20"/>
          <w:szCs w:val="20"/>
          <w:color w:val="auto"/>
        </w:rPr>
      </w:pPr>
    </w:p>
    <w:p>
      <w:pPr>
        <w:ind w:left="640" w:hanging="308"/>
        <w:spacing w:after="0"/>
        <w:tabs>
          <w:tab w:leader="none" w:pos="640" w:val="left"/>
        </w:tabs>
        <w:numPr>
          <w:ilvl w:val="0"/>
          <w:numId w:val="99"/>
        </w:numPr>
        <w:rPr>
          <w:rFonts w:ascii="Arial" w:cs="Arial" w:eastAsia="Arial" w:hAnsi="Arial"/>
          <w:sz w:val="22"/>
          <w:szCs w:val="22"/>
          <w:color w:val="auto"/>
        </w:rPr>
      </w:pPr>
      <w:r>
        <w:rPr>
          <w:rFonts w:ascii="Calibri" w:cs="Calibri" w:eastAsia="Calibri" w:hAnsi="Calibri"/>
          <w:sz w:val="18"/>
          <w:szCs w:val="18"/>
          <w:color w:val="auto"/>
        </w:rPr>
        <w:t>Has engaged in any actvity in violaton of Company policies, including the Company’s Code of Conduct;</w:t>
      </w:r>
    </w:p>
    <w:p>
      <w:pPr>
        <w:spacing w:after="0" w:line="24" w:lineRule="exact"/>
        <w:rPr>
          <w:rFonts w:ascii="Arial" w:cs="Arial" w:eastAsia="Arial" w:hAnsi="Arial"/>
          <w:sz w:val="22"/>
          <w:szCs w:val="22"/>
          <w:color w:val="auto"/>
        </w:rPr>
      </w:pPr>
    </w:p>
    <w:p>
      <w:pPr>
        <w:ind w:left="640" w:hanging="308"/>
        <w:spacing w:after="0" w:line="219" w:lineRule="auto"/>
        <w:tabs>
          <w:tab w:leader="none" w:pos="640" w:val="left"/>
        </w:tabs>
        <w:numPr>
          <w:ilvl w:val="0"/>
          <w:numId w:val="99"/>
        </w:numPr>
        <w:rPr>
          <w:rFonts w:ascii="Arial" w:cs="Arial" w:eastAsia="Arial" w:hAnsi="Arial"/>
          <w:sz w:val="22"/>
          <w:szCs w:val="22"/>
          <w:color w:val="auto"/>
        </w:rPr>
      </w:pPr>
      <w:r>
        <w:rPr>
          <w:rFonts w:ascii="Calibri" w:cs="Calibri" w:eastAsia="Calibri" w:hAnsi="Calibri"/>
          <w:sz w:val="18"/>
          <w:szCs w:val="18"/>
          <w:color w:val="auto"/>
        </w:rPr>
        <w:t>Has engaged in conduct materially adverse to the best interests of the Company or its Afliates; or</w:t>
      </w:r>
    </w:p>
    <w:p>
      <w:pPr>
        <w:spacing w:after="0" w:line="41" w:lineRule="exact"/>
        <w:rPr>
          <w:rFonts w:ascii="Arial" w:cs="Arial" w:eastAsia="Arial" w:hAnsi="Arial"/>
          <w:sz w:val="22"/>
          <w:szCs w:val="22"/>
          <w:color w:val="auto"/>
        </w:rPr>
      </w:pPr>
    </w:p>
    <w:p>
      <w:pPr>
        <w:ind w:left="660" w:hanging="328"/>
        <w:spacing w:after="0" w:line="211" w:lineRule="auto"/>
        <w:tabs>
          <w:tab w:leader="none" w:pos="652" w:val="left"/>
        </w:tabs>
        <w:numPr>
          <w:ilvl w:val="0"/>
          <w:numId w:val="99"/>
        </w:numPr>
        <w:rPr>
          <w:rFonts w:ascii="Arial" w:cs="Arial" w:eastAsia="Arial" w:hAnsi="Arial"/>
          <w:sz w:val="22"/>
          <w:szCs w:val="22"/>
          <w:color w:val="auto"/>
        </w:rPr>
      </w:pPr>
      <w:r>
        <w:rPr>
          <w:rFonts w:ascii="Calibri" w:cs="Calibri" w:eastAsia="Calibri" w:hAnsi="Calibri"/>
          <w:sz w:val="18"/>
          <w:szCs w:val="18"/>
          <w:color w:val="auto"/>
        </w:rPr>
        <w:t>Uses, discloses, misappropriates or transfers confdental or proprietary informaton concerning the Company or its Afliates (except as required by the Partcipant’s work responsibilites with the Company or its Afliates); or</w:t>
      </w:r>
    </w:p>
    <w:p>
      <w:pPr>
        <w:spacing w:after="0" w:line="41" w:lineRule="exact"/>
        <w:rPr>
          <w:rFonts w:ascii="Arial" w:cs="Arial" w:eastAsia="Arial" w:hAnsi="Arial"/>
          <w:sz w:val="22"/>
          <w:szCs w:val="22"/>
          <w:color w:val="auto"/>
        </w:rPr>
      </w:pPr>
    </w:p>
    <w:p>
      <w:pPr>
        <w:jc w:val="both"/>
        <w:ind w:left="660" w:hanging="328"/>
        <w:spacing w:after="0" w:line="215" w:lineRule="auto"/>
        <w:tabs>
          <w:tab w:leader="none" w:pos="651" w:val="left"/>
        </w:tabs>
        <w:numPr>
          <w:ilvl w:val="0"/>
          <w:numId w:val="99"/>
        </w:numPr>
        <w:rPr>
          <w:rFonts w:ascii="Arial" w:cs="Arial" w:eastAsia="Arial" w:hAnsi="Arial"/>
          <w:sz w:val="22"/>
          <w:szCs w:val="22"/>
          <w:color w:val="auto"/>
        </w:rPr>
      </w:pPr>
      <w:r>
        <w:rPr>
          <w:rFonts w:ascii="Calibri" w:cs="Calibri" w:eastAsia="Calibri" w:hAnsi="Calibri"/>
          <w:sz w:val="18"/>
          <w:szCs w:val="18"/>
          <w:color w:val="auto"/>
        </w:rPr>
        <w:t xml:space="preserve">Directly or indirectly, hires or solicits or arranges for the hiring or solicitaton of any employee or customer of the Company or its Afliates, or encourages any employee to leave the Company or an Afliate any tme during the Partcipant’s employment and for 12 months afer terminaton of his or her employment (subject to applicable restrictons included in </w:t>
      </w:r>
      <w:r>
        <w:rPr>
          <w:rFonts w:ascii="Calibri" w:cs="Calibri" w:eastAsia="Calibri" w:hAnsi="Calibri"/>
          <w:sz w:val="21"/>
          <w:szCs w:val="21"/>
          <w:u w:val="single" w:color="auto"/>
          <w:color w:val="auto"/>
        </w:rPr>
        <w:t>Exhibit 1</w:t>
      </w:r>
      <w:r>
        <w:rPr>
          <w:rFonts w:ascii="Calibri" w:cs="Calibri" w:eastAsia="Calibri" w:hAnsi="Calibri"/>
          <w:sz w:val="18"/>
          <w:szCs w:val="18"/>
          <w:color w:val="auto"/>
        </w:rPr>
        <w:t xml:space="preserve"> atached hereto).</w:t>
      </w:r>
    </w:p>
    <w:p>
      <w:pPr>
        <w:spacing w:after="0" w:line="2" w:lineRule="exact"/>
        <w:rPr>
          <w:sz w:val="20"/>
          <w:szCs w:val="20"/>
          <w:color w:val="auto"/>
        </w:rPr>
      </w:pPr>
    </w:p>
    <w:p>
      <w:pPr>
        <w:jc w:val="both"/>
        <w:ind w:firstLine="648"/>
        <w:spacing w:after="0" w:line="218" w:lineRule="auto"/>
        <w:rPr>
          <w:sz w:val="20"/>
          <w:szCs w:val="20"/>
          <w:color w:val="auto"/>
        </w:rPr>
      </w:pPr>
      <w:r>
        <w:rPr>
          <w:rFonts w:ascii="Calibri" w:cs="Calibri" w:eastAsia="Calibri" w:hAnsi="Calibri"/>
          <w:sz w:val="18"/>
          <w:szCs w:val="18"/>
          <w:color w:val="auto"/>
        </w:rPr>
        <w:t>The Partcipant agrees, understands and acknowledges that the scope and duraton of the Partcipant obligatons contained in this Agreement are reasonable and necessary to protect a legitmate, protectable interest of the Company and its Afliates, and that the Commitee, in its sole discreton, may require the Partcipant, as a conditon to lapsing any restrictons on the RSUs, to acknowledge in writng that the Partcipant has not engaged, and is not in the process of engaging, in any of the actvites described in this subsecton.</w:t>
      </w:r>
    </w:p>
    <w:p>
      <w:pPr>
        <w:spacing w:after="0" w:line="2"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18"/>
          <w:szCs w:val="18"/>
          <w:color w:val="auto"/>
        </w:rPr>
        <w:t>The obligatons in this subsecton are in additon to any other agreements related to non-competton, non-solicitaton and preservaton of Company confdental and proprietary informaton entered into between the Partcipant and the Company, or otherwise applicable to the Partcipant,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w:t>
      </w:r>
    </w:p>
    <w:p>
      <w:pPr>
        <w:sectPr>
          <w:pgSz w:w="11900" w:h="16838" w:orient="portrait"/>
          <w:cols w:equalWidth="0" w:num="1">
            <w:col w:w="11240"/>
          </w:cols>
          <w:pgMar w:left="320" w:top="1414" w:right="339" w:bottom="1440" w:gutter="0" w:footer="0" w:header="0"/>
        </w:sectPr>
      </w:pPr>
    </w:p>
    <w:bookmarkStart w:id="92" w:name="page93"/>
    <w:bookmarkEnd w:id="92"/>
    <w:p>
      <w:pPr>
        <w:jc w:val="both"/>
        <w:spacing w:after="0" w:line="224" w:lineRule="auto"/>
        <w:rPr>
          <w:sz w:val="20"/>
          <w:szCs w:val="20"/>
          <w:color w:val="auto"/>
        </w:rPr>
      </w:pPr>
      <w:r>
        <w:rPr>
          <w:rFonts w:ascii="Calibri" w:cs="Calibri" w:eastAsia="Calibri" w:hAnsi="Calibri"/>
          <w:sz w:val="18"/>
          <w:szCs w:val="18"/>
          <w:color w:val="auto"/>
        </w:rPr>
        <w:t>SETTLEMENT OF VESTED RSUS OR THE NET AFTER-TAX INCOME FROM THE DISPOSITION OF ANY SHARES RECEIVED UPON SETTLEMENT OF VESTED RSUS IF THE PARTICIPANT SHOULD CHOOSE TO VIOLATE THIS SUBSECTION DURING THE OBLIGATION PERIOD. Nothing in this Agreement prohibits the Partcipant from voluntarily communicatng, without notce to or approval by the Company, with any federal government agency about a potental violaton of a federal law or regulaton.</w:t>
      </w:r>
    </w:p>
    <w:p>
      <w:pPr>
        <w:spacing w:after="0" w:line="44" w:lineRule="exact"/>
        <w:rPr>
          <w:sz w:val="20"/>
          <w:szCs w:val="20"/>
          <w:color w:val="auto"/>
        </w:rPr>
      </w:pPr>
    </w:p>
    <w:p>
      <w:pPr>
        <w:jc w:val="both"/>
        <w:ind w:left="660" w:hanging="328"/>
        <w:spacing w:after="0" w:line="216" w:lineRule="auto"/>
        <w:tabs>
          <w:tab w:leader="none" w:pos="651" w:val="left"/>
        </w:tabs>
        <w:numPr>
          <w:ilvl w:val="0"/>
          <w:numId w:val="100"/>
        </w:numPr>
        <w:rPr>
          <w:rFonts w:ascii="Arial" w:cs="Arial" w:eastAsia="Arial" w:hAnsi="Arial"/>
          <w:sz w:val="22"/>
          <w:szCs w:val="22"/>
          <w:color w:val="auto"/>
        </w:rPr>
      </w:pPr>
      <w:r>
        <w:rPr>
          <w:rFonts w:ascii="Calibri" w:cs="Calibri" w:eastAsia="Calibri" w:hAnsi="Calibri"/>
          <w:sz w:val="18"/>
          <w:szCs w:val="18"/>
          <w:b w:val="1"/>
          <w:bCs w:val="1"/>
          <w:color w:val="auto"/>
        </w:rPr>
        <w:t>Injunctve Acton</w:t>
      </w:r>
      <w:r>
        <w:rPr>
          <w:rFonts w:ascii="Calibri" w:cs="Calibri" w:eastAsia="Calibri" w:hAnsi="Calibri"/>
          <w:sz w:val="18"/>
          <w:szCs w:val="18"/>
          <w:color w:val="auto"/>
        </w:rPr>
        <w:t>. The Partcipant acknowledges that if the Partcipant violates the terms of subsecton 2(g), the injury that would be sufered by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and/or an Afliate as a result of a breach of the provisions of this Agreement (including any covenant described in subsecton 2(g)) would be irreparable and that an award of monetary damages to the Company and/or an Afliate for such a breach would be an inadequate remedy. Consequently, the Company and/or an Afliate shall have the right, in additon to any other rights it may have, including the right to forfeiture and clawback under this Agreement, to obtain injunctve relief to restrain any breach or threatened breach or otherwise to specifcally enforce any provision of this Agreement, and the Company and/or an Afliate will not be obligated to post bond or other security in seeking such relief. Without limitng the Company’s or Afliate’s rights under subsecton 2(g) or any other remedies of the Company or an Afliate, if the Partcipant breaches any covenant described in subsecton 2(g), the Company will have the right to cancel this Agreement.</w:t>
      </w:r>
    </w:p>
    <w:p>
      <w:pPr>
        <w:spacing w:after="0" w:line="46" w:lineRule="exact"/>
        <w:rPr>
          <w:rFonts w:ascii="Arial" w:cs="Arial" w:eastAsia="Arial" w:hAnsi="Arial"/>
          <w:sz w:val="22"/>
          <w:szCs w:val="22"/>
          <w:color w:val="auto"/>
        </w:rPr>
      </w:pPr>
    </w:p>
    <w:p>
      <w:pPr>
        <w:jc w:val="both"/>
        <w:ind w:left="660" w:hanging="328"/>
        <w:spacing w:after="0" w:line="217" w:lineRule="auto"/>
        <w:tabs>
          <w:tab w:leader="none" w:pos="651" w:val="left"/>
        </w:tabs>
        <w:numPr>
          <w:ilvl w:val="0"/>
          <w:numId w:val="100"/>
        </w:numPr>
        <w:rPr>
          <w:rFonts w:ascii="Arial" w:cs="Arial" w:eastAsia="Arial" w:hAnsi="Arial"/>
          <w:sz w:val="22"/>
          <w:szCs w:val="22"/>
          <w:color w:val="auto"/>
        </w:rPr>
      </w:pPr>
      <w:r>
        <w:rPr>
          <w:rFonts w:ascii="Calibri" w:cs="Calibri" w:eastAsia="Calibri" w:hAnsi="Calibri"/>
          <w:sz w:val="18"/>
          <w:szCs w:val="18"/>
          <w:b w:val="1"/>
          <w:bCs w:val="1"/>
          <w:color w:val="auto"/>
        </w:rPr>
        <w:t xml:space="preserve">Electronic Delivery and Acceptance. </w:t>
      </w:r>
      <w:r>
        <w:rPr>
          <w:rFonts w:ascii="Calibri" w:cs="Calibri" w:eastAsia="Calibri" w:hAnsi="Calibri"/>
          <w:sz w:val="18"/>
          <w:szCs w:val="18"/>
          <w:color w:val="auto"/>
        </w:rPr>
        <w:t>The Partcipant consents to electronic delivery of any Plan documents. The Partcipant consents to any and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procedures that the Company has established or may establish for an electronic signature system for delivery and acceptance of Plan related documents. The Partcipant agrees that his, her or their electronic signature is the same as, and will have the same force and efect as, his, her or their manual signature. The Partcipant understands and agrees that if this Agreement is not accepted within 90 days of the Grant Date, the award is forfeited in full. Partcipant agrees that these procedures and delivery may be efected by a third party engaged by the Company to provide administratve services related to the Plan.</w:t>
      </w:r>
    </w:p>
    <w:p>
      <w:pPr>
        <w:spacing w:after="0" w:line="45" w:lineRule="exact"/>
        <w:rPr>
          <w:rFonts w:ascii="Arial" w:cs="Arial" w:eastAsia="Arial" w:hAnsi="Arial"/>
          <w:sz w:val="22"/>
          <w:szCs w:val="22"/>
          <w:color w:val="auto"/>
        </w:rPr>
      </w:pPr>
    </w:p>
    <w:p>
      <w:pPr>
        <w:jc w:val="both"/>
        <w:ind w:left="660" w:hanging="328"/>
        <w:spacing w:after="0" w:line="215" w:lineRule="auto"/>
        <w:tabs>
          <w:tab w:leader="none" w:pos="652" w:val="left"/>
        </w:tabs>
        <w:numPr>
          <w:ilvl w:val="0"/>
          <w:numId w:val="100"/>
        </w:numPr>
        <w:rPr>
          <w:rFonts w:ascii="Arial" w:cs="Arial" w:eastAsia="Arial" w:hAnsi="Arial"/>
          <w:sz w:val="22"/>
          <w:szCs w:val="22"/>
          <w:color w:val="auto"/>
        </w:rPr>
      </w:pPr>
      <w:r>
        <w:rPr>
          <w:rFonts w:ascii="Calibri" w:cs="Calibri" w:eastAsia="Calibri" w:hAnsi="Calibri"/>
          <w:sz w:val="18"/>
          <w:szCs w:val="18"/>
          <w:b w:val="1"/>
          <w:bCs w:val="1"/>
          <w:color w:val="auto"/>
        </w:rPr>
        <w:t>Right of Set-Of</w:t>
      </w:r>
      <w:r>
        <w:rPr>
          <w:rFonts w:ascii="Calibri" w:cs="Calibri" w:eastAsia="Calibri" w:hAnsi="Calibri"/>
          <w:sz w:val="18"/>
          <w:szCs w:val="18"/>
          <w:color w:val="auto"/>
        </w:rPr>
        <w:t>. If the Company in its reasonable judgment determines that the Partcipant owes the Company or an Afliate any amount due to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loan, obligaton or indebtedness, including amounts owed under the Company’s tax equalizaton program or the Company’s policies with respect to travel and business expenses, and the Partcipant has not satsfed these obligaton(s), the Company may instruct the plan administrator to withhold and/or sell Shares acquired by the Partcipant on setlement of the RSUs (to the extent such RSUs are not subject to Code Secton 409A), or the Company may deduct funds equal to the amount of the obligaton from other funds due to the Partcipant from the Company to the maximum extent permited by Code Secton 409A.</w:t>
      </w:r>
    </w:p>
    <w:p>
      <w:pPr>
        <w:spacing w:after="0" w:line="43" w:lineRule="exact"/>
        <w:rPr>
          <w:rFonts w:ascii="Arial" w:cs="Arial" w:eastAsia="Arial" w:hAnsi="Arial"/>
          <w:sz w:val="22"/>
          <w:szCs w:val="22"/>
          <w:color w:val="auto"/>
        </w:rPr>
      </w:pPr>
    </w:p>
    <w:p>
      <w:pPr>
        <w:jc w:val="both"/>
        <w:ind w:left="660" w:hanging="328"/>
        <w:spacing w:after="0" w:line="218" w:lineRule="auto"/>
        <w:tabs>
          <w:tab w:leader="none" w:pos="651" w:val="left"/>
        </w:tabs>
        <w:numPr>
          <w:ilvl w:val="0"/>
          <w:numId w:val="100"/>
        </w:numPr>
        <w:rPr>
          <w:rFonts w:ascii="Arial" w:cs="Arial" w:eastAsia="Arial" w:hAnsi="Arial"/>
          <w:sz w:val="22"/>
          <w:szCs w:val="22"/>
          <w:color w:val="auto"/>
        </w:rPr>
      </w:pPr>
      <w:r>
        <w:rPr>
          <w:rFonts w:ascii="Calibri" w:cs="Calibri" w:eastAsia="Calibri" w:hAnsi="Calibri"/>
          <w:sz w:val="18"/>
          <w:szCs w:val="18"/>
          <w:b w:val="1"/>
          <w:bCs w:val="1"/>
          <w:color w:val="auto"/>
        </w:rPr>
        <w:t>Data Privacy</w:t>
      </w:r>
      <w:r>
        <w:rPr>
          <w:rFonts w:ascii="Calibri" w:cs="Calibri" w:eastAsia="Calibri" w:hAnsi="Calibri"/>
          <w:sz w:val="18"/>
          <w:szCs w:val="18"/>
          <w:color w:val="auto"/>
        </w:rPr>
        <w:t>. Partcipant acknowledges and consents to the collecton, use, processing and transfer of personal data. Partcipant is not obliged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consent to such collecton, use, processing and transfer of personal data. However, failure to provide the consent may afect Partcipant’s ability to partcipate in the Plan. The Company holds certain personal informaton about Partcipant, that may include his/her name, home address and telephone number, date of birth, social security number or other employee identfcaton number, salary grade, hire data, salary, natonality, job ttle, or details of all optons or performance stock units or any other enttlement to Shares of stock awarded, canceled, purchased, vested, or unvested, for the purpose of managing and administering the Plan (“</w:t>
      </w:r>
      <w:r>
        <w:rPr>
          <w:rFonts w:ascii="Calibri" w:cs="Calibri" w:eastAsia="Calibri" w:hAnsi="Calibri"/>
          <w:sz w:val="21"/>
          <w:szCs w:val="21"/>
          <w:b w:val="1"/>
          <w:bCs w:val="1"/>
          <w:color w:val="auto"/>
        </w:rPr>
        <w:t>Data</w:t>
      </w:r>
      <w:r>
        <w:rPr>
          <w:rFonts w:ascii="Calibri" w:cs="Calibri" w:eastAsia="Calibri" w:hAnsi="Calibri"/>
          <w:sz w:val="18"/>
          <w:szCs w:val="18"/>
          <w:color w:val="auto"/>
        </w:rPr>
        <w:t>”). The Company and its Afliates will transfer Data amongst themselves as necessary for the purpose of implementaton, administraton and management of Partcipant’s partcipaton in the Plan, and the Company or its Afliates may each further transfer Data to any third partes assistng the Company with the implementaton, administraton and management of the Plan. These recipients may be located throughout the world, including the United States. The Partcipant authorizes them to receive, possess, use, retain and transfer the Data, in electronic or other form, for the purposes of implementng, administering and managing partcipaton in the Plan, including any transfer of Data that may be required for the administraton of the Plan and/or the subsequent holding of Shares of stock on Partcipant’s behalf to a broker or other third party with whom Partcipant may elect to deposit any Shares of stock acquired</w:t>
      </w:r>
    </w:p>
    <w:p>
      <w:pPr>
        <w:sectPr>
          <w:pgSz w:w="11900" w:h="16838" w:orient="portrait"/>
          <w:cols w:equalWidth="0" w:num="1">
            <w:col w:w="11240"/>
          </w:cols>
          <w:pgMar w:left="320" w:top="1400" w:right="339" w:bottom="1440" w:gutter="0" w:footer="0" w:header="0"/>
        </w:sectPr>
      </w:pPr>
    </w:p>
    <w:bookmarkStart w:id="93" w:name="page94"/>
    <w:bookmarkEnd w:id="93"/>
    <w:p>
      <w:pPr>
        <w:jc w:val="both"/>
        <w:ind w:left="660"/>
        <w:spacing w:after="0" w:line="224" w:lineRule="auto"/>
        <w:rPr>
          <w:sz w:val="20"/>
          <w:szCs w:val="20"/>
          <w:color w:val="auto"/>
        </w:rPr>
      </w:pPr>
      <w:r>
        <w:rPr>
          <w:rFonts w:ascii="Calibri" w:cs="Calibri" w:eastAsia="Calibri" w:hAnsi="Calibri"/>
          <w:sz w:val="18"/>
          <w:szCs w:val="18"/>
          <w:color w:val="auto"/>
        </w:rPr>
        <w:t>pursuant to the Plan. Partcipant may, at any tme, review Data, require any necessary amendments to it or withdraw this consent in writng by contactng Partcipant’s designated Human Resources professional; however, withdrawing consent may afect Partcipant’s ability to partcipate in the Plan. All Data will be managed in compliance with the Company’s Data Privacy Guidelines and applicable employee notfcatons, which may contain more stringent requirements, but in any case will not be less stringent than this subsecton 2(k).</w:t>
      </w:r>
    </w:p>
    <w:p>
      <w:pPr>
        <w:spacing w:after="0" w:line="44" w:lineRule="exact"/>
        <w:rPr>
          <w:sz w:val="20"/>
          <w:szCs w:val="20"/>
          <w:color w:val="auto"/>
        </w:rPr>
      </w:pPr>
    </w:p>
    <w:p>
      <w:pPr>
        <w:ind w:left="660" w:hanging="328"/>
        <w:spacing w:after="0" w:line="211" w:lineRule="auto"/>
        <w:tabs>
          <w:tab w:leader="none" w:pos="651" w:val="left"/>
        </w:tabs>
        <w:numPr>
          <w:ilvl w:val="0"/>
          <w:numId w:val="101"/>
        </w:numPr>
        <w:rPr>
          <w:rFonts w:ascii="Arial" w:cs="Arial" w:eastAsia="Arial" w:hAnsi="Arial"/>
          <w:sz w:val="22"/>
          <w:szCs w:val="22"/>
          <w:color w:val="auto"/>
        </w:rPr>
      </w:pPr>
      <w:r>
        <w:rPr>
          <w:rFonts w:ascii="Calibri" w:cs="Calibri" w:eastAsia="Calibri" w:hAnsi="Calibri"/>
          <w:sz w:val="18"/>
          <w:szCs w:val="18"/>
          <w:b w:val="1"/>
          <w:bCs w:val="1"/>
          <w:color w:val="auto"/>
        </w:rPr>
        <w:t>Stock Ownership Guidelines</w:t>
      </w:r>
      <w:r>
        <w:rPr>
          <w:rFonts w:ascii="Calibri" w:cs="Calibri" w:eastAsia="Calibri" w:hAnsi="Calibri"/>
          <w:sz w:val="18"/>
          <w:szCs w:val="18"/>
          <w:color w:val="auto"/>
        </w:rPr>
        <w:t>. If the Partcipant is or becomes subject to the Company’s Stock Ownership Guidelines and applicable retenton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requirements, the Partcipant may be limited in selling Shares obtained upon setlement of the RSUs.</w:t>
      </w:r>
    </w:p>
    <w:p>
      <w:pPr>
        <w:spacing w:after="0" w:line="41" w:lineRule="exact"/>
        <w:rPr>
          <w:rFonts w:ascii="Arial" w:cs="Arial" w:eastAsia="Arial" w:hAnsi="Arial"/>
          <w:sz w:val="22"/>
          <w:szCs w:val="22"/>
          <w:color w:val="auto"/>
        </w:rPr>
      </w:pPr>
    </w:p>
    <w:p>
      <w:pPr>
        <w:jc w:val="both"/>
        <w:ind w:left="660" w:hanging="328"/>
        <w:spacing w:after="0" w:line="209" w:lineRule="auto"/>
        <w:tabs>
          <w:tab w:leader="none" w:pos="659" w:val="left"/>
        </w:tabs>
        <w:numPr>
          <w:ilvl w:val="0"/>
          <w:numId w:val="101"/>
        </w:numPr>
        <w:rPr>
          <w:rFonts w:ascii="Arial" w:cs="Arial" w:eastAsia="Arial" w:hAnsi="Arial"/>
          <w:sz w:val="22"/>
          <w:szCs w:val="22"/>
          <w:color w:val="auto"/>
        </w:rPr>
      </w:pPr>
      <w:r>
        <w:rPr>
          <w:rFonts w:ascii="Calibri" w:cs="Calibri" w:eastAsia="Calibri" w:hAnsi="Calibri"/>
          <w:sz w:val="18"/>
          <w:szCs w:val="18"/>
          <w:b w:val="1"/>
          <w:bCs w:val="1"/>
          <w:color w:val="auto"/>
        </w:rPr>
        <w:t>Clawback Policy</w:t>
      </w:r>
      <w:r>
        <w:rPr>
          <w:rFonts w:ascii="Calibri" w:cs="Calibri" w:eastAsia="Calibri" w:hAnsi="Calibri"/>
          <w:sz w:val="18"/>
          <w:szCs w:val="18"/>
          <w:color w:val="auto"/>
        </w:rPr>
        <w:t>. If the Partcipant is covered by the Company’s Clawback Policy, the Partcipant agrees that the RSUs are subject to the Policy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may be subject to recovery (in whole or in part) by the Company. The Partcipant agrees that the Clawback Policy may be amended from tme to tme by the Commitee, including amendments to comply with applicable laws, regulatons or stock exchange listng requirements.</w:t>
      </w:r>
    </w:p>
    <w:p>
      <w:pPr>
        <w:spacing w:after="0" w:line="43" w:lineRule="exact"/>
        <w:rPr>
          <w:rFonts w:ascii="Arial" w:cs="Arial" w:eastAsia="Arial" w:hAnsi="Arial"/>
          <w:sz w:val="22"/>
          <w:szCs w:val="22"/>
          <w:color w:val="auto"/>
        </w:rPr>
      </w:pPr>
    </w:p>
    <w:p>
      <w:pPr>
        <w:ind w:left="660" w:hanging="328"/>
        <w:spacing w:after="0" w:line="211" w:lineRule="auto"/>
        <w:tabs>
          <w:tab w:leader="none" w:pos="651" w:val="left"/>
        </w:tabs>
        <w:numPr>
          <w:ilvl w:val="0"/>
          <w:numId w:val="101"/>
        </w:numPr>
        <w:rPr>
          <w:rFonts w:ascii="Arial" w:cs="Arial" w:eastAsia="Arial" w:hAnsi="Arial"/>
          <w:sz w:val="22"/>
          <w:szCs w:val="22"/>
          <w:color w:val="auto"/>
        </w:rPr>
      </w:pPr>
      <w:r>
        <w:rPr>
          <w:rFonts w:ascii="Calibri" w:cs="Calibri" w:eastAsia="Calibri" w:hAnsi="Calibri"/>
          <w:sz w:val="18"/>
          <w:szCs w:val="18"/>
          <w:b w:val="1"/>
          <w:bCs w:val="1"/>
          <w:color w:val="auto"/>
        </w:rPr>
        <w:t xml:space="preserve">Secton 409A Compliance. </w:t>
      </w:r>
      <w:r>
        <w:rPr>
          <w:rFonts w:ascii="Calibri" w:cs="Calibri" w:eastAsia="Calibri" w:hAnsi="Calibri"/>
          <w:sz w:val="18"/>
          <w:szCs w:val="18"/>
          <w:color w:val="auto"/>
        </w:rPr>
        <w:t>It is intended that the Plan and this Agreement comply with the requirements of Secton 409A to the extent applicable,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the Plan and this Agreement shall be interpreted accordingly.</w:t>
      </w:r>
    </w:p>
    <w:p>
      <w:pPr>
        <w:spacing w:after="0" w:line="42" w:lineRule="exact"/>
        <w:rPr>
          <w:sz w:val="20"/>
          <w:szCs w:val="20"/>
          <w:color w:val="auto"/>
        </w:rPr>
      </w:pPr>
    </w:p>
    <w:p>
      <w:pPr>
        <w:jc w:val="both"/>
        <w:ind w:left="660" w:hanging="328"/>
        <w:spacing w:after="0" w:line="229" w:lineRule="auto"/>
        <w:tabs>
          <w:tab w:leader="none" w:pos="651" w:val="left"/>
        </w:tabs>
        <w:numPr>
          <w:ilvl w:val="0"/>
          <w:numId w:val="102"/>
        </w:numPr>
        <w:rPr>
          <w:rFonts w:ascii="Arial" w:cs="Arial" w:eastAsia="Arial" w:hAnsi="Arial"/>
          <w:sz w:val="21"/>
          <w:szCs w:val="21"/>
          <w:color w:val="auto"/>
        </w:rPr>
      </w:pPr>
      <w:r>
        <w:rPr>
          <w:rFonts w:ascii="Calibri" w:cs="Calibri" w:eastAsia="Calibri" w:hAnsi="Calibri"/>
          <w:sz w:val="17"/>
          <w:szCs w:val="17"/>
          <w:color w:val="auto"/>
        </w:rPr>
        <w:t>If it is determined that all or a porton of the Award consttutes deferred compensaton for the purposes of Secton 409A, and if the Partcipant is a “specifed employee,” as defned in Secton 409A(a)(2)(B)(i) of the Code, at the tme of the Partcipant ’s separaton from service, then, to the extent required under Secton 409A, any Shares that would otherwise be distributed (along with the cash value of all dividend equivalents that would be payable) upon the Partcipant ’s separaton from service, shall instead be delivered (and, in the case of the dividend equivalents, paid) on the earlier of (x) the frst business day of the seventh month following the date of the Partcipant ’s separaton from service or (y) the Partcipant ’s death.</w:t>
      </w:r>
    </w:p>
    <w:p>
      <w:pPr>
        <w:spacing w:after="0" w:line="42" w:lineRule="exact"/>
        <w:rPr>
          <w:rFonts w:ascii="Arial" w:cs="Arial" w:eastAsia="Arial" w:hAnsi="Arial"/>
          <w:sz w:val="21"/>
          <w:szCs w:val="21"/>
          <w:color w:val="auto"/>
        </w:rPr>
      </w:pPr>
    </w:p>
    <w:p>
      <w:pPr>
        <w:jc w:val="both"/>
        <w:ind w:left="660" w:hanging="328"/>
        <w:spacing w:after="0" w:line="214" w:lineRule="auto"/>
        <w:tabs>
          <w:tab w:leader="none" w:pos="651" w:val="left"/>
        </w:tabs>
        <w:numPr>
          <w:ilvl w:val="0"/>
          <w:numId w:val="102"/>
        </w:numPr>
        <w:rPr>
          <w:rFonts w:ascii="Arial" w:cs="Arial" w:eastAsia="Arial" w:hAnsi="Arial"/>
          <w:sz w:val="22"/>
          <w:szCs w:val="22"/>
          <w:color w:val="auto"/>
        </w:rPr>
      </w:pPr>
      <w:r>
        <w:rPr>
          <w:rFonts w:ascii="Calibri" w:cs="Calibri" w:eastAsia="Calibri" w:hAnsi="Calibri"/>
          <w:sz w:val="18"/>
          <w:szCs w:val="18"/>
          <w:color w:val="auto"/>
        </w:rPr>
        <w:t>If it is determined that all or a porton of the Award consttutes deferred compensaton for the purposes of Secton 409A, upon an Change in Control that does not consttute a “change in the ownership” or a “change in the efectve control” of the Company or a “change in the ownership of a substantal porton of a corporaton’s assets” (as those terms are used in Secton 409A), the RSUs will vest at the tme of the Change in Control, but distributon of any RSUs (or related dividend equivalents) that consttute deferred compensaton for the purposes of Secton 409A will not be accelerated (</w:t>
      </w:r>
      <w:r>
        <w:rPr>
          <w:rFonts w:ascii="Calibri" w:cs="Calibri" w:eastAsia="Calibri" w:hAnsi="Calibri"/>
          <w:sz w:val="21"/>
          <w:szCs w:val="21"/>
          <w:i w:val="1"/>
          <w:iCs w:val="1"/>
          <w:color w:val="auto"/>
        </w:rPr>
        <w:t>i.e</w:t>
      </w:r>
      <w:r>
        <w:rPr>
          <w:rFonts w:ascii="Calibri" w:cs="Calibri" w:eastAsia="Calibri" w:hAnsi="Calibri"/>
          <w:sz w:val="18"/>
          <w:szCs w:val="18"/>
          <w:color w:val="auto"/>
        </w:rPr>
        <w:t>., distributon will occur when it would have occurred absent the Change in Control).</w:t>
      </w:r>
    </w:p>
    <w:p>
      <w:pPr>
        <w:spacing w:after="0" w:line="50" w:lineRule="exact"/>
        <w:rPr>
          <w:sz w:val="20"/>
          <w:szCs w:val="20"/>
          <w:color w:val="auto"/>
        </w:rPr>
      </w:pPr>
    </w:p>
    <w:p>
      <w:pPr>
        <w:ind w:left="660" w:hanging="328"/>
        <w:spacing w:after="0" w:line="211" w:lineRule="auto"/>
        <w:tabs>
          <w:tab w:leader="none" w:pos="651" w:val="left"/>
        </w:tabs>
        <w:numPr>
          <w:ilvl w:val="0"/>
          <w:numId w:val="103"/>
        </w:numPr>
        <w:rPr>
          <w:rFonts w:ascii="Arial" w:cs="Arial" w:eastAsia="Arial" w:hAnsi="Arial"/>
          <w:sz w:val="22"/>
          <w:szCs w:val="22"/>
          <w:color w:val="auto"/>
        </w:rPr>
      </w:pPr>
      <w:r>
        <w:rPr>
          <w:rFonts w:ascii="Calibri" w:cs="Calibri" w:eastAsia="Calibri" w:hAnsi="Calibri"/>
          <w:sz w:val="18"/>
          <w:szCs w:val="18"/>
          <w:b w:val="1"/>
          <w:bCs w:val="1"/>
          <w:color w:val="auto"/>
        </w:rPr>
        <w:t xml:space="preserve">Governing Law. </w:t>
      </w:r>
      <w:r>
        <w:rPr>
          <w:rFonts w:ascii="Calibri" w:cs="Calibri" w:eastAsia="Calibri" w:hAnsi="Calibri"/>
          <w:sz w:val="18"/>
          <w:szCs w:val="18"/>
          <w:color w:val="auto"/>
        </w:rPr>
        <w:t>This Agreement is governed and construed in accordance with the laws of the State of Indiana, excluding any conficts or choice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law rule or principle that might otherwise refer constructon or interpretaton of this Agreement to the substantve law of another jurisdicton.</w:t>
      </w:r>
    </w:p>
    <w:p>
      <w:pPr>
        <w:spacing w:after="0" w:line="41" w:lineRule="exact"/>
        <w:rPr>
          <w:rFonts w:ascii="Arial" w:cs="Arial" w:eastAsia="Arial" w:hAnsi="Arial"/>
          <w:sz w:val="22"/>
          <w:szCs w:val="22"/>
          <w:color w:val="auto"/>
        </w:rPr>
      </w:pPr>
    </w:p>
    <w:p>
      <w:pPr>
        <w:jc w:val="both"/>
        <w:ind w:left="660" w:hanging="328"/>
        <w:spacing w:after="0" w:line="219" w:lineRule="auto"/>
        <w:tabs>
          <w:tab w:leader="none" w:pos="651" w:val="left"/>
        </w:tabs>
        <w:numPr>
          <w:ilvl w:val="0"/>
          <w:numId w:val="103"/>
        </w:numPr>
        <w:rPr>
          <w:rFonts w:ascii="Arial" w:cs="Arial" w:eastAsia="Arial" w:hAnsi="Arial"/>
          <w:sz w:val="22"/>
          <w:szCs w:val="22"/>
          <w:color w:val="auto"/>
        </w:rPr>
      </w:pPr>
      <w:r>
        <w:rPr>
          <w:rFonts w:ascii="Calibri" w:cs="Calibri" w:eastAsia="Calibri" w:hAnsi="Calibri"/>
          <w:sz w:val="18"/>
          <w:szCs w:val="18"/>
          <w:b w:val="1"/>
          <w:bCs w:val="1"/>
          <w:color w:val="auto"/>
        </w:rPr>
        <w:t>Consent to Jurisdicton</w:t>
      </w:r>
      <w:r>
        <w:rPr>
          <w:rFonts w:ascii="Calibri" w:cs="Calibri" w:eastAsia="Calibri" w:hAnsi="Calibri"/>
          <w:sz w:val="18"/>
          <w:szCs w:val="18"/>
          <w:color w:val="auto"/>
        </w:rPr>
        <w:t>. Each party hereby submits and consents to the exclusive jurisdicton of the state or federal courts in the State of Indiana,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in each case, appellate courts therefrom, with respect to any suit, acton or proceeding brought by any party arising under or relatng to this Agreement.</w:t>
      </w:r>
    </w:p>
    <w:p>
      <w:pPr>
        <w:spacing w:after="0" w:line="231" w:lineRule="exact"/>
        <w:rPr>
          <w:sz w:val="20"/>
          <w:szCs w:val="20"/>
          <w:color w:val="auto"/>
        </w:rPr>
      </w:pPr>
    </w:p>
    <w:p>
      <w:pPr>
        <w:spacing w:after="0" w:line="227" w:lineRule="auto"/>
        <w:rPr>
          <w:sz w:val="20"/>
          <w:szCs w:val="20"/>
          <w:color w:val="auto"/>
        </w:rPr>
      </w:pPr>
      <w:r>
        <w:rPr>
          <w:rFonts w:ascii="Calibri" w:cs="Calibri" w:eastAsia="Calibri" w:hAnsi="Calibri"/>
          <w:sz w:val="18"/>
          <w:szCs w:val="18"/>
          <w:i w:val="1"/>
          <w:iCs w:val="1"/>
          <w:color w:val="auto"/>
        </w:rPr>
        <w:t>By signing a copy of this Agreement, the Partcipant acknowledges that s/he has received a copy of the Plan and that s/he has read and understands the Plan and this Agreement and agrees to their terms and conditons.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Agreed to: </w:t>
      </w:r>
      <w:r>
        <w:rPr>
          <w:rFonts w:ascii="Calibri" w:cs="Calibri" w:eastAsia="Calibri" w:hAnsi="Calibri"/>
          <w:sz w:val="21"/>
          <w:szCs w:val="21"/>
          <w:b w:val="1"/>
          <w:bCs w:val="1"/>
          <w:color w:val="auto"/>
        </w:rPr>
        <w:t>XYLEM INC.</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 _____________________________</w:t>
      </w:r>
    </w:p>
    <w:p>
      <w:pPr>
        <w:spacing w:after="0" w:line="235" w:lineRule="auto"/>
        <w:rPr>
          <w:sz w:val="20"/>
          <w:szCs w:val="20"/>
          <w:color w:val="auto"/>
        </w:rPr>
      </w:pPr>
      <w:r>
        <w:rPr>
          <w:rFonts w:ascii="Calibri" w:cs="Calibri" w:eastAsia="Calibri" w:hAnsi="Calibri"/>
          <w:sz w:val="18"/>
          <w:szCs w:val="18"/>
          <w:color w:val="auto"/>
        </w:rPr>
        <w:t>Partcipant Mathew Pine, President and CEO</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(Online Acceptance Consttutes Agreement)</w:t>
      </w:r>
    </w:p>
    <w:p>
      <w:pPr>
        <w:sectPr>
          <w:pgSz w:w="11900" w:h="16838" w:orient="portrait"/>
          <w:cols w:equalWidth="0" w:num="1">
            <w:col w:w="11240"/>
          </w:cols>
          <w:pgMar w:left="320" w:top="1400" w:right="339" w:bottom="1440" w:gutter="0" w:footer="0" w:header="0"/>
        </w:sectPr>
      </w:pPr>
    </w:p>
    <w:bookmarkStart w:id="94" w:name="page95"/>
    <w:bookmarkEnd w:id="94"/>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color w:val="auto"/>
        </w:rPr>
        <w:t>Dated: _________________ Dated: ###GRANT_DATE###</w:t>
      </w:r>
    </w:p>
    <w:p>
      <w:pPr>
        <w:spacing w:after="0" w:line="239" w:lineRule="exact"/>
        <w:rPr>
          <w:sz w:val="20"/>
          <w:szCs w:val="20"/>
          <w:color w:val="auto"/>
        </w:rPr>
      </w:pPr>
    </w:p>
    <w:p>
      <w:pPr>
        <w:ind w:left="5280"/>
        <w:spacing w:after="0"/>
        <w:rPr>
          <w:sz w:val="20"/>
          <w:szCs w:val="20"/>
          <w:color w:val="auto"/>
        </w:rPr>
      </w:pPr>
      <w:r>
        <w:rPr>
          <w:rFonts w:ascii="Calibri" w:cs="Calibri" w:eastAsia="Calibri" w:hAnsi="Calibri"/>
          <w:sz w:val="18"/>
          <w:szCs w:val="18"/>
          <w:b w:val="1"/>
          <w:bCs w:val="1"/>
          <w:u w:val="single" w:color="auto"/>
          <w:color w:val="auto"/>
        </w:rPr>
        <w:t>EXHIBIT 1</w:t>
      </w:r>
    </w:p>
    <w:p>
      <w:pPr>
        <w:ind w:left="3560"/>
        <w:spacing w:after="0" w:line="221" w:lineRule="auto"/>
        <w:rPr>
          <w:sz w:val="20"/>
          <w:szCs w:val="20"/>
          <w:color w:val="auto"/>
        </w:rPr>
      </w:pPr>
      <w:r>
        <w:rPr>
          <w:rFonts w:ascii="Calibri" w:cs="Calibri" w:eastAsia="Calibri" w:hAnsi="Calibri"/>
          <w:sz w:val="18"/>
          <w:szCs w:val="18"/>
          <w:b w:val="1"/>
          <w:bCs w:val="1"/>
          <w:u w:val="single" w:color="auto"/>
          <w:color w:val="auto"/>
        </w:rPr>
        <w:t>STATE AND OTHER SPECIFIC REQUIREMENTS ADDENDUM</w:t>
      </w:r>
    </w:p>
    <w:p>
      <w:pPr>
        <w:ind w:left="5180"/>
        <w:spacing w:after="0" w:line="221" w:lineRule="auto"/>
        <w:rPr>
          <w:sz w:val="20"/>
          <w:szCs w:val="20"/>
          <w:color w:val="auto"/>
        </w:rPr>
      </w:pPr>
      <w:r>
        <w:rPr>
          <w:rFonts w:ascii="Calibri" w:cs="Calibri" w:eastAsia="Calibri" w:hAnsi="Calibri"/>
          <w:sz w:val="18"/>
          <w:szCs w:val="18"/>
          <w:b w:val="1"/>
          <w:bCs w:val="1"/>
          <w:u w:val="single" w:color="auto"/>
          <w:color w:val="auto"/>
        </w:rPr>
        <w:t>CALIFORNIA</w:t>
      </w:r>
    </w:p>
    <w:p>
      <w:pPr>
        <w:spacing w:after="0" w:line="221" w:lineRule="auto"/>
        <w:rPr>
          <w:sz w:val="20"/>
          <w:szCs w:val="20"/>
          <w:color w:val="auto"/>
        </w:rPr>
      </w:pPr>
      <w:r>
        <w:rPr>
          <w:rFonts w:ascii="Calibri" w:cs="Calibri" w:eastAsia="Calibri" w:hAnsi="Calibri"/>
          <w:sz w:val="18"/>
          <w:szCs w:val="18"/>
          <w:color w:val="auto"/>
        </w:rPr>
        <w:t>For employees residing in California at the tme of executon of this Agreement, Paragraphs 2(g)(iv) and Paragraph 2(o) will not apply.</w:t>
      </w:r>
    </w:p>
    <w:p>
      <w:pPr>
        <w:ind w:left="5200"/>
        <w:spacing w:after="0" w:line="221" w:lineRule="auto"/>
        <w:rPr>
          <w:sz w:val="20"/>
          <w:szCs w:val="20"/>
          <w:color w:val="auto"/>
        </w:rPr>
      </w:pPr>
      <w:r>
        <w:rPr>
          <w:rFonts w:ascii="Calibri" w:cs="Calibri" w:eastAsia="Calibri" w:hAnsi="Calibri"/>
          <w:sz w:val="18"/>
          <w:szCs w:val="18"/>
          <w:b w:val="1"/>
          <w:bCs w:val="1"/>
          <w:u w:val="single" w:color="auto"/>
          <w:color w:val="auto"/>
        </w:rPr>
        <w:t>COLORADO</w:t>
      </w:r>
    </w:p>
    <w:p>
      <w:pPr>
        <w:spacing w:after="0" w:line="1" w:lineRule="exact"/>
        <w:rPr>
          <w:sz w:val="20"/>
          <w:szCs w:val="20"/>
          <w:color w:val="auto"/>
        </w:rPr>
      </w:pPr>
    </w:p>
    <w:p>
      <w:pPr>
        <w:jc w:val="both"/>
        <w:spacing w:after="0" w:line="213" w:lineRule="auto"/>
        <w:rPr>
          <w:sz w:val="20"/>
          <w:szCs w:val="20"/>
          <w:color w:val="auto"/>
        </w:rPr>
      </w:pPr>
      <w:r>
        <w:rPr>
          <w:rFonts w:ascii="Calibri" w:cs="Calibri" w:eastAsia="Calibri" w:hAnsi="Calibri"/>
          <w:sz w:val="18"/>
          <w:szCs w:val="18"/>
          <w:color w:val="auto"/>
        </w:rPr>
        <w:t>Paragraph 2(g)(iv) does not apply unless the employee who, when the covenant not to solicit is entered and when it is enforced, earns at least $67,500 as of 2023 (adjusted on a yearly basis).</w:t>
      </w:r>
    </w:p>
    <w:p>
      <w:pPr>
        <w:jc w:val="center"/>
        <w:ind w:right="-19"/>
        <w:spacing w:after="0" w:line="222" w:lineRule="auto"/>
        <w:rPr>
          <w:sz w:val="20"/>
          <w:szCs w:val="20"/>
          <w:color w:val="auto"/>
        </w:rPr>
      </w:pPr>
      <w:r>
        <w:rPr>
          <w:rFonts w:ascii="Calibri" w:cs="Calibri" w:eastAsia="Calibri" w:hAnsi="Calibri"/>
          <w:sz w:val="18"/>
          <w:szCs w:val="18"/>
          <w:b w:val="1"/>
          <w:bCs w:val="1"/>
          <w:u w:val="single" w:color="auto"/>
          <w:color w:val="auto"/>
        </w:rPr>
        <w:t>GEORGIA</w:t>
      </w:r>
    </w:p>
    <w:p>
      <w:pPr>
        <w:spacing w:after="0" w:line="1"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For employees residing in Georgia, Paragraph 2(g)(iv) shall apply in the United States, which the employee agrees is a reasonable geographic territory in which the Company does business.</w:t>
      </w:r>
    </w:p>
    <w:p>
      <w:pPr>
        <w:jc w:val="center"/>
        <w:ind w:right="-19"/>
        <w:spacing w:after="0" w:line="221" w:lineRule="auto"/>
        <w:rPr>
          <w:sz w:val="20"/>
          <w:szCs w:val="20"/>
          <w:color w:val="auto"/>
        </w:rPr>
      </w:pPr>
      <w:r>
        <w:rPr>
          <w:rFonts w:ascii="Calibri" w:cs="Calibri" w:eastAsia="Calibri" w:hAnsi="Calibri"/>
          <w:sz w:val="18"/>
          <w:szCs w:val="18"/>
          <w:b w:val="1"/>
          <w:bCs w:val="1"/>
          <w:u w:val="single" w:color="auto"/>
          <w:color w:val="auto"/>
        </w:rPr>
        <w:t>ILLINOIS</w:t>
      </w:r>
    </w:p>
    <w:p>
      <w:pPr>
        <w:jc w:val="both"/>
        <w:spacing w:after="0" w:line="221" w:lineRule="auto"/>
        <w:rPr>
          <w:sz w:val="20"/>
          <w:szCs w:val="20"/>
          <w:color w:val="auto"/>
        </w:rPr>
      </w:pPr>
      <w:r>
        <w:rPr>
          <w:rFonts w:ascii="Calibri" w:cs="Calibri" w:eastAsia="Calibri" w:hAnsi="Calibri"/>
          <w:sz w:val="18"/>
          <w:szCs w:val="18"/>
          <w:color w:val="auto"/>
        </w:rPr>
        <w:t>Paragraph 2(g)(iv) does not apply unless the employee’s actual or expected rate of earnings exceeds $45,000 per year (which statutorily increases every fve years).</w:t>
      </w:r>
    </w:p>
    <w:p>
      <w:pPr>
        <w:ind w:left="5220"/>
        <w:spacing w:after="0" w:line="221" w:lineRule="auto"/>
        <w:rPr>
          <w:sz w:val="20"/>
          <w:szCs w:val="20"/>
          <w:color w:val="auto"/>
        </w:rPr>
      </w:pPr>
      <w:r>
        <w:rPr>
          <w:rFonts w:ascii="Calibri" w:cs="Calibri" w:eastAsia="Calibri" w:hAnsi="Calibri"/>
          <w:sz w:val="18"/>
          <w:szCs w:val="18"/>
          <w:b w:val="1"/>
          <w:bCs w:val="1"/>
          <w:u w:val="single" w:color="auto"/>
          <w:color w:val="auto"/>
        </w:rPr>
        <w:t>LOUISIANA</w:t>
      </w:r>
    </w:p>
    <w:p>
      <w:pPr>
        <w:spacing w:after="0" w:line="221" w:lineRule="auto"/>
        <w:rPr>
          <w:sz w:val="20"/>
          <w:szCs w:val="20"/>
          <w:color w:val="auto"/>
        </w:rPr>
      </w:pPr>
      <w:r>
        <w:rPr>
          <w:rFonts w:ascii="Calibri" w:cs="Calibri" w:eastAsia="Calibri" w:hAnsi="Calibri"/>
          <w:sz w:val="18"/>
          <w:szCs w:val="18"/>
          <w:color w:val="auto"/>
        </w:rPr>
        <w:t>For employees who perform work in Louisiana, Paragraph 2(g)(iv) shall only apply in the St Tammany Parish.</w:t>
      </w:r>
    </w:p>
    <w:p>
      <w:pPr>
        <w:ind w:left="5040"/>
        <w:spacing w:after="0" w:line="221" w:lineRule="auto"/>
        <w:rPr>
          <w:sz w:val="20"/>
          <w:szCs w:val="20"/>
          <w:color w:val="auto"/>
        </w:rPr>
      </w:pPr>
      <w:r>
        <w:rPr>
          <w:rFonts w:ascii="Calibri" w:cs="Calibri" w:eastAsia="Calibri" w:hAnsi="Calibri"/>
          <w:sz w:val="18"/>
          <w:szCs w:val="18"/>
          <w:b w:val="1"/>
          <w:bCs w:val="1"/>
          <w:u w:val="single" w:color="auto"/>
          <w:color w:val="auto"/>
        </w:rPr>
        <w:t>NORTH DAKOTA</w:t>
      </w:r>
    </w:p>
    <w:p>
      <w:pPr>
        <w:spacing w:after="0" w:line="222" w:lineRule="auto"/>
        <w:rPr>
          <w:sz w:val="20"/>
          <w:szCs w:val="20"/>
          <w:color w:val="auto"/>
        </w:rPr>
      </w:pPr>
      <w:r>
        <w:rPr>
          <w:rFonts w:ascii="Calibri" w:cs="Calibri" w:eastAsia="Calibri" w:hAnsi="Calibri"/>
          <w:sz w:val="18"/>
          <w:szCs w:val="18"/>
          <w:color w:val="auto"/>
        </w:rPr>
        <w:t>For employees residing in North Dakota at the tme of executon of this Agreement, Paragraph 2(g)(iv) will not apply.</w:t>
      </w:r>
    </w:p>
    <w:p>
      <w:pPr>
        <w:ind w:left="5180"/>
        <w:spacing w:after="0" w:line="221" w:lineRule="auto"/>
        <w:rPr>
          <w:sz w:val="20"/>
          <w:szCs w:val="20"/>
          <w:color w:val="auto"/>
        </w:rPr>
      </w:pPr>
      <w:r>
        <w:rPr>
          <w:rFonts w:ascii="Calibri" w:cs="Calibri" w:eastAsia="Calibri" w:hAnsi="Calibri"/>
          <w:sz w:val="18"/>
          <w:szCs w:val="18"/>
          <w:b w:val="1"/>
          <w:bCs w:val="1"/>
          <w:u w:val="single" w:color="auto"/>
          <w:color w:val="auto"/>
        </w:rPr>
        <w:t>OKLAHOMA</w:t>
      </w:r>
    </w:p>
    <w:p>
      <w:pPr>
        <w:jc w:val="both"/>
        <w:spacing w:after="0" w:line="213" w:lineRule="auto"/>
        <w:rPr>
          <w:sz w:val="20"/>
          <w:szCs w:val="20"/>
          <w:color w:val="auto"/>
        </w:rPr>
      </w:pPr>
      <w:r>
        <w:rPr>
          <w:rFonts w:ascii="Calibri" w:cs="Calibri" w:eastAsia="Calibri" w:hAnsi="Calibri"/>
          <w:sz w:val="18"/>
          <w:szCs w:val="18"/>
          <w:color w:val="auto"/>
        </w:rPr>
        <w:t>For employees residing in Oklahoma at the tme of executon of this Agreement, Paragraph 2(g)(iv) will only apply to the extent it prohibits the Employee from directly solicitng the sale of goods, services or a combinaton of goods and services from the established customers of the Company.</w:t>
      </w:r>
    </w:p>
    <w:p>
      <w:pPr>
        <w:jc w:val="center"/>
        <w:ind w:right="-19"/>
        <w:spacing w:after="0" w:line="222" w:lineRule="auto"/>
        <w:rPr>
          <w:sz w:val="20"/>
          <w:szCs w:val="20"/>
          <w:color w:val="auto"/>
        </w:rPr>
      </w:pPr>
      <w:r>
        <w:rPr>
          <w:rFonts w:ascii="Calibri" w:cs="Calibri" w:eastAsia="Calibri" w:hAnsi="Calibri"/>
          <w:sz w:val="18"/>
          <w:szCs w:val="18"/>
          <w:b w:val="1"/>
          <w:bCs w:val="1"/>
          <w:u w:val="single" w:color="auto"/>
          <w:color w:val="auto"/>
        </w:rPr>
        <w:t>OREGON</w:t>
      </w:r>
    </w:p>
    <w:p>
      <w:pPr>
        <w:spacing w:after="0" w:line="1"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For employees residing in Oregon at the tme of executon of this Agreement, the Company shall provide a copy of this Agreement to the employees at least two weeks before the employees begin work and must sign this Agreement as a conditon of employment. The Company also must provide the employee a signed, writen copy of the Agreement within 30 days afer the date of terminaton of the employee’s employment with the Company.</w:t>
      </w:r>
    </w:p>
    <w:p>
      <w:pPr>
        <w:sectPr>
          <w:pgSz w:w="11900" w:h="16838" w:orient="portrait"/>
          <w:cols w:equalWidth="0" w:num="1">
            <w:col w:w="11240"/>
          </w:cols>
          <w:pgMar w:left="320" w:top="1440" w:right="339" w:bottom="1440" w:gutter="0" w:footer="0" w:header="0"/>
        </w:sectPr>
      </w:pPr>
    </w:p>
    <w:bookmarkStart w:id="95" w:name="page96"/>
    <w:bookmarkEnd w:id="95"/>
    <w:p>
      <w:pPr>
        <w:jc w:val="center"/>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2011 OMNIBUS INCENTIVE PLAN</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“[YEAR]” RESTRICTED STOCK UNIT GRANT AGREEMENT FOR SENIOR LEADERSHIP TEAM</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color w:val="auto"/>
        </w:rPr>
        <w:t>This Agreement (the “</w:t>
      </w:r>
      <w:r>
        <w:rPr>
          <w:rFonts w:ascii="Calibri" w:cs="Calibri" w:eastAsia="Calibri" w:hAnsi="Calibri"/>
          <w:sz w:val="21"/>
          <w:szCs w:val="21"/>
          <w:b w:val="1"/>
          <w:bCs w:val="1"/>
          <w:color w:val="auto"/>
        </w:rPr>
        <w:t>Agreement</w:t>
      </w:r>
      <w:r>
        <w:rPr>
          <w:rFonts w:ascii="Calibri" w:cs="Calibri" w:eastAsia="Calibri" w:hAnsi="Calibri"/>
          <w:sz w:val="18"/>
          <w:szCs w:val="18"/>
          <w:color w:val="auto"/>
        </w:rPr>
        <w:t>”) between Xylem Inc. (the “</w:t>
      </w:r>
      <w:r>
        <w:rPr>
          <w:rFonts w:ascii="Calibri" w:cs="Calibri" w:eastAsia="Calibri" w:hAnsi="Calibri"/>
          <w:sz w:val="21"/>
          <w:szCs w:val="21"/>
          <w:b w:val="1"/>
          <w:bCs w:val="1"/>
          <w:color w:val="auto"/>
        </w:rPr>
        <w:t>Company</w:t>
      </w:r>
      <w:r>
        <w:rPr>
          <w:rFonts w:ascii="Calibri" w:cs="Calibri" w:eastAsia="Calibri" w:hAnsi="Calibri"/>
          <w:sz w:val="18"/>
          <w:szCs w:val="18"/>
          <w:color w:val="auto"/>
        </w:rPr>
        <w:t xml:space="preserve">”) and </w:t>
      </w:r>
      <w:r>
        <w:rPr>
          <w:rFonts w:ascii="Calibri" w:cs="Calibri" w:eastAsia="Calibri" w:hAnsi="Calibri"/>
          <w:sz w:val="21"/>
          <w:szCs w:val="21"/>
          <w:b w:val="1"/>
          <w:bCs w:val="1"/>
          <w:color w:val="auto"/>
        </w:rPr>
        <w:t>###PARTICIPANT_NAME###</w:t>
      </w:r>
      <w:r>
        <w:rPr>
          <w:rFonts w:ascii="Calibri" w:cs="Calibri" w:eastAsia="Calibri" w:hAnsi="Calibri"/>
          <w:sz w:val="18"/>
          <w:szCs w:val="18"/>
          <w:color w:val="auto"/>
        </w:rPr>
        <w:t xml:space="preserve"> (the “</w:t>
      </w:r>
      <w:r>
        <w:rPr>
          <w:rFonts w:ascii="Calibri" w:cs="Calibri" w:eastAsia="Calibri" w:hAnsi="Calibri"/>
          <w:sz w:val="21"/>
          <w:szCs w:val="21"/>
          <w:b w:val="1"/>
          <w:bCs w:val="1"/>
          <w:color w:val="auto"/>
        </w:rPr>
        <w:t>Partcipant</w:t>
      </w:r>
      <w:r>
        <w:rPr>
          <w:rFonts w:ascii="Calibri" w:cs="Calibri" w:eastAsia="Calibri" w:hAnsi="Calibri"/>
          <w:sz w:val="18"/>
          <w:szCs w:val="18"/>
          <w:color w:val="auto"/>
        </w:rPr>
        <w:t>”) is efectve as of</w:t>
      </w:r>
    </w:p>
    <w:p>
      <w:pPr>
        <w:spacing w:after="0" w:line="218" w:lineRule="auto"/>
        <w:rPr>
          <w:sz w:val="20"/>
          <w:szCs w:val="20"/>
          <w:color w:val="auto"/>
        </w:rPr>
      </w:pPr>
      <w:r>
        <w:rPr>
          <w:rFonts w:ascii="Calibri" w:cs="Calibri" w:eastAsia="Calibri" w:hAnsi="Calibri"/>
          <w:sz w:val="22"/>
          <w:szCs w:val="22"/>
          <w:b w:val="1"/>
          <w:bCs w:val="1"/>
          <w:color w:val="auto"/>
        </w:rPr>
        <w:t>###GRANT_DATE###</w:t>
      </w:r>
      <w:r>
        <w:rPr>
          <w:rFonts w:ascii="Calibri" w:cs="Calibri" w:eastAsia="Calibri" w:hAnsi="Calibri"/>
          <w:sz w:val="17"/>
          <w:szCs w:val="17"/>
          <w:color w:val="auto"/>
        </w:rPr>
        <w:t>. Capitalized terms that are not defned in this Agreement are defned in the Company’s 2011 Omnibus Incentve Plan (Amended</w:t>
      </w:r>
    </w:p>
    <w:p>
      <w:pPr>
        <w:spacing w:after="0" w:line="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and Restated February 24, 2016) (the “</w:t>
      </w:r>
      <w:r>
        <w:rPr>
          <w:rFonts w:ascii="Calibri" w:cs="Calibri" w:eastAsia="Calibri" w:hAnsi="Calibri"/>
          <w:sz w:val="21"/>
          <w:szCs w:val="21"/>
          <w:b w:val="1"/>
          <w:bCs w:val="1"/>
          <w:color w:val="auto"/>
        </w:rPr>
        <w:t>Plan</w:t>
      </w:r>
      <w:r>
        <w:rPr>
          <w:rFonts w:ascii="Calibri" w:cs="Calibri" w:eastAsia="Calibri" w:hAnsi="Calibri"/>
          <w:sz w:val="18"/>
          <w:szCs w:val="18"/>
          <w:color w:val="auto"/>
        </w:rPr>
        <w:t>”). This Agreement is only being provided in English. The Partcipant is an employee of the Company or an Afliate. In recogniton of the Partcipant’s valued services, the Company, through the Leadership Development and Compensaton Commitee of its Board of Directors (the “</w:t>
      </w:r>
      <w:r>
        <w:rPr>
          <w:rFonts w:ascii="Calibri" w:cs="Calibri" w:eastAsia="Calibri" w:hAnsi="Calibri"/>
          <w:sz w:val="21"/>
          <w:szCs w:val="21"/>
          <w:b w:val="1"/>
          <w:bCs w:val="1"/>
          <w:color w:val="auto"/>
        </w:rPr>
        <w:t>Commitee</w:t>
      </w:r>
      <w:r>
        <w:rPr>
          <w:rFonts w:ascii="Calibri" w:cs="Calibri" w:eastAsia="Calibri" w:hAnsi="Calibri"/>
          <w:sz w:val="18"/>
          <w:szCs w:val="18"/>
          <w:color w:val="auto"/>
        </w:rPr>
        <w:t>”), is providing the Partcipant an inducement to remain employed and an incentve for increased eforts while employed. In consideraton of the terms and conditons in this Agreement, the partes agree as follows:</w:t>
      </w:r>
    </w:p>
    <w:p>
      <w:pPr>
        <w:ind w:left="640" w:hanging="632"/>
        <w:spacing w:after="0" w:line="212" w:lineRule="auto"/>
        <w:tabs>
          <w:tab w:leader="none" w:pos="640" w:val="left"/>
        </w:tabs>
        <w:numPr>
          <w:ilvl w:val="0"/>
          <w:numId w:val="104"/>
        </w:numPr>
        <w:rPr>
          <w:rFonts w:ascii="Calibri" w:cs="Calibri" w:eastAsia="Calibri" w:hAnsi="Calibri"/>
          <w:sz w:val="22"/>
          <w:szCs w:val="22"/>
          <w:color w:val="auto"/>
        </w:rPr>
      </w:pPr>
      <w:r>
        <w:rPr>
          <w:rFonts w:ascii="Calibri" w:cs="Calibri" w:eastAsia="Calibri" w:hAnsi="Calibri"/>
          <w:sz w:val="18"/>
          <w:szCs w:val="18"/>
          <w:b w:val="1"/>
          <w:bCs w:val="1"/>
          <w:u w:val="single" w:color="auto"/>
          <w:color w:val="auto"/>
        </w:rPr>
        <w:t>Grant of Restricted Stock Units</w:t>
      </w:r>
      <w:r>
        <w:rPr>
          <w:rFonts w:ascii="Calibri" w:cs="Calibri" w:eastAsia="Calibri" w:hAnsi="Calibri"/>
          <w:sz w:val="18"/>
          <w:szCs w:val="18"/>
          <w:color w:val="auto"/>
        </w:rPr>
        <w:t>. The Company hereby confrms the grant on</w:t>
      </w:r>
      <w:r>
        <w:rPr>
          <w:rFonts w:ascii="Calibri" w:cs="Calibri" w:eastAsia="Calibri" w:hAnsi="Calibri"/>
          <w:sz w:val="18"/>
          <w:szCs w:val="18"/>
          <w:b w:val="1"/>
          <w:bCs w:val="1"/>
          <w:color w:val="auto"/>
        </w:rPr>
        <w:t xml:space="preserve"> </w:t>
      </w:r>
      <w:r>
        <w:rPr>
          <w:rFonts w:ascii="Calibri" w:cs="Calibri" w:eastAsia="Calibri" w:hAnsi="Calibri"/>
          <w:sz w:val="21"/>
          <w:szCs w:val="21"/>
          <w:b w:val="1"/>
          <w:bCs w:val="1"/>
          <w:color w:val="auto"/>
        </w:rPr>
        <w:t>###GRANT_DATE###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w:t>
      </w:r>
      <w:r>
        <w:rPr>
          <w:rFonts w:ascii="Calibri" w:cs="Calibri" w:eastAsia="Calibri" w:hAnsi="Calibri"/>
          <w:sz w:val="21"/>
          <w:szCs w:val="21"/>
          <w:b w:val="1"/>
          <w:bCs w:val="1"/>
          <w:color w:val="auto"/>
        </w:rPr>
        <w:t>Grant Date</w:t>
      </w:r>
      <w:r>
        <w:rPr>
          <w:rFonts w:ascii="Calibri" w:cs="Calibri" w:eastAsia="Calibri" w:hAnsi="Calibri"/>
          <w:sz w:val="18"/>
          <w:szCs w:val="18"/>
          <w:color w:val="auto"/>
        </w:rPr>
        <w:t>”) to the Partcipant of</w:t>
      </w:r>
    </w:p>
    <w:p>
      <w:pPr>
        <w:ind w:left="660"/>
        <w:spacing w:after="0" w:line="223" w:lineRule="auto"/>
        <w:rPr>
          <w:rFonts w:ascii="Calibri" w:cs="Calibri" w:eastAsia="Calibri" w:hAnsi="Calibri"/>
          <w:sz w:val="22"/>
          <w:szCs w:val="22"/>
          <w:color w:val="auto"/>
        </w:rPr>
      </w:pPr>
      <w:r>
        <w:rPr>
          <w:rFonts w:ascii="Calibri" w:cs="Calibri" w:eastAsia="Calibri" w:hAnsi="Calibri"/>
          <w:sz w:val="22"/>
          <w:szCs w:val="22"/>
          <w:b w:val="1"/>
          <w:bCs w:val="1"/>
          <w:color w:val="auto"/>
        </w:rPr>
        <w:t xml:space="preserve">###TOTAL_AWARDS### </w:t>
      </w:r>
      <w:r>
        <w:rPr>
          <w:rFonts w:ascii="Calibri" w:cs="Calibri" w:eastAsia="Calibri" w:hAnsi="Calibri"/>
          <w:sz w:val="17"/>
          <w:szCs w:val="17"/>
          <w:color w:val="auto"/>
        </w:rPr>
        <w:t>Restricted Stock Units (“</w:t>
      </w:r>
      <w:r>
        <w:rPr>
          <w:rFonts w:ascii="Calibri" w:cs="Calibri" w:eastAsia="Calibri" w:hAnsi="Calibri"/>
          <w:sz w:val="22"/>
          <w:szCs w:val="22"/>
          <w:b w:val="1"/>
          <w:bCs w:val="1"/>
          <w:color w:val="auto"/>
        </w:rPr>
        <w:t>RSUs</w:t>
      </w:r>
      <w:r>
        <w:rPr>
          <w:rFonts w:ascii="Calibri" w:cs="Calibri" w:eastAsia="Calibri" w:hAnsi="Calibri"/>
          <w:sz w:val="17"/>
          <w:szCs w:val="17"/>
          <w:color w:val="auto"/>
        </w:rPr>
        <w:t>”). The RSUs are notonal units of measurement denominated in Shares of common</w:t>
      </w:r>
      <w:r>
        <w:rPr>
          <w:rFonts w:ascii="Calibri" w:cs="Calibri" w:eastAsia="Calibri" w:hAnsi="Calibri"/>
          <w:sz w:val="22"/>
          <w:szCs w:val="22"/>
          <w:b w:val="1"/>
          <w:bCs w:val="1"/>
          <w:color w:val="auto"/>
        </w:rPr>
        <w:t xml:space="preserve"> </w:t>
      </w:r>
      <w:r>
        <w:rPr>
          <w:rFonts w:ascii="Calibri" w:cs="Calibri" w:eastAsia="Calibri" w:hAnsi="Calibri"/>
          <w:sz w:val="17"/>
          <w:szCs w:val="17"/>
          <w:color w:val="auto"/>
        </w:rPr>
        <w:t>stock (</w:t>
      </w:r>
      <w:r>
        <w:rPr>
          <w:rFonts w:ascii="Calibri" w:cs="Calibri" w:eastAsia="Calibri" w:hAnsi="Calibri"/>
          <w:sz w:val="21"/>
          <w:szCs w:val="21"/>
          <w:i w:val="1"/>
          <w:iCs w:val="1"/>
          <w:color w:val="auto"/>
        </w:rPr>
        <w:t>i.e</w:t>
      </w:r>
      <w:r>
        <w:rPr>
          <w:rFonts w:ascii="Calibri" w:cs="Calibri" w:eastAsia="Calibri" w:hAnsi="Calibri"/>
          <w:sz w:val="17"/>
          <w:szCs w:val="17"/>
          <w:color w:val="auto"/>
        </w:rPr>
        <w:t>., one RSU is equivalent in value to one Share of common stock of the Company).</w:t>
      </w:r>
    </w:p>
    <w:p>
      <w:pPr>
        <w:ind w:left="660" w:right="60"/>
        <w:spacing w:after="0" w:line="223" w:lineRule="auto"/>
        <w:rPr>
          <w:rFonts w:ascii="Calibri" w:cs="Calibri" w:eastAsia="Calibri" w:hAnsi="Calibri"/>
          <w:sz w:val="22"/>
          <w:szCs w:val="22"/>
          <w:color w:val="auto"/>
        </w:rPr>
      </w:pPr>
      <w:r>
        <w:rPr>
          <w:rFonts w:ascii="Calibri" w:cs="Calibri" w:eastAsia="Calibri" w:hAnsi="Calibri"/>
          <w:sz w:val="18"/>
          <w:szCs w:val="18"/>
          <w:color w:val="auto"/>
        </w:rPr>
        <w:t>The RSUs represent an unfunded, unsecured right to receive Shares and dividend equivalent payments in the future if the conditons in the Plan and this Agreement are satsfed.</w:t>
      </w:r>
    </w:p>
    <w:p>
      <w:pPr>
        <w:ind w:left="660"/>
        <w:spacing w:after="0" w:line="221" w:lineRule="auto"/>
        <w:rPr>
          <w:rFonts w:ascii="Calibri" w:cs="Calibri" w:eastAsia="Calibri" w:hAnsi="Calibri"/>
          <w:sz w:val="22"/>
          <w:szCs w:val="22"/>
          <w:color w:val="auto"/>
        </w:rPr>
      </w:pPr>
      <w:r>
        <w:rPr>
          <w:rFonts w:ascii="Calibri" w:cs="Calibri" w:eastAsia="Calibri" w:hAnsi="Calibri"/>
          <w:sz w:val="18"/>
          <w:szCs w:val="18"/>
          <w:b w:val="1"/>
          <w:bCs w:val="1"/>
          <w:color w:val="auto"/>
        </w:rPr>
        <w:t>Nature of the Grant:</w:t>
      </w:r>
    </w:p>
    <w:p>
      <w:pPr>
        <w:jc w:val="both"/>
        <w:ind w:left="1220" w:hanging="564"/>
        <w:spacing w:after="0" w:line="221" w:lineRule="auto"/>
        <w:tabs>
          <w:tab w:leader="none" w:pos="1213"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The grant of the RSUs is voluntary and occasional and does not create any contractual or other right to receive future grants of RSUs, or benefts in lieu of RSUs, even if RSUs have been granted in the past. All decisions with respect to future RSUs or other grants, if any, will be at the sole discreton of the Company;</w:t>
      </w:r>
    </w:p>
    <w:p>
      <w:pPr>
        <w:ind w:left="1220" w:hanging="564"/>
        <w:spacing w:after="0" w:line="206" w:lineRule="auto"/>
        <w:tabs>
          <w:tab w:leader="none" w:pos="1220"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The Partcipant is voluntarily partcipatng in the Plan;</w:t>
      </w:r>
    </w:p>
    <w:p>
      <w:pPr>
        <w:spacing w:after="0" w:line="14" w:lineRule="exact"/>
        <w:rPr>
          <w:rFonts w:ascii="Calibri" w:cs="Calibri" w:eastAsia="Calibri" w:hAnsi="Calibri"/>
          <w:sz w:val="18"/>
          <w:szCs w:val="18"/>
          <w:color w:val="auto"/>
        </w:rPr>
      </w:pPr>
    </w:p>
    <w:p>
      <w:pPr>
        <w:jc w:val="both"/>
        <w:ind w:left="1220" w:right="20" w:hanging="564"/>
        <w:spacing w:after="0" w:line="214" w:lineRule="auto"/>
        <w:tabs>
          <w:tab w:leader="none" w:pos="1217" w:val="left"/>
        </w:tabs>
        <w:numPr>
          <w:ilvl w:val="1"/>
          <w:numId w:val="104"/>
        </w:numPr>
        <w:rPr>
          <w:rFonts w:ascii="Calibri" w:cs="Calibri" w:eastAsia="Calibri" w:hAnsi="Calibri"/>
          <w:sz w:val="22"/>
          <w:szCs w:val="22"/>
          <w:color w:val="auto"/>
        </w:rPr>
      </w:pPr>
      <w:r>
        <w:rPr>
          <w:rFonts w:ascii="Calibri" w:cs="Calibri" w:eastAsia="Calibri" w:hAnsi="Calibri"/>
          <w:sz w:val="18"/>
          <w:szCs w:val="18"/>
          <w:color w:val="auto"/>
        </w:rPr>
        <w:t>The RSUs and the Shares subject to the RSUs, are not part of normal or expected compensaton for any purpose, including for purposes of calculatng any severance, resignaton, terminaton, redundancy, dismissal, end-of-service payments, bonuses, pension or retrement or welfare benefts or similar payments;</w:t>
      </w:r>
    </w:p>
    <w:p>
      <w:pPr>
        <w:spacing w:after="0" w:line="2" w:lineRule="exact"/>
        <w:rPr>
          <w:rFonts w:ascii="Calibri" w:cs="Calibri" w:eastAsia="Calibri" w:hAnsi="Calibri"/>
          <w:sz w:val="22"/>
          <w:szCs w:val="22"/>
          <w:color w:val="auto"/>
        </w:rPr>
      </w:pPr>
    </w:p>
    <w:p>
      <w:pPr>
        <w:ind w:left="1220" w:hanging="564"/>
        <w:spacing w:after="0" w:line="221" w:lineRule="auto"/>
        <w:tabs>
          <w:tab w:leader="none" w:pos="1220"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Future value of the underlying Shares is unknown, indeterminable and cannot be predicted with certainty;</w:t>
      </w:r>
    </w:p>
    <w:p>
      <w:pPr>
        <w:ind w:left="1220" w:hanging="564"/>
        <w:spacing w:after="0" w:line="221" w:lineRule="auto"/>
        <w:tabs>
          <w:tab w:leader="none" w:pos="1217"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No claim or enttlement to compensaton or damages will arise from forfeiture of the RSUs resultng from the terminaton of the Partcipant's employment; and</w:t>
      </w:r>
    </w:p>
    <w:p>
      <w:pPr>
        <w:jc w:val="both"/>
        <w:ind w:left="1220" w:hanging="564"/>
        <w:spacing w:after="0" w:line="221" w:lineRule="auto"/>
        <w:tabs>
          <w:tab w:leader="none" w:pos="1198"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The Company will not be liable for any foreign exchange rate fuctuaton between the Partcipant’s local currency and the United States Dollar that may afect the value of the RSUs or of any amounts due to the Partcipant pursuant to the setlement of the RSUs or the subsequent sale of any Shares acquired upon setlement.</w:t>
      </w:r>
    </w:p>
    <w:p>
      <w:pPr>
        <w:ind w:left="640" w:hanging="632"/>
        <w:spacing w:after="0" w:line="205" w:lineRule="auto"/>
        <w:tabs>
          <w:tab w:leader="none" w:pos="640" w:val="left"/>
        </w:tabs>
        <w:numPr>
          <w:ilvl w:val="0"/>
          <w:numId w:val="104"/>
        </w:numPr>
        <w:rPr>
          <w:rFonts w:ascii="Calibri" w:cs="Calibri" w:eastAsia="Calibri" w:hAnsi="Calibri"/>
          <w:sz w:val="22"/>
          <w:szCs w:val="22"/>
          <w:color w:val="auto"/>
        </w:rPr>
      </w:pPr>
      <w:r>
        <w:rPr>
          <w:rFonts w:ascii="Calibri" w:cs="Calibri" w:eastAsia="Calibri" w:hAnsi="Calibri"/>
          <w:sz w:val="18"/>
          <w:szCs w:val="18"/>
          <w:b w:val="1"/>
          <w:bCs w:val="1"/>
          <w:u w:val="single" w:color="auto"/>
          <w:color w:val="auto"/>
        </w:rPr>
        <w:t>Terms and Conditons</w:t>
      </w:r>
      <w:r>
        <w:rPr>
          <w:rFonts w:ascii="Calibri" w:cs="Calibri" w:eastAsia="Calibri" w:hAnsi="Calibri"/>
          <w:sz w:val="18"/>
          <w:szCs w:val="18"/>
          <w:color w:val="auto"/>
        </w:rPr>
        <w:t>. It is understood and agreed that the RSUs are subject to the following terms and conditons:</w:t>
      </w:r>
    </w:p>
    <w:p>
      <w:pPr>
        <w:spacing w:after="0" w:line="10" w:lineRule="exact"/>
        <w:rPr>
          <w:rFonts w:ascii="Calibri" w:cs="Calibri" w:eastAsia="Calibri" w:hAnsi="Calibri"/>
          <w:sz w:val="22"/>
          <w:szCs w:val="22"/>
          <w:color w:val="auto"/>
        </w:rPr>
      </w:pPr>
    </w:p>
    <w:p>
      <w:pPr>
        <w:jc w:val="both"/>
        <w:ind w:left="1220" w:hanging="564"/>
        <w:spacing w:after="0" w:line="217" w:lineRule="auto"/>
        <w:tabs>
          <w:tab w:leader="none" w:pos="1213"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Restrictons. Except as otherwise provided in the Plan and this Agreement, neither this Award nor any RSUs subject to this Award may be sold, assigned, pledged, exchanged, transferred, hypothecated or encumbered, other than to the Company as a result of forfeiture of the RSUs.</w:t>
      </w:r>
    </w:p>
    <w:p>
      <w:pPr>
        <w:spacing w:after="0" w:line="1" w:lineRule="exact"/>
        <w:rPr>
          <w:rFonts w:ascii="Calibri" w:cs="Calibri" w:eastAsia="Calibri" w:hAnsi="Calibri"/>
          <w:sz w:val="18"/>
          <w:szCs w:val="18"/>
          <w:color w:val="auto"/>
        </w:rPr>
      </w:pPr>
    </w:p>
    <w:p>
      <w:pPr>
        <w:jc w:val="both"/>
        <w:ind w:left="1220" w:hanging="564"/>
        <w:spacing w:after="0" w:line="221" w:lineRule="auto"/>
        <w:tabs>
          <w:tab w:leader="none" w:pos="1208" w:val="left"/>
        </w:tabs>
        <w:numPr>
          <w:ilvl w:val="1"/>
          <w:numId w:val="104"/>
        </w:numPr>
        <w:rPr>
          <w:rFonts w:ascii="Calibri" w:cs="Calibri" w:eastAsia="Calibri" w:hAnsi="Calibri"/>
          <w:sz w:val="18"/>
          <w:szCs w:val="18"/>
          <w:color w:val="auto"/>
        </w:rPr>
      </w:pPr>
      <w:r>
        <w:rPr>
          <w:rFonts w:ascii="Calibri" w:cs="Calibri" w:eastAsia="Calibri" w:hAnsi="Calibri"/>
          <w:sz w:val="18"/>
          <w:szCs w:val="18"/>
          <w:color w:val="auto"/>
        </w:rPr>
        <w:t>Votng and Dividend Equivalent Rights. The Partcipant will not have any privileges of a shareholder of the Company with respect to the RSUs or any Shares that may be delivered under this Agreement, including without limitaton any right to vote the Shares or to receive dividends, unless and untl the Shares are delivered on vestng of the RSUs. Dividend equivalents will be earned with respect to each RSU that vests and the amount will be equal to the total dividends declared on a Share, where the record date of the dividend is between the Grant Date of this Award and the date a Share is issued on vestng of the RSU. Any dividend equivalents earned will be paid in cash to the Partcipant when the Shares subject to the vested RSUs are issued. No dividend equivalents will be earned or paid with respect to any porton of the RSUs that do not vest. Dividend equivalents will not accrue interest.</w:t>
      </w:r>
    </w:p>
    <w:p>
      <w:pPr>
        <w:sectPr>
          <w:pgSz w:w="11900" w:h="16838" w:orient="portrait"/>
          <w:cols w:equalWidth="0" w:num="1">
            <w:col w:w="11240"/>
          </w:cols>
          <w:pgMar w:left="320" w:top="1395" w:right="339" w:bottom="1440" w:gutter="0" w:footer="0" w:header="0"/>
        </w:sectPr>
      </w:pPr>
    </w:p>
    <w:bookmarkStart w:id="96" w:name="page97"/>
    <w:bookmarkEnd w:id="96"/>
    <w:p>
      <w:pPr>
        <w:jc w:val="both"/>
        <w:ind w:left="564" w:hanging="564"/>
        <w:spacing w:after="0" w:line="225" w:lineRule="auto"/>
        <w:tabs>
          <w:tab w:leader="none" w:pos="561" w:val="left"/>
        </w:tabs>
        <w:numPr>
          <w:ilvl w:val="0"/>
          <w:numId w:val="105"/>
        </w:numPr>
        <w:rPr>
          <w:rFonts w:ascii="Calibri" w:cs="Calibri" w:eastAsia="Calibri" w:hAnsi="Calibri"/>
          <w:sz w:val="18"/>
          <w:szCs w:val="18"/>
          <w:color w:val="auto"/>
        </w:rPr>
      </w:pPr>
      <w:r>
        <w:rPr>
          <w:rFonts w:ascii="Calibri" w:cs="Calibri" w:eastAsia="Calibri" w:hAnsi="Calibri"/>
          <w:sz w:val="18"/>
          <w:szCs w:val="18"/>
          <w:color w:val="auto"/>
        </w:rPr>
        <w:t>Vestng and Payment. RSUs will vest as long as the Partcipant has been actvely employed by the Company or an Afliate from the Grant Date through the vestng date. Actve employment does not include any potental severance period or an approved leave of absence greater than 6 months. The RSUs will vest in 3 installments as follows:</w:t>
      </w:r>
    </w:p>
    <w:p>
      <w:pPr>
        <w:jc w:val="center"/>
        <w:ind w:right="-3"/>
        <w:spacing w:after="0" w:line="223" w:lineRule="auto"/>
        <w:rPr>
          <w:sz w:val="20"/>
          <w:szCs w:val="20"/>
          <w:color w:val="auto"/>
        </w:rPr>
      </w:pPr>
      <w:r>
        <w:rPr>
          <w:rFonts w:ascii="Calibri" w:cs="Calibri" w:eastAsia="Calibri" w:hAnsi="Calibri"/>
          <w:sz w:val="18"/>
          <w:szCs w:val="18"/>
          <w:color w:val="auto"/>
        </w:rPr>
        <w:t>###VEST_SCHEDULE_TABLE###</w:t>
      </w:r>
    </w:p>
    <w:p>
      <w:pPr>
        <w:jc w:val="both"/>
        <w:ind w:left="564"/>
        <w:spacing w:after="0" w:line="217" w:lineRule="auto"/>
        <w:rPr>
          <w:sz w:val="20"/>
          <w:szCs w:val="20"/>
          <w:color w:val="auto"/>
        </w:rPr>
      </w:pPr>
      <w:r>
        <w:rPr>
          <w:rFonts w:ascii="Calibri" w:cs="Calibri" w:eastAsia="Calibri" w:hAnsi="Calibri"/>
          <w:sz w:val="18"/>
          <w:szCs w:val="18"/>
          <w:color w:val="auto"/>
        </w:rPr>
        <w:t>Except as provided in subsecton 2(i), on vestng of the RSUs, including vestng pursuant to subsectons 2(d) or 2(e), the Company will deliver to the Partcipant (i) one Share for each vested RSU, with any fractonal Shares resultng from proraton pursuant to subsecton 2(e), if applicable, to be rounded to the nearest whole Share, and (ii) an amount in cash atributable to dividend equivalents earned in accordance with subsecton 2(b), less Shares withheld in accordance with subsecton 2(f).</w:t>
      </w:r>
    </w:p>
    <w:p>
      <w:pPr>
        <w:spacing w:after="0" w:line="2" w:lineRule="exact"/>
        <w:rPr>
          <w:sz w:val="20"/>
          <w:szCs w:val="20"/>
          <w:color w:val="auto"/>
        </w:rPr>
      </w:pPr>
    </w:p>
    <w:p>
      <w:pPr>
        <w:jc w:val="both"/>
        <w:ind w:left="564"/>
        <w:spacing w:after="0" w:line="221" w:lineRule="auto"/>
        <w:rPr>
          <w:sz w:val="20"/>
          <w:szCs w:val="20"/>
          <w:color w:val="auto"/>
        </w:rPr>
      </w:pPr>
      <w:r>
        <w:rPr>
          <w:rFonts w:ascii="Calibri" w:cs="Calibri" w:eastAsia="Calibri" w:hAnsi="Calibri"/>
          <w:sz w:val="18"/>
          <w:szCs w:val="18"/>
          <w:color w:val="auto"/>
        </w:rPr>
        <w:t>For China-based Partcipants, the Company will provide a cash payment equivalent to the Fair Market Value of the shares vested as soon as practcable following the Vestng Date.</w:t>
      </w:r>
    </w:p>
    <w:p>
      <w:pPr>
        <w:jc w:val="both"/>
        <w:ind w:left="564" w:hanging="564"/>
        <w:spacing w:after="0" w:line="221" w:lineRule="auto"/>
        <w:tabs>
          <w:tab w:leader="none" w:pos="552" w:val="left"/>
        </w:tabs>
        <w:numPr>
          <w:ilvl w:val="0"/>
          <w:numId w:val="106"/>
        </w:numPr>
        <w:rPr>
          <w:rFonts w:ascii="Calibri" w:cs="Calibri" w:eastAsia="Calibri" w:hAnsi="Calibri"/>
          <w:sz w:val="18"/>
          <w:szCs w:val="18"/>
          <w:color w:val="auto"/>
        </w:rPr>
      </w:pPr>
      <w:r>
        <w:rPr>
          <w:rFonts w:ascii="Calibri" w:cs="Calibri" w:eastAsia="Calibri" w:hAnsi="Calibri"/>
          <w:sz w:val="18"/>
          <w:szCs w:val="18"/>
          <w:color w:val="auto"/>
        </w:rPr>
        <w:t>Efect of Change in control. In the event of a Change in Control prior to the end of the vestng date, if the acquiring or surviving company in the transacton assumes or contnues any then-outstanding RSUs under the Plan, any unvested RSUs will contnue to vest based on the RSUs’ service-based vestng criteria untl the vestng date.</w:t>
      </w:r>
    </w:p>
    <w:p>
      <w:pPr>
        <w:jc w:val="both"/>
        <w:ind w:left="564"/>
        <w:spacing w:after="0" w:line="221" w:lineRule="auto"/>
        <w:rPr>
          <w:rFonts w:ascii="Calibri" w:cs="Calibri" w:eastAsia="Calibri" w:hAnsi="Calibri"/>
          <w:sz w:val="18"/>
          <w:szCs w:val="18"/>
          <w:color w:val="auto"/>
        </w:rPr>
      </w:pPr>
      <w:r>
        <w:rPr>
          <w:rFonts w:ascii="Calibri" w:cs="Calibri" w:eastAsia="Calibri" w:hAnsi="Calibri"/>
          <w:sz w:val="18"/>
          <w:szCs w:val="18"/>
          <w:color w:val="auto"/>
        </w:rPr>
        <w:t>If the Partcipant’s actve employment with the Company or an Afliate is terminated by the Company or an Afliate without Cause or by the Partcipant for Good Reason (for applicable Partcipants only) within 2 years of a Change in Control, any assumed unvested RSUs will become 100% vested on the terminaton date.</w:t>
      </w:r>
    </w:p>
    <w:p>
      <w:pPr>
        <w:ind w:left="564"/>
        <w:spacing w:after="0" w:line="221" w:lineRule="auto"/>
        <w:rPr>
          <w:rFonts w:ascii="Calibri" w:cs="Calibri" w:eastAsia="Calibri" w:hAnsi="Calibri"/>
          <w:sz w:val="18"/>
          <w:szCs w:val="18"/>
          <w:color w:val="auto"/>
        </w:rPr>
      </w:pPr>
      <w:r>
        <w:rPr>
          <w:rFonts w:ascii="Calibri" w:cs="Calibri" w:eastAsia="Calibri" w:hAnsi="Calibri"/>
          <w:sz w:val="18"/>
          <w:szCs w:val="18"/>
          <w:color w:val="auto"/>
        </w:rPr>
        <w:t>If the acquiring or surviving company in the transacton does not assume or contnue outstanding awards under the Plan, immediately prior to the Change in Control any unvested RSUs will become 100% vested.</w:t>
      </w:r>
    </w:p>
    <w:p>
      <w:pPr>
        <w:jc w:val="both"/>
        <w:ind w:left="564"/>
        <w:spacing w:after="0" w:line="230" w:lineRule="auto"/>
        <w:rPr>
          <w:rFonts w:ascii="Calibri" w:cs="Calibri" w:eastAsia="Calibri" w:hAnsi="Calibri"/>
          <w:sz w:val="18"/>
          <w:szCs w:val="18"/>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Cause</w:t>
      </w:r>
      <w:r>
        <w:rPr>
          <w:rFonts w:ascii="Calibri" w:cs="Calibri" w:eastAsia="Calibri" w:hAnsi="Calibri"/>
          <w:sz w:val="17"/>
          <w:szCs w:val="17"/>
          <w:color w:val="auto"/>
        </w:rPr>
        <w:t>” means (i) the Partcipant’s willful and contnued failure to substantally perform his, her or their dutes with the Company or an Afliate (other than any such failure resultng from the Partcipant’s incapacity due to physical or mental illness) or (ii) the Partcipant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1" w:lineRule="exact"/>
        <w:rPr>
          <w:rFonts w:ascii="Calibri" w:cs="Calibri" w:eastAsia="Calibri" w:hAnsi="Calibri"/>
          <w:sz w:val="18"/>
          <w:szCs w:val="18"/>
          <w:color w:val="auto"/>
        </w:rPr>
      </w:pPr>
    </w:p>
    <w:p>
      <w:pPr>
        <w:jc w:val="both"/>
        <w:ind w:left="564"/>
        <w:spacing w:after="0" w:line="221" w:lineRule="auto"/>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means, without the Partcipant’s express writen consent (i) a reducton in annual target total cash compensaton (base salary and target bonus), (ii) the assignment of any dutes inconsistent in any material adverse respect with the Partcipant’s positon, authority, dutes or responsibilites, (iii) any other acton by the Company or an Afliate which results in a material diminuton in such positon, authority, dutes or responsibilites; or (iv) the Company or an Afliate requiring the Partcipant to relocate to a work locaton 50 miles or more from the locaton where the Partcipant was principally working immediately prior to the Change in Control. The Partcipant must give notce within 90 days of any Good Reason event.</w:t>
      </w:r>
    </w:p>
    <w:p>
      <w:pPr>
        <w:jc w:val="both"/>
        <w:ind w:left="564"/>
        <w:spacing w:after="0" w:line="221" w:lineRule="auto"/>
        <w:rPr>
          <w:rFonts w:ascii="Calibri" w:cs="Calibri" w:eastAsia="Calibri" w:hAnsi="Calibri"/>
          <w:sz w:val="18"/>
          <w:szCs w:val="18"/>
          <w:color w:val="auto"/>
        </w:rPr>
      </w:pPr>
      <w:r>
        <w:rPr>
          <w:rFonts w:ascii="Calibri" w:cs="Calibri" w:eastAsia="Calibri" w:hAnsi="Calibri"/>
          <w:sz w:val="18"/>
          <w:szCs w:val="18"/>
          <w:color w:val="auto"/>
        </w:rPr>
        <w:t>Good Reason only applies to Company or Afliate employees who are at the tme of terminaton of employment, or were at any tme during the 2 year period immediately preceding the Change in Control, covered by the Xylem Special Senior Executve Severance Pay Plan or the Xylem Enhanced Severance Pay Plan and will exclude an isolated, insubstantal and inadvertent acton not taken in bad faith that is resolved by the Company or an Afliate within 30 days of receiving notce.</w:t>
      </w:r>
    </w:p>
    <w:p>
      <w:pPr>
        <w:jc w:val="both"/>
        <w:ind w:left="564" w:hanging="564"/>
        <w:spacing w:after="0" w:line="218" w:lineRule="auto"/>
        <w:tabs>
          <w:tab w:leader="none" w:pos="561" w:val="left"/>
        </w:tabs>
        <w:numPr>
          <w:ilvl w:val="0"/>
          <w:numId w:val="106"/>
        </w:numPr>
        <w:rPr>
          <w:rFonts w:ascii="Calibri" w:cs="Calibri" w:eastAsia="Calibri" w:hAnsi="Calibri"/>
          <w:sz w:val="18"/>
          <w:szCs w:val="18"/>
          <w:color w:val="auto"/>
        </w:rPr>
      </w:pPr>
      <w:r>
        <w:rPr>
          <w:rFonts w:ascii="Calibri" w:cs="Calibri" w:eastAsia="Calibri" w:hAnsi="Calibri"/>
          <w:sz w:val="18"/>
          <w:szCs w:val="18"/>
          <w:color w:val="auto"/>
        </w:rPr>
        <w:t>Efect of Terminaton of Employment. RSUs will only vest if the Partcipant is actvely employed by the Company or an Afliate prior to the vestng date. If the Partcipant's actve employment with the Company or an Afliate is terminated for any reason prior to the vestng date, and the terminaton consttutes a “separaton from service” within the meaning of Secton 409A of the Code and any related regulatons or other efectve guidance promulgated thereunder (“Secton 409A”), subject to subsecton 2(d), the following would apply to any unvested RSUs on the date of the Partcipant’s terminaton of employment:</w:t>
      </w:r>
    </w:p>
    <w:p>
      <w:pPr>
        <w:spacing w:after="0" w:line="1" w:lineRule="exact"/>
        <w:rPr>
          <w:rFonts w:ascii="Calibri" w:cs="Calibri" w:eastAsia="Calibri" w:hAnsi="Calibri"/>
          <w:sz w:val="18"/>
          <w:szCs w:val="18"/>
          <w:color w:val="auto"/>
        </w:rPr>
      </w:pPr>
    </w:p>
    <w:p>
      <w:pPr>
        <w:ind w:left="1284" w:hanging="312"/>
        <w:spacing w:after="0" w:line="221" w:lineRule="auto"/>
        <w:tabs>
          <w:tab w:leader="none" w:pos="1284" w:val="left"/>
        </w:tabs>
        <w:numPr>
          <w:ilvl w:val="1"/>
          <w:numId w:val="106"/>
        </w:numPr>
        <w:rPr>
          <w:rFonts w:ascii="Calibri" w:cs="Calibri" w:eastAsia="Calibri" w:hAnsi="Calibri"/>
          <w:sz w:val="18"/>
          <w:szCs w:val="18"/>
          <w:color w:val="auto"/>
        </w:rPr>
      </w:pPr>
      <w:r>
        <w:rPr>
          <w:rFonts w:ascii="Calibri" w:cs="Calibri" w:eastAsia="Calibri" w:hAnsi="Calibri"/>
          <w:sz w:val="18"/>
          <w:szCs w:val="18"/>
          <w:u w:val="single" w:color="auto"/>
          <w:color w:val="auto"/>
        </w:rPr>
        <w:t>Terminaton due to Death or Disability</w:t>
      </w:r>
      <w:r>
        <w:rPr>
          <w:rFonts w:ascii="Calibri" w:cs="Calibri" w:eastAsia="Calibri" w:hAnsi="Calibri"/>
          <w:sz w:val="18"/>
          <w:szCs w:val="18"/>
          <w:color w:val="auto"/>
        </w:rPr>
        <w:t>. Any unvested RSUs will immediately become 100% vested.</w:t>
      </w:r>
    </w:p>
    <w:p>
      <w:pPr>
        <w:ind w:left="1304" w:right="320" w:hanging="332"/>
        <w:spacing w:after="0" w:line="221" w:lineRule="auto"/>
        <w:tabs>
          <w:tab w:leader="none" w:pos="1288" w:val="left"/>
        </w:tabs>
        <w:numPr>
          <w:ilvl w:val="1"/>
          <w:numId w:val="106"/>
        </w:numPr>
        <w:rPr>
          <w:rFonts w:ascii="Calibri" w:cs="Calibri" w:eastAsia="Calibri" w:hAnsi="Calibri"/>
          <w:sz w:val="18"/>
          <w:szCs w:val="18"/>
          <w:color w:val="auto"/>
        </w:rPr>
      </w:pPr>
      <w:r>
        <w:rPr>
          <w:rFonts w:ascii="Calibri" w:cs="Calibri" w:eastAsia="Calibri" w:hAnsi="Calibri"/>
          <w:sz w:val="18"/>
          <w:szCs w:val="18"/>
          <w:u w:val="single" w:color="auto"/>
          <w:color w:val="auto"/>
        </w:rPr>
        <w:t>Terminaton due to Retrement or while Retrement Eligible</w:t>
      </w:r>
      <w:r>
        <w:rPr>
          <w:rFonts w:ascii="Calibri" w:cs="Calibri" w:eastAsia="Calibri" w:hAnsi="Calibri"/>
          <w:sz w:val="18"/>
          <w:szCs w:val="18"/>
          <w:color w:val="auto"/>
        </w:rPr>
        <w:t>. A prorated porton (as described below) of unvested RSUs with a vestng date within 12 months of terminaton shall immediately vest on the Partcipant’s terminaton of employment. All other unvested RSUs will automatcally be forfeited.</w:t>
      </w:r>
    </w:p>
    <w:p>
      <w:pPr>
        <w:sectPr>
          <w:pgSz w:w="11900" w:h="16838" w:orient="portrait"/>
          <w:cols w:equalWidth="0" w:num="1">
            <w:col w:w="10584"/>
          </w:cols>
          <w:pgMar w:left="976" w:top="1400" w:right="339" w:bottom="1440" w:gutter="0" w:footer="0" w:header="0"/>
        </w:sectPr>
      </w:pPr>
    </w:p>
    <w:bookmarkStart w:id="97" w:name="page98"/>
    <w:bookmarkEnd w:id="97"/>
    <w:p>
      <w:pPr>
        <w:ind w:left="1284" w:hanging="312"/>
        <w:spacing w:after="0"/>
        <w:tabs>
          <w:tab w:leader="none" w:pos="1284" w:val="left"/>
        </w:tabs>
        <w:numPr>
          <w:ilvl w:val="0"/>
          <w:numId w:val="107"/>
        </w:numPr>
        <w:rPr>
          <w:rFonts w:ascii="Calibri" w:cs="Calibri" w:eastAsia="Calibri" w:hAnsi="Calibri"/>
          <w:sz w:val="18"/>
          <w:szCs w:val="18"/>
          <w:color w:val="auto"/>
        </w:rPr>
      </w:pPr>
      <w:r>
        <w:rPr>
          <w:rFonts w:ascii="Calibri" w:cs="Calibri" w:eastAsia="Calibri" w:hAnsi="Calibri"/>
          <w:sz w:val="18"/>
          <w:szCs w:val="18"/>
          <w:u w:val="single" w:color="auto"/>
          <w:color w:val="auto"/>
        </w:rPr>
        <w:t>Terminaton other than for Death, Disability and Retrement</w:t>
      </w:r>
      <w:r>
        <w:rPr>
          <w:rFonts w:ascii="Calibri" w:cs="Calibri" w:eastAsia="Calibri" w:hAnsi="Calibri"/>
          <w:sz w:val="18"/>
          <w:szCs w:val="18"/>
          <w:color w:val="auto"/>
        </w:rPr>
        <w:t>. All unvested RSUs will automatcally be forfeited.</w:t>
      </w:r>
    </w:p>
    <w:p>
      <w:pPr>
        <w:jc w:val="both"/>
        <w:ind w:left="564"/>
        <w:spacing w:after="0" w:line="221"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Commitee upon the basis of such evidence, including independent medical reports and data, as the Commitee deems appropriate or necessary.</w:t>
      </w:r>
    </w:p>
    <w:p>
      <w:pPr>
        <w:jc w:val="both"/>
        <w:ind w:left="564"/>
        <w:spacing w:after="0" w:line="221"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jc w:val="both"/>
        <w:ind w:left="564"/>
        <w:spacing w:after="0" w:line="218" w:lineRule="auto"/>
        <w:rPr>
          <w:sz w:val="20"/>
          <w:szCs w:val="20"/>
          <w:color w:val="auto"/>
        </w:rPr>
      </w:pPr>
      <w:r>
        <w:rPr>
          <w:rFonts w:ascii="Calibri" w:cs="Calibri" w:eastAsia="Calibri" w:hAnsi="Calibri"/>
          <w:sz w:val="18"/>
          <w:szCs w:val="18"/>
          <w:b w:val="1"/>
          <w:bCs w:val="1"/>
          <w:color w:val="auto"/>
        </w:rPr>
        <w:t xml:space="preserve">Prorated Vestng Upon Retrement. </w:t>
      </w:r>
      <w:r>
        <w:rPr>
          <w:rFonts w:ascii="Calibri" w:cs="Calibri" w:eastAsia="Calibri" w:hAnsi="Calibri"/>
          <w:sz w:val="18"/>
          <w:szCs w:val="18"/>
          <w:color w:val="auto"/>
        </w:rPr>
        <w:t>The prorated porton of the RSUs that vests upon the Partcipant’s terminaton of employment due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Partcipant's Retrement will be determined by multplying the total number of unvested RSUs with vestng date within 12 months of terminaton by a fracton, of which the numerator is the number of full months (not to exceed 12) the Partcipant has been contnually employed since the most recent Vest Period Start Date, and the denominator is 12. For this purpose, full months of employment shall be based on monthly anniversaries of the Vest Period Start Date, not calendar months.</w:t>
      </w:r>
    </w:p>
    <w:p>
      <w:pPr>
        <w:spacing w:after="0" w:line="1" w:lineRule="exact"/>
        <w:rPr>
          <w:sz w:val="20"/>
          <w:szCs w:val="20"/>
          <w:color w:val="auto"/>
        </w:rPr>
      </w:pPr>
    </w:p>
    <w:p>
      <w:pPr>
        <w:jc w:val="both"/>
        <w:ind w:left="564" w:hanging="564"/>
        <w:spacing w:after="0" w:line="221" w:lineRule="auto"/>
        <w:tabs>
          <w:tab w:leader="none" w:pos="542" w:val="left"/>
        </w:tabs>
        <w:numPr>
          <w:ilvl w:val="0"/>
          <w:numId w:val="108"/>
        </w:numPr>
        <w:rPr>
          <w:rFonts w:ascii="Calibri" w:cs="Calibri" w:eastAsia="Calibri" w:hAnsi="Calibri"/>
          <w:sz w:val="18"/>
          <w:szCs w:val="18"/>
          <w:color w:val="auto"/>
        </w:rPr>
      </w:pPr>
      <w:r>
        <w:rPr>
          <w:rFonts w:ascii="Calibri" w:cs="Calibri" w:eastAsia="Calibri" w:hAnsi="Calibri"/>
          <w:sz w:val="18"/>
          <w:szCs w:val="18"/>
          <w:color w:val="auto"/>
        </w:rPr>
        <w:t>Tax Withholding. The Company may make such provisions and take such actons as it may deem necessary for the withholding of all applicable taxes atributable to the RSUs and any related dividend equivalents. Unless the Commitee determines otherwise, the minimum statutory tax withholding required to be withheld upon delivery of the Shares (or such other amount that will not cause an adverse accountng consequence or cost) and payment of dividend equivalents will be satsfed by withholding a number of Shares having an aggregate Fair Market Value equal to the minimum statutory tax required to be withheld (or such other amount that will not cause an adverse accountng consequence or cost). If this withholding would result in a fractonal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1" w:lineRule="exact"/>
        <w:rPr>
          <w:rFonts w:ascii="Calibri" w:cs="Calibri" w:eastAsia="Calibri" w:hAnsi="Calibri"/>
          <w:sz w:val="18"/>
          <w:szCs w:val="18"/>
          <w:color w:val="auto"/>
        </w:rPr>
      </w:pPr>
    </w:p>
    <w:p>
      <w:pPr>
        <w:jc w:val="both"/>
        <w:ind w:left="564" w:hanging="564"/>
        <w:spacing w:after="0" w:line="231" w:lineRule="auto"/>
        <w:tabs>
          <w:tab w:leader="none" w:pos="556" w:val="left"/>
        </w:tabs>
        <w:numPr>
          <w:ilvl w:val="0"/>
          <w:numId w:val="108"/>
        </w:numPr>
        <w:rPr>
          <w:rFonts w:ascii="Calibri" w:cs="Calibri" w:eastAsia="Calibri" w:hAnsi="Calibri"/>
          <w:sz w:val="17"/>
          <w:szCs w:val="17"/>
          <w:color w:val="auto"/>
        </w:rPr>
      </w:pPr>
      <w:r>
        <w:rPr>
          <w:rFonts w:ascii="Calibri" w:cs="Calibri" w:eastAsia="Calibri" w:hAnsi="Calibri"/>
          <w:sz w:val="17"/>
          <w:szCs w:val="17"/>
          <w:color w:val="auto"/>
        </w:rPr>
        <w:t>Partcipant Covenants and Forfeiture and Clawback Provisions. The Partcipant acknowledges and agrees that the RSUs, whether previously vested or not, may be cancelled in full, and the Partcipant may be required to return to the Company any Shares received on setlement of vested RSUs or the net afer-tax income, or the pre-tax value to the extent required by applicable law and/or the Company’s Recoupment of Incentve-Based Compensaton Policy 40-05, from the dispositon of any Shares received upon setlement of vested RSUs, to the extent required by applicable law and/or the Company Policy 40-05, or if the Commitee, in its sole discreton, determines that the Partcipant:</w:t>
      </w:r>
    </w:p>
    <w:p>
      <w:pPr>
        <w:ind w:left="564" w:right="2700"/>
        <w:spacing w:after="0" w:line="234" w:lineRule="auto"/>
        <w:rPr>
          <w:rFonts w:ascii="Calibri" w:cs="Calibri" w:eastAsia="Calibri" w:hAnsi="Calibri"/>
          <w:sz w:val="17"/>
          <w:szCs w:val="17"/>
          <w:color w:val="auto"/>
        </w:rPr>
      </w:pPr>
      <w:r>
        <w:rPr>
          <w:rFonts w:ascii="Calibri" w:cs="Calibri" w:eastAsia="Calibri" w:hAnsi="Calibri"/>
          <w:sz w:val="17"/>
          <w:szCs w:val="17"/>
          <w:color w:val="auto"/>
        </w:rPr>
        <w:t>Has engaged in any actvity in violaton of Company policies, including the Company’s Code of Conduct; Has engaged in conduct materially adverse to the best interests of the Company or its Afliates; or</w:t>
      </w:r>
    </w:p>
    <w:p>
      <w:pPr>
        <w:ind w:left="564"/>
        <w:spacing w:after="0" w:line="221" w:lineRule="auto"/>
        <w:rPr>
          <w:rFonts w:ascii="Calibri" w:cs="Calibri" w:eastAsia="Calibri" w:hAnsi="Calibri"/>
          <w:sz w:val="17"/>
          <w:szCs w:val="17"/>
          <w:color w:val="auto"/>
        </w:rPr>
      </w:pPr>
      <w:r>
        <w:rPr>
          <w:rFonts w:ascii="Calibri" w:cs="Calibri" w:eastAsia="Calibri" w:hAnsi="Calibri"/>
          <w:sz w:val="18"/>
          <w:szCs w:val="18"/>
          <w:color w:val="auto"/>
        </w:rPr>
        <w:t>Uses, discloses, misappropriates or transfers confdental or proprietary informaton concerning the Company or its Afliates (except as required by the Partcipant’s work responsibilites with the Company or its Afliates);</w:t>
      </w:r>
    </w:p>
    <w:p>
      <w:pPr>
        <w:jc w:val="both"/>
        <w:ind w:left="564"/>
        <w:spacing w:after="0" w:line="221" w:lineRule="auto"/>
        <w:rPr>
          <w:rFonts w:ascii="Calibri" w:cs="Calibri" w:eastAsia="Calibri" w:hAnsi="Calibri"/>
          <w:sz w:val="17"/>
          <w:szCs w:val="17"/>
          <w:color w:val="auto"/>
        </w:rPr>
      </w:pPr>
      <w:r>
        <w:rPr>
          <w:rFonts w:ascii="Calibri" w:cs="Calibri" w:eastAsia="Calibri" w:hAnsi="Calibri"/>
          <w:sz w:val="18"/>
          <w:szCs w:val="18"/>
          <w:color w:val="auto"/>
        </w:rPr>
        <w:t>Directly or indirectly, hires or solicits or arranges for the hiring or solicitaton of any employee or customer of the Company or its Afliates, or encourages any employee to leave the Company or an Afliate any tme during the Partcipant’s employment and for 12 months afer terminaton of his or her employment (subject to applicable restrictons included in Exhibit 1 atached hereto); or</w:t>
      </w:r>
    </w:p>
    <w:p>
      <w:pPr>
        <w:ind w:left="564" w:hanging="564"/>
        <w:spacing w:after="0" w:line="213" w:lineRule="auto"/>
        <w:tabs>
          <w:tab w:leader="none" w:pos="552" w:val="left"/>
        </w:tabs>
        <w:numPr>
          <w:ilvl w:val="0"/>
          <w:numId w:val="108"/>
        </w:numPr>
        <w:rPr>
          <w:rFonts w:ascii="Calibri" w:cs="Calibri" w:eastAsia="Calibri" w:hAnsi="Calibri"/>
          <w:sz w:val="18"/>
          <w:szCs w:val="18"/>
          <w:color w:val="auto"/>
        </w:rPr>
      </w:pPr>
      <w:r>
        <w:rPr>
          <w:rFonts w:ascii="Calibri" w:cs="Calibri" w:eastAsia="Calibri" w:hAnsi="Calibri"/>
          <w:sz w:val="18"/>
          <w:szCs w:val="18"/>
          <w:color w:val="auto"/>
        </w:rPr>
        <w:t>Violates the non-competton covenant set forth in Appendix A of this Agreement (the “Non-Competton Covenant”) at any tme during the Partcipant’s employment and for 12 months afer terminaton of his or her employment.</w:t>
      </w:r>
    </w:p>
    <w:p>
      <w:pPr>
        <w:spacing w:after="0" w:line="1" w:lineRule="exact"/>
        <w:rPr>
          <w:rFonts w:ascii="Calibri" w:cs="Calibri" w:eastAsia="Calibri" w:hAnsi="Calibri"/>
          <w:sz w:val="18"/>
          <w:szCs w:val="18"/>
          <w:color w:val="auto"/>
        </w:rPr>
      </w:pPr>
    </w:p>
    <w:p>
      <w:pPr>
        <w:jc w:val="both"/>
        <w:ind w:left="564"/>
        <w:spacing w:after="0" w:line="221" w:lineRule="auto"/>
        <w:rPr>
          <w:rFonts w:ascii="Calibri" w:cs="Calibri" w:eastAsia="Calibri" w:hAnsi="Calibri"/>
          <w:sz w:val="18"/>
          <w:szCs w:val="18"/>
          <w:color w:val="auto"/>
        </w:rPr>
      </w:pPr>
      <w:r>
        <w:rPr>
          <w:rFonts w:ascii="Calibri" w:cs="Calibri" w:eastAsia="Calibri" w:hAnsi="Calibri"/>
          <w:sz w:val="18"/>
          <w:szCs w:val="18"/>
          <w:color w:val="auto"/>
        </w:rPr>
        <w:t>The Partcipant agrees, understands and acknowledges that the scope and duraton of the Partcipant obligatons contained in this Agreement are reasonable and necessary to protect a legitmate, protectable interest of the Company and its Afliates, and that the Commitee, in its sole discreton, may require the Partcipant, as a conditon to lapsing any restrictons on the RSUs, to acknowledge in writng that the Partcipant has not engaged, and is not in the process of engaging, in any of the actvites described in this subsecton.</w:t>
      </w:r>
    </w:p>
    <w:p>
      <w:pPr>
        <w:ind w:left="564"/>
        <w:spacing w:after="0" w:line="221" w:lineRule="auto"/>
        <w:rPr>
          <w:rFonts w:ascii="Calibri" w:cs="Calibri" w:eastAsia="Calibri" w:hAnsi="Calibri"/>
          <w:sz w:val="18"/>
          <w:szCs w:val="18"/>
          <w:color w:val="auto"/>
        </w:rPr>
      </w:pPr>
      <w:r>
        <w:rPr>
          <w:rFonts w:ascii="Calibri" w:cs="Calibri" w:eastAsia="Calibri" w:hAnsi="Calibri"/>
          <w:sz w:val="18"/>
          <w:szCs w:val="18"/>
          <w:color w:val="auto"/>
        </w:rPr>
        <w:t>The obligatons in this subsecton are in additon to any other agreements related to non-competton, non-solicitaton and preservaton of Company confdental and proprietary</w:t>
      </w:r>
    </w:p>
    <w:p>
      <w:pPr>
        <w:sectPr>
          <w:pgSz w:w="11900" w:h="16838" w:orient="portrait"/>
          <w:cols w:equalWidth="0" w:num="1">
            <w:col w:w="10584"/>
          </w:cols>
          <w:pgMar w:left="976" w:top="1395" w:right="339" w:bottom="1440" w:gutter="0" w:footer="0" w:header="0"/>
        </w:sectPr>
      </w:pPr>
    </w:p>
    <w:bookmarkStart w:id="98" w:name="page99"/>
    <w:bookmarkEnd w:id="98"/>
    <w:p>
      <w:pPr>
        <w:jc w:val="both"/>
        <w:ind w:left="564"/>
        <w:spacing w:after="0" w:line="221" w:lineRule="auto"/>
        <w:rPr>
          <w:sz w:val="20"/>
          <w:szCs w:val="20"/>
          <w:color w:val="auto"/>
        </w:rPr>
      </w:pPr>
      <w:r>
        <w:rPr>
          <w:rFonts w:ascii="Calibri" w:cs="Calibri" w:eastAsia="Calibri" w:hAnsi="Calibri"/>
          <w:sz w:val="18"/>
          <w:szCs w:val="18"/>
          <w:color w:val="auto"/>
        </w:rPr>
        <w:t>informaton entered into between the Partcipant and the Company, or otherwise applicable to the Partcipant,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Partcipant from voluntarily communicatng, without notce to or approval by the Company, with any federal government agency about a potental violaton of a federal law or regulaton.</w:t>
      </w:r>
    </w:p>
    <w:p>
      <w:pPr>
        <w:jc w:val="both"/>
        <w:ind w:left="564" w:hanging="564"/>
        <w:spacing w:after="0" w:line="221" w:lineRule="auto"/>
        <w:tabs>
          <w:tab w:leader="none" w:pos="554" w:val="left"/>
        </w:tabs>
        <w:numPr>
          <w:ilvl w:val="0"/>
          <w:numId w:val="109"/>
        </w:numPr>
        <w:rPr>
          <w:rFonts w:ascii="Calibri" w:cs="Calibri" w:eastAsia="Calibri" w:hAnsi="Calibri"/>
          <w:sz w:val="18"/>
          <w:szCs w:val="18"/>
          <w:color w:val="auto"/>
        </w:rPr>
      </w:pPr>
      <w:r>
        <w:rPr>
          <w:rFonts w:ascii="Calibri" w:cs="Calibri" w:eastAsia="Calibri" w:hAnsi="Calibri"/>
          <w:sz w:val="18"/>
          <w:szCs w:val="18"/>
          <w:color w:val="auto"/>
        </w:rPr>
        <w:t>Injunctve Acton. The Partcipant acknowledges that if the Partcipant violates the terms of subsecton 2(g), the injury that would be sufered by the Company and/or an Afliate as a result of a breach of the provisions of this Agreement (including any covenant described in subsecton 2(g)) would be irreparable and that an award of monetary damages to the Company and/or an Afliate for such a breach would be an inadequate remedy. Consequently, the Company and/or an Afliate shall have the right, in additon to any other rights it may have, including the right to forfeiture and clawback under this Agreement, to obtain injunctve relief to restrain any breach or threatened breach or otherwise to specifcally enforce any provision of this Agreement, and the Company and/or an Afliate will not be obligated to post bond or other security in seeking such relief. Without limitng the Company’s or Afliate’s rights under subsecton 2(g) or any other remedies of the Company or an Afliate, if the Partcipant breaches any covenant described in subsecton 2(g), the Company will have the right to cancel this Agreement.</w:t>
      </w:r>
    </w:p>
    <w:p>
      <w:pPr>
        <w:spacing w:after="0" w:line="1" w:lineRule="exact"/>
        <w:rPr>
          <w:rFonts w:ascii="Calibri" w:cs="Calibri" w:eastAsia="Calibri" w:hAnsi="Calibri"/>
          <w:sz w:val="18"/>
          <w:szCs w:val="18"/>
          <w:color w:val="auto"/>
        </w:rPr>
      </w:pPr>
    </w:p>
    <w:p>
      <w:pPr>
        <w:jc w:val="both"/>
        <w:ind w:left="564" w:hanging="564"/>
        <w:spacing w:after="0" w:line="218" w:lineRule="auto"/>
        <w:tabs>
          <w:tab w:leader="none" w:pos="556" w:val="left"/>
        </w:tabs>
        <w:numPr>
          <w:ilvl w:val="0"/>
          <w:numId w:val="109"/>
        </w:numPr>
        <w:rPr>
          <w:rFonts w:ascii="Calibri" w:cs="Calibri" w:eastAsia="Calibri" w:hAnsi="Calibri"/>
          <w:sz w:val="18"/>
          <w:szCs w:val="18"/>
          <w:color w:val="auto"/>
        </w:rPr>
      </w:pPr>
      <w:r>
        <w:rPr>
          <w:rFonts w:ascii="Calibri" w:cs="Calibri" w:eastAsia="Calibri" w:hAnsi="Calibri"/>
          <w:sz w:val="18"/>
          <w:szCs w:val="18"/>
          <w:color w:val="auto"/>
        </w:rPr>
        <w:t>Electronic Delivery and Acceptance. The Partcipant consents to electronic delivery of any Plan documents. The Partcipant consents to any and all procedures that the Company has established or may establish for an electronic signature system for delivery and acceptance of Plan related documents. The Partcipant agrees that his, her or their electronic signature is the same as, and will have the same force and efect as, his, her or their manual signature. The Partcipant understands and agrees that if this Agreement is not accepted within 90 days of the Grant Date, the award is forfeited in full. Partcipant agrees that these procedures and delivery may be efected by a third party engaged by the Company to provide administratve services related to the Plan.</w:t>
      </w:r>
    </w:p>
    <w:p>
      <w:pPr>
        <w:spacing w:after="0" w:line="3" w:lineRule="exact"/>
        <w:rPr>
          <w:rFonts w:ascii="Calibri" w:cs="Calibri" w:eastAsia="Calibri" w:hAnsi="Calibri"/>
          <w:sz w:val="18"/>
          <w:szCs w:val="18"/>
          <w:color w:val="auto"/>
        </w:rPr>
      </w:pPr>
    </w:p>
    <w:p>
      <w:pPr>
        <w:jc w:val="both"/>
        <w:ind w:left="564" w:hanging="564"/>
        <w:spacing w:after="0" w:line="221" w:lineRule="auto"/>
        <w:tabs>
          <w:tab w:leader="none" w:pos="553" w:val="left"/>
        </w:tabs>
        <w:numPr>
          <w:ilvl w:val="0"/>
          <w:numId w:val="109"/>
        </w:numPr>
        <w:rPr>
          <w:rFonts w:ascii="Calibri" w:cs="Calibri" w:eastAsia="Calibri" w:hAnsi="Calibri"/>
          <w:sz w:val="18"/>
          <w:szCs w:val="18"/>
          <w:color w:val="auto"/>
        </w:rPr>
      </w:pPr>
      <w:r>
        <w:rPr>
          <w:rFonts w:ascii="Calibri" w:cs="Calibri" w:eastAsia="Calibri" w:hAnsi="Calibri"/>
          <w:sz w:val="18"/>
          <w:szCs w:val="18"/>
          <w:color w:val="auto"/>
        </w:rPr>
        <w:t>Right of Set-Of. If the Company in its reasonable judgment determines that the Partcipant owes the Company or an Afliate any amount due to any loan, obligaton or indebtedness, including amounts owed under the Company’s tax equalizaton program or the Company’s policies with respect to travel and business expenses, and the Partcipant has not satsfed these obligaton(s), the Company may instruct the plan administrator to withhold and/or sell Shares acquired by the Partcipant on setlement of the RSUs (to the extent such RSUs are not subject to Code Secton 409A), or the Company may deduct funds equal to the amount of the obligaton from other funds due to the Partcipant from the Company to the maximum extent permited by Code Secton 409A.</w:t>
      </w:r>
    </w:p>
    <w:p>
      <w:pPr>
        <w:jc w:val="both"/>
        <w:ind w:left="564" w:hanging="564"/>
        <w:spacing w:after="0" w:line="219" w:lineRule="auto"/>
        <w:tabs>
          <w:tab w:leader="none" w:pos="554" w:val="left"/>
        </w:tabs>
        <w:numPr>
          <w:ilvl w:val="0"/>
          <w:numId w:val="109"/>
        </w:numPr>
        <w:rPr>
          <w:rFonts w:ascii="Calibri" w:cs="Calibri" w:eastAsia="Calibri" w:hAnsi="Calibri"/>
          <w:sz w:val="18"/>
          <w:szCs w:val="18"/>
          <w:color w:val="auto"/>
        </w:rPr>
      </w:pPr>
      <w:r>
        <w:rPr>
          <w:rFonts w:ascii="Calibri" w:cs="Calibri" w:eastAsia="Calibri" w:hAnsi="Calibri"/>
          <w:sz w:val="18"/>
          <w:szCs w:val="18"/>
          <w:color w:val="auto"/>
        </w:rPr>
        <w:t>Data Privacy. Partcipant acknowledges and consents to the collecton, use, processing and transfer of personal data. Partcipant is not obliged to consent to such collecton, use, processing and transfer of personal data. However, failure to provide the consent may afect Partcipant’s ability to partcipate in the Plan. The Company holds certain personal informaton about Partcipant, that may include his/her name, home address and telephone number, date of birth, social security number or other employee identfcaton number, salary grade, hire data, salary, natonality, job ttle, or details of all optons or performance stock units or any other enttlement to Shares of stock awarded, canceled, purchased, vested, or unvested, for the purpose of managing and administering the Plan (“Data”). The Company and its Afliates will transfer Data amongst themselves as necessary for the purpose of implementaton, administraton and management of Partcipant’s partcipaton in the Plan, and the Company or its Afliates may each further transfer Data to any third partes assistng the Company with the implementaton, administraton and management of the Plan. These recipients may be located throughout the world, including the United States. The Partcipant authorizes them to receive, possess, use, retain and transfer the Data, in electronic or other form, for the purposes of implementng, administering and managing partcipaton in the Plan, including any transfer of Data that may be</w:t>
      </w:r>
    </w:p>
    <w:p>
      <w:pPr>
        <w:sectPr>
          <w:pgSz w:w="11900" w:h="16838" w:orient="portrait"/>
          <w:cols w:equalWidth="0" w:num="1">
            <w:col w:w="10584"/>
          </w:cols>
          <w:pgMar w:left="976" w:top="1400" w:right="339" w:bottom="1440" w:gutter="0" w:footer="0" w:header="0"/>
        </w:sectPr>
      </w:pPr>
    </w:p>
    <w:bookmarkStart w:id="99" w:name="page100"/>
    <w:bookmarkEnd w:id="99"/>
    <w:p>
      <w:pPr>
        <w:jc w:val="both"/>
        <w:ind w:left="1220"/>
        <w:spacing w:after="0" w:line="223" w:lineRule="auto"/>
        <w:rPr>
          <w:sz w:val="20"/>
          <w:szCs w:val="20"/>
          <w:color w:val="auto"/>
        </w:rPr>
      </w:pPr>
      <w:r>
        <w:rPr>
          <w:rFonts w:ascii="Calibri" w:cs="Calibri" w:eastAsia="Calibri" w:hAnsi="Calibri"/>
          <w:sz w:val="18"/>
          <w:szCs w:val="18"/>
          <w:color w:val="auto"/>
        </w:rPr>
        <w:t>required for the administraton of the Plan and/or the subsequent holding of Shares of stock on Partcipant’s behalf to a broker or other third party with whom Partcipant may elect to deposit any Shares of stock acquired pursuant to the Plan. Partcipant may, at any tme, review Data, require any necessary amendments to it or withdraw this consent in writng by contactng Partcipant’s designated Human Resources professional; however, withdrawing consent may afect Partcipant’s ability to partcipate in the Plan. All Data will be managed in compliance with the Company’s Data Privacy Guidelines and applicable employee notfcatons, which may contain more stringent requirements, but in any case will not be less stringent than this subsecton 2(k).</w:t>
      </w:r>
    </w:p>
    <w:p>
      <w:pPr>
        <w:spacing w:after="0" w:line="2" w:lineRule="exact"/>
        <w:rPr>
          <w:sz w:val="20"/>
          <w:szCs w:val="20"/>
          <w:color w:val="auto"/>
        </w:rPr>
      </w:pPr>
    </w:p>
    <w:p>
      <w:pPr>
        <w:ind w:left="1220" w:hanging="564"/>
        <w:spacing w:after="0" w:line="213" w:lineRule="auto"/>
        <w:tabs>
          <w:tab w:leader="none" w:pos="1215" w:val="left"/>
        </w:tabs>
        <w:numPr>
          <w:ilvl w:val="0"/>
          <w:numId w:val="110"/>
        </w:numPr>
        <w:rPr>
          <w:rFonts w:ascii="Calibri" w:cs="Calibri" w:eastAsia="Calibri" w:hAnsi="Calibri"/>
          <w:sz w:val="18"/>
          <w:szCs w:val="18"/>
          <w:color w:val="auto"/>
        </w:rPr>
      </w:pPr>
      <w:r>
        <w:rPr>
          <w:rFonts w:ascii="Calibri" w:cs="Calibri" w:eastAsia="Calibri" w:hAnsi="Calibri"/>
          <w:sz w:val="18"/>
          <w:szCs w:val="18"/>
          <w:color w:val="auto"/>
        </w:rPr>
        <w:t>Stock Ownership Guidelines. If the Partcipant is or becomes subject to the Company’s Stock Ownership Guidelines and applicable retenton requirements, the Partcipant may be limited in selling Shares obtained upon setlement of the RSUs.</w:t>
      </w:r>
    </w:p>
    <w:p>
      <w:pPr>
        <w:spacing w:after="0" w:line="1" w:lineRule="exact"/>
        <w:rPr>
          <w:rFonts w:ascii="Calibri" w:cs="Calibri" w:eastAsia="Calibri" w:hAnsi="Calibri"/>
          <w:sz w:val="18"/>
          <w:szCs w:val="18"/>
          <w:color w:val="auto"/>
        </w:rPr>
      </w:pPr>
    </w:p>
    <w:p>
      <w:pPr>
        <w:jc w:val="both"/>
        <w:ind w:left="1220" w:hanging="564"/>
        <w:spacing w:after="0" w:line="234" w:lineRule="auto"/>
        <w:tabs>
          <w:tab w:leader="none" w:pos="1208" w:val="left"/>
        </w:tabs>
        <w:numPr>
          <w:ilvl w:val="0"/>
          <w:numId w:val="110"/>
        </w:numPr>
        <w:rPr>
          <w:rFonts w:ascii="Calibri" w:cs="Calibri" w:eastAsia="Calibri" w:hAnsi="Calibri"/>
          <w:sz w:val="17"/>
          <w:szCs w:val="17"/>
          <w:color w:val="auto"/>
        </w:rPr>
      </w:pPr>
      <w:r>
        <w:rPr>
          <w:rFonts w:ascii="Calibri" w:cs="Calibri" w:eastAsia="Calibri" w:hAnsi="Calibri"/>
          <w:sz w:val="17"/>
          <w:szCs w:val="17"/>
          <w:color w:val="auto"/>
        </w:rPr>
        <w:t>Clawback Policy. If the Partcipant is covered by the Company’s Clawback Policy, the Partcipant agrees that the RSUs are subject to the Policy and may be subject to recovery (in whole or in part) by the Company. The Partcipant agrees that the Clawback Policy may be amended from tme to tme by the Commitee, including amendments to comply with applicable laws, regulatons or stock exchange listng requirements.</w:t>
      </w:r>
    </w:p>
    <w:p>
      <w:pPr>
        <w:ind w:left="1220" w:hanging="564"/>
        <w:spacing w:after="0" w:line="221" w:lineRule="auto"/>
        <w:tabs>
          <w:tab w:leader="none" w:pos="1208" w:val="left"/>
        </w:tabs>
        <w:numPr>
          <w:ilvl w:val="0"/>
          <w:numId w:val="110"/>
        </w:numPr>
        <w:rPr>
          <w:rFonts w:ascii="Calibri" w:cs="Calibri" w:eastAsia="Calibri" w:hAnsi="Calibri"/>
          <w:sz w:val="18"/>
          <w:szCs w:val="18"/>
          <w:color w:val="auto"/>
        </w:rPr>
      </w:pPr>
      <w:r>
        <w:rPr>
          <w:rFonts w:ascii="Calibri" w:cs="Calibri" w:eastAsia="Calibri" w:hAnsi="Calibri"/>
          <w:sz w:val="18"/>
          <w:szCs w:val="18"/>
          <w:color w:val="auto"/>
        </w:rPr>
        <w:t>Secton 409A Compliance. It is intended that the Plan and this Agreement comply with the requirements of Secton 409A to the extent applicable, and the Plan and this Agreement shall be interpreted accordingly.</w:t>
      </w:r>
    </w:p>
    <w:p>
      <w:pPr>
        <w:jc w:val="both"/>
        <w:ind w:left="1220" w:hanging="564"/>
        <w:spacing w:after="0" w:line="221" w:lineRule="auto"/>
        <w:tabs>
          <w:tab w:leader="none" w:pos="1215" w:val="left"/>
        </w:tabs>
        <w:numPr>
          <w:ilvl w:val="0"/>
          <w:numId w:val="111"/>
        </w:numPr>
        <w:rPr>
          <w:rFonts w:ascii="Calibri" w:cs="Calibri" w:eastAsia="Calibri" w:hAnsi="Calibri"/>
          <w:sz w:val="18"/>
          <w:szCs w:val="18"/>
          <w:color w:val="auto"/>
        </w:rPr>
      </w:pPr>
      <w:r>
        <w:rPr>
          <w:rFonts w:ascii="Calibri" w:cs="Calibri" w:eastAsia="Calibri" w:hAnsi="Calibri"/>
          <w:sz w:val="18"/>
          <w:szCs w:val="18"/>
          <w:color w:val="auto"/>
        </w:rPr>
        <w:t>If it is determined that all or a porton of the Award consttutes deferred compensaton for the purposes of Secton 409A, and if the Partcipant is a “specifed employee,” as defned in Secton 409A(a)(2)(B)(i) of the Code, at the tme of the Partcipant ’s separaton from service, then, to the extent required under Secton 409A, any Shares that would otherwise be distributed (along with the cash value of all dividend equivalents that would be payable) upon the Partcipant ’s separaton from service, shall instead be delivered (and, in the case of the dividend equivalents, paid) on the earlier of (x) the frst business day of the seventh month following the date of the Partcipant ’s separaton from service or (y) the Partcipant ’s death.</w:t>
      </w:r>
    </w:p>
    <w:p>
      <w:pPr>
        <w:jc w:val="both"/>
        <w:ind w:left="1220" w:hanging="564"/>
        <w:spacing w:after="0" w:line="218" w:lineRule="auto"/>
        <w:tabs>
          <w:tab w:leader="none" w:pos="1208" w:val="left"/>
        </w:tabs>
        <w:numPr>
          <w:ilvl w:val="0"/>
          <w:numId w:val="111"/>
        </w:numPr>
        <w:rPr>
          <w:rFonts w:ascii="Calibri" w:cs="Calibri" w:eastAsia="Calibri" w:hAnsi="Calibri"/>
          <w:sz w:val="18"/>
          <w:szCs w:val="18"/>
          <w:color w:val="auto"/>
        </w:rPr>
      </w:pPr>
      <w:r>
        <w:rPr>
          <w:rFonts w:ascii="Calibri" w:cs="Calibri" w:eastAsia="Calibri" w:hAnsi="Calibri"/>
          <w:sz w:val="18"/>
          <w:szCs w:val="18"/>
          <w:color w:val="auto"/>
        </w:rPr>
        <w:t>If it is determined that all or a porton of the Award consttutes deferred compensaton for the purposes of Secton 409A, upon an Change in Control that does not consttute a “change in the ownership” or a “change in the efectve control” of the Company or a “change in the ownership of a substantal porton of a corporaton’s assets” (as those terms are used in Secton 409A), the RSUs will vest at the tme of the Change in Control, but distributon of any RSUs (or related dividend equivalents) that consttute deferred compensaton for the purposes of Secton 409A will not be accelerated (i.e., distributon will occur when it would have occurred absent the Change in Control).</w:t>
      </w:r>
    </w:p>
    <w:p>
      <w:pPr>
        <w:spacing w:after="0" w:line="1" w:lineRule="exact"/>
        <w:rPr>
          <w:rFonts w:ascii="Calibri" w:cs="Calibri" w:eastAsia="Calibri" w:hAnsi="Calibri"/>
          <w:sz w:val="18"/>
          <w:szCs w:val="18"/>
          <w:color w:val="auto"/>
        </w:rPr>
      </w:pPr>
    </w:p>
    <w:p>
      <w:pPr>
        <w:jc w:val="both"/>
        <w:ind w:left="1220" w:hanging="564"/>
        <w:spacing w:after="0" w:line="221" w:lineRule="auto"/>
        <w:tabs>
          <w:tab w:leader="none" w:pos="1208" w:val="left"/>
        </w:tabs>
        <w:numPr>
          <w:ilvl w:val="0"/>
          <w:numId w:val="111"/>
        </w:numPr>
        <w:rPr>
          <w:rFonts w:ascii="Calibri" w:cs="Calibri" w:eastAsia="Calibri" w:hAnsi="Calibri"/>
          <w:sz w:val="18"/>
          <w:szCs w:val="18"/>
          <w:color w:val="auto"/>
        </w:rPr>
      </w:pPr>
      <w:r>
        <w:rPr>
          <w:rFonts w:ascii="Calibri" w:cs="Calibri" w:eastAsia="Calibri" w:hAnsi="Calibri"/>
          <w:sz w:val="18"/>
          <w:szCs w:val="18"/>
          <w:color w:val="auto"/>
        </w:rPr>
        <w:t>Governing Law. This Agreement is governed and construed in accordance with the laws of the State of Indiana, excluding any conficts or choice of law rule or principle that might otherwise refer constructon or interpretaton of this Agreement to the substantve law of another jurisdicton.</w:t>
      </w:r>
    </w:p>
    <w:p>
      <w:pPr>
        <w:jc w:val="both"/>
        <w:ind w:left="1220" w:hanging="564"/>
        <w:spacing w:after="0" w:line="221" w:lineRule="auto"/>
        <w:tabs>
          <w:tab w:leader="none" w:pos="1208" w:val="left"/>
        </w:tabs>
        <w:numPr>
          <w:ilvl w:val="0"/>
          <w:numId w:val="111"/>
        </w:numPr>
        <w:rPr>
          <w:rFonts w:ascii="Calibri" w:cs="Calibri" w:eastAsia="Calibri" w:hAnsi="Calibri"/>
          <w:sz w:val="18"/>
          <w:szCs w:val="18"/>
          <w:color w:val="auto"/>
        </w:rPr>
      </w:pPr>
      <w:r>
        <w:rPr>
          <w:rFonts w:ascii="Calibri" w:cs="Calibri" w:eastAsia="Calibri" w:hAnsi="Calibri"/>
          <w:sz w:val="18"/>
          <w:szCs w:val="18"/>
          <w:color w:val="auto"/>
        </w:rPr>
        <w:t>Consent to Jurisdicton. Each party hereby submits and consents to the exclusive jurisdicton of the state or federal courts in the State of Indiana, and, in each case, appellate courts therefrom, with respect to any suit, acton or proceeding brought by any party arising under or relatng to this Agreement.</w:t>
      </w:r>
    </w:p>
    <w:p>
      <w:pPr>
        <w:spacing w:after="0" w:line="231" w:lineRule="exact"/>
        <w:rPr>
          <w:sz w:val="20"/>
          <w:szCs w:val="20"/>
          <w:color w:val="auto"/>
        </w:rPr>
      </w:pPr>
    </w:p>
    <w:p>
      <w:pPr>
        <w:spacing w:after="0" w:line="227" w:lineRule="auto"/>
        <w:rPr>
          <w:sz w:val="20"/>
          <w:szCs w:val="20"/>
          <w:color w:val="auto"/>
        </w:rPr>
      </w:pPr>
      <w:r>
        <w:rPr>
          <w:rFonts w:ascii="Calibri" w:cs="Calibri" w:eastAsia="Calibri" w:hAnsi="Calibri"/>
          <w:sz w:val="18"/>
          <w:szCs w:val="18"/>
          <w:i w:val="1"/>
          <w:iCs w:val="1"/>
          <w:color w:val="auto"/>
        </w:rPr>
        <w:t>By signing a copy of this Agreement, the Partcipant acknowledges that s/he has received a copy of the Plan and that s/he has read and understands the Plan and this Agreement and agrees to their terms and conditons.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Agreed to: </w:t>
      </w:r>
      <w:r>
        <w:rPr>
          <w:rFonts w:ascii="Calibri" w:cs="Calibri" w:eastAsia="Calibri" w:hAnsi="Calibri"/>
          <w:sz w:val="21"/>
          <w:szCs w:val="21"/>
          <w:b w:val="1"/>
          <w:bCs w:val="1"/>
          <w:color w:val="auto"/>
        </w:rPr>
        <w:t>XYLEM INC.</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 _____________________________</w:t>
      </w:r>
    </w:p>
    <w:p>
      <w:pPr>
        <w:spacing w:after="0" w:line="235" w:lineRule="auto"/>
        <w:rPr>
          <w:sz w:val="20"/>
          <w:szCs w:val="20"/>
          <w:color w:val="auto"/>
        </w:rPr>
      </w:pPr>
      <w:r>
        <w:rPr>
          <w:rFonts w:ascii="Calibri" w:cs="Calibri" w:eastAsia="Calibri" w:hAnsi="Calibri"/>
          <w:sz w:val="18"/>
          <w:szCs w:val="18"/>
          <w:color w:val="auto"/>
        </w:rPr>
        <w:t>Partcipant Mathew Pine, President and CEO</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(Online Acceptance Consttutes Agreement)</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Dated: _________________ Dated: ###GRANT_DATE###</w:t>
      </w:r>
    </w:p>
    <w:p>
      <w:pPr>
        <w:sectPr>
          <w:pgSz w:w="11900" w:h="16838" w:orient="portrait"/>
          <w:cols w:equalWidth="0" w:num="1">
            <w:col w:w="11240"/>
          </w:cols>
          <w:pgMar w:left="320" w:top="1400" w:right="339" w:bottom="1440" w:gutter="0" w:footer="0" w:header="0"/>
        </w:sectPr>
      </w:pPr>
    </w:p>
    <w:bookmarkStart w:id="100" w:name="page101"/>
    <w:bookmarkEnd w:id="100"/>
    <w:p>
      <w:pPr>
        <w:spacing w:after="0" w:line="19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Appendix A Non-Competton Covenant</w:t>
      </w:r>
    </w:p>
    <w:p>
      <w:pPr>
        <w:ind w:left="640" w:hanging="308"/>
        <w:spacing w:after="0" w:line="205" w:lineRule="auto"/>
        <w:tabs>
          <w:tab w:leader="none" w:pos="640" w:val="left"/>
        </w:tabs>
        <w:numPr>
          <w:ilvl w:val="0"/>
          <w:numId w:val="112"/>
        </w:numPr>
        <w:rPr>
          <w:rFonts w:ascii="Calibri" w:cs="Calibri" w:eastAsia="Calibri" w:hAnsi="Calibri"/>
          <w:sz w:val="22"/>
          <w:szCs w:val="22"/>
          <w:color w:val="auto"/>
        </w:rPr>
      </w:pPr>
      <w:r>
        <w:rPr>
          <w:rFonts w:ascii="Calibri" w:cs="Calibri" w:eastAsia="Calibri" w:hAnsi="Calibri"/>
          <w:sz w:val="18"/>
          <w:szCs w:val="18"/>
          <w:u w:val="single" w:color="auto"/>
          <w:color w:val="auto"/>
        </w:rPr>
        <w:t>Defnitons</w:t>
      </w:r>
      <w:r>
        <w:rPr>
          <w:rFonts w:ascii="Calibri" w:cs="Calibri" w:eastAsia="Calibri" w:hAnsi="Calibri"/>
          <w:sz w:val="18"/>
          <w:szCs w:val="18"/>
          <w:color w:val="auto"/>
        </w:rPr>
        <w:t>.</w:t>
      </w:r>
    </w:p>
    <w:p>
      <w:pPr>
        <w:spacing w:after="0" w:line="10" w:lineRule="exact"/>
        <w:rPr>
          <w:sz w:val="20"/>
          <w:szCs w:val="20"/>
          <w:color w:val="auto"/>
        </w:rPr>
      </w:pPr>
    </w:p>
    <w:p>
      <w:pPr>
        <w:jc w:val="both"/>
        <w:ind w:left="660" w:hanging="328"/>
        <w:spacing w:after="0" w:line="220" w:lineRule="auto"/>
        <w:tabs>
          <w:tab w:leader="none" w:pos="656" w:val="left"/>
        </w:tabs>
        <w:numPr>
          <w:ilvl w:val="0"/>
          <w:numId w:val="113"/>
        </w:numPr>
        <w:rPr>
          <w:rFonts w:ascii="Calibri" w:cs="Calibri" w:eastAsia="Calibri" w:hAnsi="Calibri"/>
          <w:sz w:val="22"/>
          <w:szCs w:val="22"/>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Competng Products</w:t>
      </w:r>
      <w:r>
        <w:rPr>
          <w:rFonts w:ascii="Calibri" w:cs="Calibri" w:eastAsia="Calibri" w:hAnsi="Calibri"/>
          <w:sz w:val="18"/>
          <w:szCs w:val="18"/>
          <w:color w:val="auto"/>
        </w:rPr>
        <w:t>” means products or services sold by the Company and/or its Afliates</w:t>
      </w:r>
      <w:r>
        <w:rPr>
          <w:rFonts w:ascii="Calibri" w:cs="Calibri" w:eastAsia="Calibri" w:hAnsi="Calibri"/>
          <w:sz w:val="18"/>
          <w:szCs w:val="18"/>
          <w:color w:val="0000FF"/>
        </w:rPr>
        <w:t>[1]</w:t>
      </w:r>
      <w:r>
        <w:rPr>
          <w:rFonts w:ascii="Calibri" w:cs="Calibri" w:eastAsia="Calibri" w:hAnsi="Calibri"/>
          <w:sz w:val="18"/>
          <w:szCs w:val="18"/>
          <w:color w:val="auto"/>
        </w:rPr>
        <w:t>, or any prospectve product or service the Company and/or its Afliates took steps to develop, and for which the Partcipant had any responsibility during the 24 months preceding the terminaton of the Partcipant’s employment;</w:t>
      </w:r>
    </w:p>
    <w:p>
      <w:pPr>
        <w:spacing w:after="0" w:line="2" w:lineRule="exact"/>
        <w:rPr>
          <w:rFonts w:ascii="Calibri" w:cs="Calibri" w:eastAsia="Calibri" w:hAnsi="Calibri"/>
          <w:sz w:val="22"/>
          <w:szCs w:val="22"/>
          <w:color w:val="auto"/>
        </w:rPr>
      </w:pPr>
    </w:p>
    <w:p>
      <w:pPr>
        <w:ind w:left="660" w:hanging="328"/>
        <w:spacing w:after="0" w:line="212" w:lineRule="auto"/>
        <w:tabs>
          <w:tab w:leader="none" w:pos="652" w:val="left"/>
        </w:tabs>
        <w:numPr>
          <w:ilvl w:val="0"/>
          <w:numId w:val="113"/>
        </w:numPr>
        <w:rPr>
          <w:rFonts w:ascii="Calibri" w:cs="Calibri" w:eastAsia="Calibri" w:hAnsi="Calibri"/>
          <w:sz w:val="22"/>
          <w:szCs w:val="22"/>
          <w:color w:val="auto"/>
        </w:rPr>
      </w:pPr>
      <w:r>
        <w:rPr>
          <w:rFonts w:ascii="Calibri" w:cs="Calibri" w:eastAsia="Calibri" w:hAnsi="Calibri"/>
          <w:sz w:val="18"/>
          <w:szCs w:val="18"/>
          <w:color w:val="auto"/>
        </w:rPr>
        <w:t>“</w:t>
      </w:r>
      <w:r>
        <w:rPr>
          <w:rFonts w:ascii="Calibri" w:cs="Calibri" w:eastAsia="Calibri" w:hAnsi="Calibri"/>
          <w:sz w:val="21"/>
          <w:szCs w:val="21"/>
          <w:b w:val="1"/>
          <w:bCs w:val="1"/>
          <w:color w:val="auto"/>
        </w:rPr>
        <w:t>Restricted Territory</w:t>
      </w:r>
      <w:r>
        <w:rPr>
          <w:rFonts w:ascii="Calibri" w:cs="Calibri" w:eastAsia="Calibri" w:hAnsi="Calibri"/>
          <w:sz w:val="18"/>
          <w:szCs w:val="18"/>
          <w:color w:val="auto"/>
        </w:rPr>
        <w:t>” means the geographic territory over which the Partcipant had responsibility during the 24 months preceding the terminaton of the Partcipant’s employment.</w:t>
      </w:r>
    </w:p>
    <w:p>
      <w:pPr>
        <w:ind w:left="640" w:hanging="308"/>
        <w:spacing w:after="0" w:line="205" w:lineRule="auto"/>
        <w:tabs>
          <w:tab w:leader="none" w:pos="640" w:val="left"/>
        </w:tabs>
        <w:numPr>
          <w:ilvl w:val="0"/>
          <w:numId w:val="114"/>
        </w:numPr>
        <w:rPr>
          <w:rFonts w:ascii="Calibri" w:cs="Calibri" w:eastAsia="Calibri" w:hAnsi="Calibri"/>
          <w:sz w:val="22"/>
          <w:szCs w:val="22"/>
          <w:color w:val="auto"/>
        </w:rPr>
      </w:pPr>
      <w:r>
        <w:rPr>
          <w:rFonts w:ascii="Calibri" w:cs="Calibri" w:eastAsia="Calibri" w:hAnsi="Calibri"/>
          <w:sz w:val="18"/>
          <w:szCs w:val="18"/>
          <w:u w:val="single" w:color="auto"/>
          <w:color w:val="auto"/>
        </w:rPr>
        <w:t>Non-Competton</w:t>
      </w:r>
      <w:r>
        <w:rPr>
          <w:rFonts w:ascii="Calibri" w:cs="Calibri" w:eastAsia="Calibri" w:hAnsi="Calibri"/>
          <w:sz w:val="18"/>
          <w:szCs w:val="18"/>
          <w:color w:val="auto"/>
        </w:rPr>
        <w:t>.</w:t>
      </w:r>
    </w:p>
    <w:p>
      <w:pPr>
        <w:spacing w:after="0" w:line="11" w:lineRule="exact"/>
        <w:rPr>
          <w:sz w:val="20"/>
          <w:szCs w:val="20"/>
          <w:color w:val="auto"/>
        </w:rPr>
      </w:pPr>
    </w:p>
    <w:p>
      <w:pPr>
        <w:ind w:firstLine="324"/>
        <w:spacing w:after="0" w:line="223" w:lineRule="auto"/>
        <w:rPr>
          <w:sz w:val="20"/>
          <w:szCs w:val="20"/>
          <w:color w:val="auto"/>
        </w:rPr>
      </w:pPr>
      <w:r>
        <w:rPr>
          <w:rFonts w:ascii="Calibri" w:cs="Calibri" w:eastAsia="Calibri" w:hAnsi="Calibri"/>
          <w:sz w:val="18"/>
          <w:szCs w:val="18"/>
          <w:color w:val="auto"/>
        </w:rPr>
        <w:t>During the Partcipant’s employment and for 12 months afer terminaton of the Partcipant’s employment, the Partcipant will not directly or indirectly, on behalf of the Partcipant or in conjuncton with any other person or entty:</w:t>
      </w:r>
    </w:p>
    <w:p>
      <w:pPr>
        <w:ind w:left="660" w:hanging="328"/>
        <w:spacing w:after="0" w:line="205" w:lineRule="auto"/>
        <w:tabs>
          <w:tab w:leader="none" w:pos="660" w:val="left"/>
        </w:tabs>
        <w:numPr>
          <w:ilvl w:val="0"/>
          <w:numId w:val="115"/>
        </w:numPr>
        <w:rPr>
          <w:rFonts w:ascii="Calibri" w:cs="Calibri" w:eastAsia="Calibri" w:hAnsi="Calibri"/>
          <w:sz w:val="22"/>
          <w:szCs w:val="22"/>
          <w:color w:val="auto"/>
        </w:rPr>
      </w:pPr>
      <w:r>
        <w:rPr>
          <w:rFonts w:ascii="Calibri" w:cs="Calibri" w:eastAsia="Calibri" w:hAnsi="Calibri"/>
          <w:sz w:val="18"/>
          <w:szCs w:val="18"/>
          <w:color w:val="auto"/>
        </w:rPr>
        <w:t>own, invest in, or provide fnancing to any business that sells Competng Products in the Restricted Territory;</w:t>
      </w:r>
    </w:p>
    <w:p>
      <w:pPr>
        <w:spacing w:after="0" w:line="28" w:lineRule="exact"/>
        <w:rPr>
          <w:rFonts w:ascii="Calibri" w:cs="Calibri" w:eastAsia="Calibri" w:hAnsi="Calibri"/>
          <w:sz w:val="22"/>
          <w:szCs w:val="22"/>
          <w:color w:val="auto"/>
        </w:rPr>
      </w:pPr>
    </w:p>
    <w:p>
      <w:pPr>
        <w:jc w:val="both"/>
        <w:ind w:left="660" w:hanging="328"/>
        <w:spacing w:after="0" w:line="216" w:lineRule="auto"/>
        <w:tabs>
          <w:tab w:leader="none" w:pos="652" w:val="left"/>
        </w:tabs>
        <w:numPr>
          <w:ilvl w:val="0"/>
          <w:numId w:val="115"/>
        </w:numPr>
        <w:rPr>
          <w:rFonts w:ascii="Calibri" w:cs="Calibri" w:eastAsia="Calibri" w:hAnsi="Calibri"/>
          <w:sz w:val="22"/>
          <w:szCs w:val="22"/>
          <w:color w:val="auto"/>
        </w:rPr>
      </w:pPr>
      <w:r>
        <w:rPr>
          <w:rFonts w:ascii="Calibri" w:cs="Calibri" w:eastAsia="Calibri" w:hAnsi="Calibri"/>
          <w:sz w:val="18"/>
          <w:szCs w:val="18"/>
          <w:color w:val="auto"/>
        </w:rPr>
        <w:t>work in the Restricted Territory for any person or entty that sells Competng Products, in any role: (1) that is similar to any positon the Partcipant held with the Company and its Afliates during the 24 months preceding the terminaton of the Partcipant’s employment, (2) that is executve, leadership, managerial, or strategic in nature, or (3) that may cause the Partcipant to inevitably rely upon or disclose the Company’s and/or its Afliates’ confdental or proprietary informaton or trade secrets.</w:t>
      </w:r>
    </w:p>
    <w:p>
      <w:pPr>
        <w:spacing w:after="0" w:line="16" w:lineRule="exact"/>
        <w:rPr>
          <w:sz w:val="20"/>
          <w:szCs w:val="20"/>
          <w:color w:val="auto"/>
        </w:rPr>
      </w:pPr>
    </w:p>
    <w:p>
      <w:pPr>
        <w:ind w:left="660" w:hanging="328"/>
        <w:spacing w:after="0" w:line="211" w:lineRule="auto"/>
        <w:tabs>
          <w:tab w:leader="none" w:pos="648" w:val="left"/>
        </w:tabs>
        <w:numPr>
          <w:ilvl w:val="0"/>
          <w:numId w:val="116"/>
        </w:numPr>
        <w:rPr>
          <w:rFonts w:ascii="Calibri" w:cs="Calibri" w:eastAsia="Calibri" w:hAnsi="Calibri"/>
          <w:sz w:val="22"/>
          <w:szCs w:val="22"/>
          <w:color w:val="auto"/>
        </w:rPr>
      </w:pPr>
      <w:r>
        <w:rPr>
          <w:rFonts w:ascii="Calibri" w:cs="Calibri" w:eastAsia="Calibri" w:hAnsi="Calibri"/>
          <w:sz w:val="18"/>
          <w:szCs w:val="18"/>
          <w:u w:val="single" w:color="auto"/>
          <w:color w:val="auto"/>
        </w:rPr>
        <w:t>Jurisdicton-and Other Specifc Requirements</w:t>
      </w:r>
      <w:r>
        <w:rPr>
          <w:rFonts w:ascii="Calibri" w:cs="Calibri" w:eastAsia="Calibri" w:hAnsi="Calibri"/>
          <w:sz w:val="18"/>
          <w:szCs w:val="18"/>
          <w:color w:val="auto"/>
        </w:rPr>
        <w:t>. A Partcipant residing in a jurisdicton identfed on Exhibit 1, will be subject to the jurisdicton-specifc and other applicable requirements set forth on Exhibit 1.</w:t>
      </w:r>
    </w:p>
    <w:p>
      <w:pPr>
        <w:spacing w:after="0" w:line="16" w:lineRule="exact"/>
        <w:rPr>
          <w:rFonts w:ascii="Calibri" w:cs="Calibri" w:eastAsia="Calibri" w:hAnsi="Calibri"/>
          <w:sz w:val="22"/>
          <w:szCs w:val="22"/>
          <w:color w:val="auto"/>
        </w:rPr>
      </w:pPr>
    </w:p>
    <w:p>
      <w:pPr>
        <w:jc w:val="both"/>
        <w:ind w:left="660" w:hanging="328"/>
        <w:spacing w:after="0" w:line="214" w:lineRule="auto"/>
        <w:tabs>
          <w:tab w:leader="none" w:pos="648" w:val="left"/>
        </w:tabs>
        <w:numPr>
          <w:ilvl w:val="0"/>
          <w:numId w:val="116"/>
        </w:numPr>
        <w:rPr>
          <w:rFonts w:ascii="Calibri" w:cs="Calibri" w:eastAsia="Calibri" w:hAnsi="Calibri"/>
          <w:sz w:val="22"/>
          <w:szCs w:val="22"/>
          <w:color w:val="auto"/>
        </w:rPr>
      </w:pPr>
      <w:r>
        <w:rPr>
          <w:rFonts w:ascii="Calibri" w:cs="Calibri" w:eastAsia="Calibri" w:hAnsi="Calibri"/>
          <w:sz w:val="18"/>
          <w:szCs w:val="18"/>
          <w:u w:val="single" w:color="auto"/>
          <w:color w:val="auto"/>
        </w:rPr>
        <w:t>Subsequent Employment Protocol</w:t>
      </w:r>
      <w:r>
        <w:rPr>
          <w:rFonts w:ascii="Calibri" w:cs="Calibri" w:eastAsia="Calibri" w:hAnsi="Calibri"/>
          <w:sz w:val="18"/>
          <w:szCs w:val="18"/>
          <w:color w:val="auto"/>
        </w:rPr>
        <w:t>. During the Partcipant’s employment and for 12 months afer terminaton of the Partcipant’s employment, prior to acceptng employment with any person or entty, the Partcipant will provide the Partcipant’s prospectve employer with a copy of this Agreement, which includes the Partcipant Obligatons. Additonally, at least 7 days before acceptng subsequent employment, the Partcipant will notfy the Company of the Partcipant’s prospectve employer’s name, address and telephone number, and a descripton of the job dutes and geographic locaton for which the Partcipant is being considered.</w:t>
      </w:r>
    </w:p>
    <w:p>
      <w:pPr>
        <w:spacing w:after="0" w:line="1" w:lineRule="exact"/>
        <w:rPr>
          <w:rFonts w:ascii="Calibri" w:cs="Calibri" w:eastAsia="Calibri" w:hAnsi="Calibri"/>
          <w:sz w:val="22"/>
          <w:szCs w:val="22"/>
          <w:color w:val="auto"/>
        </w:rPr>
      </w:pPr>
    </w:p>
    <w:p>
      <w:pPr>
        <w:ind w:left="640" w:hanging="308"/>
        <w:spacing w:after="0" w:line="205" w:lineRule="auto"/>
        <w:tabs>
          <w:tab w:leader="none" w:pos="640" w:val="left"/>
        </w:tabs>
        <w:numPr>
          <w:ilvl w:val="0"/>
          <w:numId w:val="116"/>
        </w:numPr>
        <w:rPr>
          <w:rFonts w:ascii="Calibri" w:cs="Calibri" w:eastAsia="Calibri" w:hAnsi="Calibri"/>
          <w:sz w:val="22"/>
          <w:szCs w:val="22"/>
          <w:color w:val="auto"/>
        </w:rPr>
      </w:pPr>
      <w:r>
        <w:rPr>
          <w:rFonts w:ascii="Calibri" w:cs="Calibri" w:eastAsia="Calibri" w:hAnsi="Calibri"/>
          <w:sz w:val="18"/>
          <w:szCs w:val="18"/>
          <w:u w:val="single" w:color="auto"/>
          <w:color w:val="auto"/>
        </w:rPr>
        <w:t>Certfcatons</w:t>
      </w:r>
      <w:r>
        <w:rPr>
          <w:rFonts w:ascii="Calibri" w:cs="Calibri" w:eastAsia="Calibri" w:hAnsi="Calibri"/>
          <w:sz w:val="18"/>
          <w:szCs w:val="18"/>
          <w:color w:val="auto"/>
        </w:rPr>
        <w:t>. By executng this Agreement, which includes the Partcipant Obligatons set forth above, the Partcipant certfes that the Partcipant:</w:t>
      </w:r>
    </w:p>
    <w:p>
      <w:pPr>
        <w:spacing w:after="0" w:line="10" w:lineRule="exact"/>
        <w:rPr>
          <w:rFonts w:ascii="Calibri" w:cs="Calibri" w:eastAsia="Calibri" w:hAnsi="Calibri"/>
          <w:sz w:val="22"/>
          <w:szCs w:val="22"/>
          <w:color w:val="auto"/>
        </w:rPr>
      </w:pPr>
    </w:p>
    <w:p>
      <w:pPr>
        <w:jc w:val="both"/>
        <w:ind w:left="660" w:hanging="4"/>
        <w:spacing w:after="0" w:line="222" w:lineRule="auto"/>
        <w:tabs>
          <w:tab w:leader="none" w:pos="917" w:val="left"/>
        </w:tabs>
        <w:numPr>
          <w:ilvl w:val="1"/>
          <w:numId w:val="116"/>
        </w:numPr>
        <w:rPr>
          <w:rFonts w:ascii="Calibri" w:cs="Calibri" w:eastAsia="Calibri" w:hAnsi="Calibri"/>
          <w:sz w:val="18"/>
          <w:szCs w:val="18"/>
          <w:color w:val="auto"/>
        </w:rPr>
      </w:pPr>
      <w:r>
        <w:rPr>
          <w:rFonts w:ascii="Calibri" w:cs="Calibri" w:eastAsia="Calibri" w:hAnsi="Calibri"/>
          <w:sz w:val="18"/>
          <w:szCs w:val="18"/>
          <w:color w:val="auto"/>
        </w:rPr>
        <w:t>has not and will not use or disclose to the Company or its Afliates any confdental informaton and/or trade secrets belonging to others, including the Partcipant’s prior employers; (b) will not use any prior inventons made by the Partcipant and which the Company and its Afliates is not legally enttled to learn of or use; and (c) is not subject to any prior agreements that would prevent the Partcipant from fully performing the Partcipant’s dutes for the Company and its Afliates.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Exhibit 1 State and Other Specifc Requirements</w:t>
      </w:r>
    </w:p>
    <w:p>
      <w:pPr>
        <w:jc w:val="center"/>
        <w:spacing w:after="0" w:line="221" w:lineRule="auto"/>
        <w:rPr>
          <w:sz w:val="20"/>
          <w:szCs w:val="20"/>
          <w:color w:val="auto"/>
        </w:rPr>
      </w:pPr>
      <w:r>
        <w:rPr>
          <w:rFonts w:ascii="Calibri" w:cs="Calibri" w:eastAsia="Calibri" w:hAnsi="Calibri"/>
          <w:sz w:val="18"/>
          <w:szCs w:val="18"/>
          <w:b w:val="1"/>
          <w:bCs w:val="1"/>
          <w:color w:val="auto"/>
        </w:rPr>
        <w:t>COLORADO</w:t>
      </w:r>
    </w:p>
    <w:p>
      <w:pPr>
        <w:jc w:val="both"/>
        <w:ind w:firstLine="648"/>
        <w:spacing w:after="0" w:line="216" w:lineRule="auto"/>
        <w:rPr>
          <w:sz w:val="20"/>
          <w:szCs w:val="20"/>
          <w:color w:val="auto"/>
        </w:rPr>
      </w:pPr>
      <w:r>
        <w:rPr>
          <w:rFonts w:ascii="Calibri" w:cs="Calibri" w:eastAsia="Calibri" w:hAnsi="Calibri"/>
          <w:sz w:val="18"/>
          <w:szCs w:val="18"/>
          <w:color w:val="auto"/>
        </w:rPr>
        <w:t>Paragraph 2(g)(v) does not apply unless the employee who, when the covenant not to compete is signed and when it is enforced, earns at least $112,500 as of 2023 (adjusted on a yearly basis). Paragraph 2(g)(iv) does not apply unless the employee who, when the covenant not to solicit is entered and when it is enforced, earns at least $67,500 as of 2023 (adjusted on a yearly basis).</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DISTRICT OF COLUMBIA</w:t>
      </w:r>
    </w:p>
    <w:p>
      <w:pPr>
        <w:jc w:val="both"/>
        <w:ind w:firstLine="648"/>
        <w:spacing w:after="0" w:line="221" w:lineRule="auto"/>
        <w:rPr>
          <w:sz w:val="20"/>
          <w:szCs w:val="20"/>
          <w:color w:val="auto"/>
        </w:rPr>
      </w:pPr>
      <w:r>
        <w:rPr>
          <w:rFonts w:ascii="Calibri" w:cs="Calibri" w:eastAsia="Calibri" w:hAnsi="Calibri"/>
          <w:sz w:val="18"/>
          <w:szCs w:val="18"/>
          <w:color w:val="auto"/>
        </w:rPr>
        <w:t>Paragraph 2(g)(v) does not apply to employees earning less than $150,000 in 2023. This amount may increase each calendar year according to the Consumer Price Index for All Urban Consumers in the Washington Metropolitan Statstcal Area.</w:t>
      </w:r>
    </w:p>
    <w:p>
      <w:pPr>
        <w:sectPr>
          <w:pgSz w:w="11900" w:h="16838" w:orient="portrait"/>
          <w:cols w:equalWidth="0" w:num="1">
            <w:col w:w="11240"/>
          </w:cols>
          <w:pgMar w:left="320" w:top="1440" w:right="339" w:bottom="1440" w:gutter="0" w:footer="0" w:header="0"/>
        </w:sectPr>
      </w:pPr>
    </w:p>
    <w:bookmarkStart w:id="101" w:name="page102"/>
    <w:bookmarkEnd w:id="101"/>
    <w:p>
      <w:pPr>
        <w:jc w:val="center"/>
        <w:spacing w:after="0"/>
        <w:rPr>
          <w:sz w:val="20"/>
          <w:szCs w:val="20"/>
          <w:color w:val="auto"/>
        </w:rPr>
      </w:pPr>
      <w:r>
        <w:rPr>
          <w:rFonts w:ascii="Calibri" w:cs="Calibri" w:eastAsia="Calibri" w:hAnsi="Calibri"/>
          <w:sz w:val="18"/>
          <w:szCs w:val="18"/>
          <w:b w:val="1"/>
          <w:bCs w:val="1"/>
          <w:color w:val="auto"/>
        </w:rPr>
        <w:t>GEORGIA</w:t>
      </w: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Georgia, Paragraph 2(g)(iv) shall apply in the United States, which the employee agrees is a reasonable geographic territory in which the Company and/or an Afliate does business.</w:t>
      </w:r>
    </w:p>
    <w:p>
      <w:pPr>
        <w:jc w:val="center"/>
        <w:spacing w:after="0" w:line="221" w:lineRule="auto"/>
        <w:rPr>
          <w:sz w:val="20"/>
          <w:szCs w:val="20"/>
          <w:color w:val="auto"/>
        </w:rPr>
      </w:pPr>
      <w:r>
        <w:rPr>
          <w:rFonts w:ascii="Calibri" w:cs="Calibri" w:eastAsia="Calibri" w:hAnsi="Calibri"/>
          <w:sz w:val="18"/>
          <w:szCs w:val="18"/>
          <w:b w:val="1"/>
          <w:bCs w:val="1"/>
          <w:color w:val="auto"/>
        </w:rPr>
        <w:t>ILLINOIS</w:t>
      </w:r>
    </w:p>
    <w:p>
      <w:pPr>
        <w:ind w:left="660"/>
        <w:spacing w:after="0" w:line="234" w:lineRule="auto"/>
        <w:rPr>
          <w:sz w:val="20"/>
          <w:szCs w:val="20"/>
          <w:color w:val="auto"/>
        </w:rPr>
      </w:pPr>
      <w:r>
        <w:rPr>
          <w:rFonts w:ascii="Calibri" w:cs="Calibri" w:eastAsia="Calibri" w:hAnsi="Calibri"/>
          <w:sz w:val="17"/>
          <w:szCs w:val="17"/>
          <w:color w:val="auto"/>
        </w:rPr>
        <w:t>Paragraph 2(g)(v) does not apply unless the employee’s annual compensaton exceeds $75,000 per year (which statutorily increases every fve years).</w:t>
      </w:r>
    </w:p>
    <w:p>
      <w:pPr>
        <w:spacing w:after="0" w:line="221" w:lineRule="auto"/>
        <w:rPr>
          <w:sz w:val="20"/>
          <w:szCs w:val="20"/>
          <w:color w:val="auto"/>
        </w:rPr>
      </w:pPr>
      <w:r>
        <w:rPr>
          <w:rFonts w:ascii="Calibri" w:cs="Calibri" w:eastAsia="Calibri" w:hAnsi="Calibri"/>
          <w:sz w:val="18"/>
          <w:szCs w:val="18"/>
          <w:color w:val="auto"/>
        </w:rPr>
        <w:t>Paragraph 2(g)(iv) does not apply unless the employee’s annual compensaton exceeds $45,000 per year (which statutorily increases every 5 years).</w:t>
      </w:r>
    </w:p>
    <w:p>
      <w:pPr>
        <w:spacing w:after="0" w:line="227" w:lineRule="exact"/>
        <w:rPr>
          <w:sz w:val="20"/>
          <w:szCs w:val="20"/>
          <w:color w:val="auto"/>
        </w:rPr>
      </w:pPr>
    </w:p>
    <w:p>
      <w:pPr>
        <w:ind w:left="5220"/>
        <w:spacing w:after="0"/>
        <w:rPr>
          <w:sz w:val="20"/>
          <w:szCs w:val="20"/>
          <w:color w:val="auto"/>
        </w:rPr>
      </w:pPr>
      <w:r>
        <w:rPr>
          <w:rFonts w:ascii="Calibri" w:cs="Calibri" w:eastAsia="Calibri" w:hAnsi="Calibri"/>
          <w:sz w:val="18"/>
          <w:szCs w:val="18"/>
          <w:b w:val="1"/>
          <w:bCs w:val="1"/>
          <w:color w:val="auto"/>
        </w:rPr>
        <w:t>LOUISIANA</w:t>
      </w:r>
    </w:p>
    <w:p>
      <w:pPr>
        <w:ind w:left="660"/>
        <w:spacing w:after="0" w:line="206" w:lineRule="auto"/>
        <w:rPr>
          <w:sz w:val="20"/>
          <w:szCs w:val="20"/>
          <w:color w:val="auto"/>
        </w:rPr>
      </w:pPr>
      <w:r>
        <w:rPr>
          <w:rFonts w:ascii="Calibri" w:cs="Calibri" w:eastAsia="Calibri" w:hAnsi="Calibri"/>
          <w:sz w:val="18"/>
          <w:szCs w:val="18"/>
          <w:color w:val="auto"/>
        </w:rPr>
        <w:t>For employees who perform work in Louisiana, Paragraphs 2(g)(iv) and 2(g)(v) shall only apply in the St Tammany Parish.</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MAINE</w:t>
      </w: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Maine when this Agreement is signed, Paragraphs 2(g)(iv) and 2(g)(v) do not take efect untl 6 months afer the Agreement is signed, or 12 months afer the employee’s start of employment with the Company and/or an Afliate for 12 months, whichever is later.</w:t>
      </w:r>
    </w:p>
    <w:p>
      <w:pPr>
        <w:spacing w:after="0" w:line="226" w:lineRule="exact"/>
        <w:rPr>
          <w:sz w:val="20"/>
          <w:szCs w:val="20"/>
          <w:color w:val="auto"/>
        </w:rPr>
      </w:pPr>
    </w:p>
    <w:p>
      <w:pPr>
        <w:ind w:left="5200"/>
        <w:spacing w:after="0"/>
        <w:rPr>
          <w:sz w:val="20"/>
          <w:szCs w:val="20"/>
          <w:color w:val="auto"/>
        </w:rPr>
      </w:pPr>
      <w:r>
        <w:rPr>
          <w:rFonts w:ascii="Calibri" w:cs="Calibri" w:eastAsia="Calibri" w:hAnsi="Calibri"/>
          <w:sz w:val="18"/>
          <w:szCs w:val="18"/>
          <w:b w:val="1"/>
          <w:bCs w:val="1"/>
          <w:color w:val="auto"/>
        </w:rPr>
        <w:t>MARYLAND</w:t>
      </w:r>
    </w:p>
    <w:p>
      <w:pPr>
        <w:ind w:left="660"/>
        <w:spacing w:after="0" w:line="221" w:lineRule="auto"/>
        <w:rPr>
          <w:sz w:val="20"/>
          <w:szCs w:val="20"/>
          <w:color w:val="auto"/>
        </w:rPr>
      </w:pPr>
      <w:r>
        <w:rPr>
          <w:rFonts w:ascii="Calibri" w:cs="Calibri" w:eastAsia="Calibri" w:hAnsi="Calibri"/>
          <w:sz w:val="18"/>
          <w:szCs w:val="18"/>
          <w:color w:val="auto"/>
        </w:rPr>
        <w:t>Paragraph 2(g)(v) does not apply if the employee earns equal to or less than (a) $15 per hour; or (b) $31,200 annually.</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MASSACHUSETTS</w:t>
      </w:r>
    </w:p>
    <w:p>
      <w:pPr>
        <w:spacing w:after="0" w:line="15"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For employees working in Massachusets, Paragraph 2(o) of the Agreement will not apply. Further, if the Company chooses to enforce the non-competton provisions set forth in Paragraph 2(g)(v) of the Agreement, then the Company will contnue to pay the employee at least 50% of the employee’s highest base salary that the employee earned at the Company or an Afliate (as applicable) in the 2 years before the end of employee’s employment. The Company will pay this amount for 12 months following the employee’s terminaton. The restricton set forth in Paragraph 2(g)(v) of the Agreement will not apply if the employee is involuntarily terminated without cause.</w:t>
      </w:r>
    </w:p>
    <w:p>
      <w:pPr>
        <w:spacing w:after="0" w:line="215" w:lineRule="exact"/>
        <w:rPr>
          <w:sz w:val="20"/>
          <w:szCs w:val="20"/>
          <w:color w:val="auto"/>
        </w:rPr>
      </w:pPr>
    </w:p>
    <w:p>
      <w:pPr>
        <w:ind w:left="5320"/>
        <w:spacing w:after="0"/>
        <w:rPr>
          <w:sz w:val="20"/>
          <w:szCs w:val="20"/>
          <w:color w:val="auto"/>
        </w:rPr>
      </w:pPr>
      <w:r>
        <w:rPr>
          <w:rFonts w:ascii="Calibri" w:cs="Calibri" w:eastAsia="Calibri" w:hAnsi="Calibri"/>
          <w:sz w:val="18"/>
          <w:szCs w:val="18"/>
          <w:b w:val="1"/>
          <w:bCs w:val="1"/>
          <w:color w:val="auto"/>
        </w:rPr>
        <w:t>NEVADA</w:t>
      </w:r>
    </w:p>
    <w:p>
      <w:pPr>
        <w:ind w:left="660"/>
        <w:spacing w:after="0" w:line="221" w:lineRule="auto"/>
        <w:rPr>
          <w:sz w:val="20"/>
          <w:szCs w:val="20"/>
          <w:color w:val="auto"/>
        </w:rPr>
      </w:pPr>
      <w:r>
        <w:rPr>
          <w:rFonts w:ascii="Calibri" w:cs="Calibri" w:eastAsia="Calibri" w:hAnsi="Calibri"/>
          <w:sz w:val="18"/>
          <w:szCs w:val="18"/>
          <w:color w:val="auto"/>
        </w:rPr>
        <w:t>Paragraph 2(g)(v) does not apply if the employee is paid solely on an hourly wage basis, exclusive of any tps or gratuites.</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NEW HAMPSHIRE</w:t>
      </w:r>
    </w:p>
    <w:p>
      <w:pPr>
        <w:jc w:val="center"/>
        <w:ind w:right="420"/>
        <w:spacing w:after="0" w:line="221" w:lineRule="auto"/>
        <w:rPr>
          <w:sz w:val="20"/>
          <w:szCs w:val="20"/>
          <w:color w:val="auto"/>
        </w:rPr>
      </w:pPr>
      <w:r>
        <w:rPr>
          <w:rFonts w:ascii="Calibri" w:cs="Calibri" w:eastAsia="Calibri" w:hAnsi="Calibri"/>
          <w:sz w:val="18"/>
          <w:szCs w:val="18"/>
          <w:color w:val="auto"/>
        </w:rPr>
        <w:t>Paragraph 2(g)(v) does not apply if the employee earns an hourly rate less than or equal to 200 percent of the federal minimum wage.</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NORTH DAKOTA</w:t>
      </w: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North Dakota at the tme of executon of this Agreement (including the Partcipant Obligatons incorporated herein), Paragraphs 2(g)(iv) and 2(g)(v) will not apply.</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OKLAHOMA</w:t>
      </w:r>
    </w:p>
    <w:p>
      <w:pPr>
        <w:jc w:val="both"/>
        <w:ind w:firstLine="648"/>
        <w:spacing w:after="0" w:line="221" w:lineRule="auto"/>
        <w:rPr>
          <w:sz w:val="20"/>
          <w:szCs w:val="20"/>
          <w:color w:val="auto"/>
        </w:rPr>
      </w:pPr>
      <w:r>
        <w:rPr>
          <w:rFonts w:ascii="Calibri" w:cs="Calibri" w:eastAsia="Calibri" w:hAnsi="Calibri"/>
          <w:sz w:val="18"/>
          <w:szCs w:val="18"/>
          <w:color w:val="auto"/>
        </w:rPr>
        <w:t>For employees residing in Oklahoma at the tme of executon of this Agreement (including the Partcipant Obligatons incorporated herein), Paragraph 2(g)(v) will not apply and Paragraph 2(g)(iv) will only apply to the extent that Paragraph prohibits the employee from directly solicitng the sale of goods, services or a combinaton of goods and services from the established customers of the Company and/or its Afliates.</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OREGON</w:t>
      </w:r>
    </w:p>
    <w:p>
      <w:pPr>
        <w:jc w:val="both"/>
        <w:ind w:firstLine="648"/>
        <w:spacing w:after="0" w:line="218" w:lineRule="auto"/>
        <w:rPr>
          <w:sz w:val="20"/>
          <w:szCs w:val="20"/>
          <w:color w:val="auto"/>
        </w:rPr>
      </w:pPr>
      <w:r>
        <w:rPr>
          <w:rFonts w:ascii="Calibri" w:cs="Calibri" w:eastAsia="Calibri" w:hAnsi="Calibri"/>
          <w:sz w:val="18"/>
          <w:szCs w:val="18"/>
          <w:color w:val="auto"/>
        </w:rPr>
        <w:t>For employees residing in Oregon when they sign this Agreement (including the Partcipant Obligatons incorporated herein), the Company shall provide a copy of a signed, writen copy of the Agreement (including the Partcipant Obligatons incorporated herein) within 30 days afer the date of terminaton of the employee’s employment with the Company or its Afliate, as applicable. Paragraph 2(g)(v) shall only apply if the total amount of the employee's annual compensaton, at the tme of the employee's terminaton, exceeds $100,533, adjusted annually for infaton pursuant to the Consumer Price Index for All Urban Consumers, West Region (All Items).</w:t>
      </w:r>
    </w:p>
    <w:p>
      <w:pPr>
        <w:sectPr>
          <w:pgSz w:w="11900" w:h="16838" w:orient="portrait"/>
          <w:cols w:equalWidth="0" w:num="1">
            <w:col w:w="11240"/>
          </w:cols>
          <w:pgMar w:left="320" w:top="1395" w:right="339" w:bottom="1440" w:gutter="0" w:footer="0" w:header="0"/>
        </w:sectPr>
      </w:pPr>
    </w:p>
    <w:bookmarkStart w:id="102" w:name="page103"/>
    <w:bookmarkEnd w:id="102"/>
    <w:p>
      <w:pPr>
        <w:spacing w:after="0" w:line="1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VIRGINIA</w:t>
      </w:r>
    </w:p>
    <w:p>
      <w:pPr>
        <w:jc w:val="both"/>
        <w:ind w:firstLine="648"/>
        <w:spacing w:after="0" w:line="221" w:lineRule="auto"/>
        <w:rPr>
          <w:sz w:val="20"/>
          <w:szCs w:val="20"/>
          <w:color w:val="auto"/>
        </w:rPr>
      </w:pPr>
      <w:r>
        <w:rPr>
          <w:rFonts w:ascii="Calibri" w:cs="Calibri" w:eastAsia="Calibri" w:hAnsi="Calibri"/>
          <w:sz w:val="18"/>
          <w:szCs w:val="18"/>
          <w:color w:val="auto"/>
        </w:rPr>
        <w:t>Paragraph 2(g)(v) does not apply if an employee’s average weekly earnings are less than the average weekly wage of the Commonwealth as determined pursuant to subsecton B of § 65.2-500.</w:t>
      </w: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WASHINGTON</w:t>
      </w:r>
    </w:p>
    <w:p>
      <w:pPr>
        <w:spacing w:after="0" w:line="15" w:lineRule="exact"/>
        <w:rPr>
          <w:sz w:val="20"/>
          <w:szCs w:val="20"/>
          <w:color w:val="auto"/>
        </w:rPr>
      </w:pPr>
    </w:p>
    <w:p>
      <w:pPr>
        <w:jc w:val="both"/>
        <w:ind w:firstLine="648"/>
        <w:spacing w:after="0" w:line="237" w:lineRule="auto"/>
        <w:rPr>
          <w:sz w:val="20"/>
          <w:szCs w:val="20"/>
          <w:color w:val="auto"/>
        </w:rPr>
      </w:pPr>
      <w:r>
        <w:rPr>
          <w:rFonts w:ascii="Calibri" w:cs="Calibri" w:eastAsia="Calibri" w:hAnsi="Calibri"/>
          <w:sz w:val="17"/>
          <w:szCs w:val="17"/>
          <w:color w:val="auto"/>
        </w:rPr>
        <w:t>For employees residing in Washington, Paragraph 2(o) will not apply. Further, if an employee is terminated as the result of a layof, and the Company chooses to enforce the non-competton provisions set forth in Paragraph 2(g)(v) of the Agreement, then the Company or its Afliate, as applicable, will contnue to pay the Employee’s base salary for twelve months following the layof , less any earnings the employee has received from the employee’s then-current employer. Paragraph 2(g)(v) shall only apply if the employee’s earnings, when annualized, exceed $100,000 per year, to be adjusted for infaton.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hanging="252"/>
        <w:spacing w:after="0"/>
        <w:tabs>
          <w:tab w:leader="none" w:pos="260" w:val="left"/>
        </w:tabs>
        <w:numPr>
          <w:ilvl w:val="0"/>
          <w:numId w:val="117"/>
        </w:numPr>
        <w:rPr>
          <w:rFonts w:ascii="Calibri" w:cs="Calibri" w:eastAsia="Calibri" w:hAnsi="Calibri"/>
          <w:sz w:val="18"/>
          <w:szCs w:val="18"/>
          <w:color w:val="0000FF"/>
        </w:rPr>
      </w:pPr>
      <w:r>
        <w:rPr>
          <w:rFonts w:ascii="Calibri" w:cs="Calibri" w:eastAsia="Calibri" w:hAnsi="Calibri"/>
          <w:sz w:val="22"/>
          <w:szCs w:val="22"/>
          <w:color w:val="auto"/>
        </w:rPr>
        <w:t>This term carries the same meaning as how it is defned in Xylem’s Omnibus Incentve Plan.</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c>
          <w:tcPr>
            <w:tcW w:w="0" w:type="dxa"/>
            <w:vAlign w:val="bottom"/>
          </w:tcPr>
          <w:p>
            <w:pPr>
              <w:spacing w:after="0"/>
              <w:rPr>
                <w:sz w:val="1"/>
                <w:szCs w:val="1"/>
                <w:color w:val="auto"/>
              </w:rPr>
            </w:pPr>
          </w:p>
        </w:tc>
      </w:tr>
      <w:tr>
        <w:trPr>
          <w:trHeight w:val="177"/>
        </w:trPr>
        <w:tc>
          <w:tcPr>
            <w:tcW w:w="622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Matthew F. Pine</w:t>
            </w:r>
          </w:p>
        </w:tc>
        <w:tc>
          <w:tcPr>
            <w:tcW w:w="0" w:type="dxa"/>
            <w:vAlign w:val="bottom"/>
          </w:tcPr>
          <w:p>
            <w:pPr>
              <w:spacing w:after="0"/>
              <w:rPr>
                <w:sz w:val="1"/>
                <w:szCs w:val="1"/>
                <w:color w:val="auto"/>
              </w:rPr>
            </w:pPr>
          </w:p>
        </w:tc>
      </w:tr>
      <w:tr>
        <w:trPr>
          <w:trHeight w:val="239"/>
        </w:trPr>
        <w:tc>
          <w:tcPr>
            <w:tcW w:w="6220" w:type="dxa"/>
            <w:vAlign w:val="bottom"/>
            <w:vMerge w:val="restart"/>
          </w:tcPr>
          <w:p>
            <w:pPr>
              <w:spacing w:after="0"/>
              <w:rPr>
                <w:sz w:val="20"/>
                <w:szCs w:val="20"/>
                <w:color w:val="auto"/>
              </w:rPr>
            </w:pPr>
            <w:r>
              <w:rPr>
                <w:rFonts w:ascii="Arial" w:cs="Arial" w:eastAsia="Arial" w:hAnsi="Arial"/>
                <w:sz w:val="18"/>
                <w:szCs w:val="18"/>
                <w:color w:val="auto"/>
              </w:rPr>
              <w:t>Date: May 2, 2024</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22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 Grogan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4980" w:type="dxa"/>
            <w:vAlign w:val="bottom"/>
          </w:tcPr>
          <w:p>
            <w:pPr>
              <w:spacing w:after="0" w:line="177" w:lineRule="exact"/>
              <w:rPr>
                <w:sz w:val="20"/>
                <w:szCs w:val="20"/>
                <w:color w:val="auto"/>
              </w:rPr>
            </w:pPr>
            <w:r>
              <w:rPr>
                <w:rFonts w:ascii="Arial" w:cs="Arial" w:eastAsia="Arial" w:hAnsi="Arial"/>
                <w:sz w:val="18"/>
                <w:szCs w:val="18"/>
                <w:color w:val="auto"/>
              </w:rPr>
              <w:t>William K. Grogan</w:t>
            </w:r>
          </w:p>
        </w:tc>
        <w:tc>
          <w:tcPr>
            <w:tcW w:w="0" w:type="dxa"/>
            <w:vAlign w:val="bottom"/>
          </w:tcPr>
          <w:p>
            <w:pPr>
              <w:spacing w:after="0"/>
              <w:rPr>
                <w:sz w:val="1"/>
                <w:szCs w:val="1"/>
                <w:color w:val="auto"/>
              </w:rPr>
            </w:pPr>
          </w:p>
        </w:tc>
      </w:tr>
      <w:tr>
        <w:trPr>
          <w:trHeight w:val="239"/>
        </w:trPr>
        <w:tc>
          <w:tcPr>
            <w:tcW w:w="5200" w:type="dxa"/>
            <w:vAlign w:val="bottom"/>
            <w:vMerge w:val="restart"/>
          </w:tcPr>
          <w:p>
            <w:pPr>
              <w:spacing w:after="0"/>
              <w:rPr>
                <w:sz w:val="20"/>
                <w:szCs w:val="20"/>
                <w:color w:val="auto"/>
              </w:rPr>
            </w:pPr>
            <w:r>
              <w:rPr>
                <w:rFonts w:ascii="Arial" w:cs="Arial" w:eastAsia="Arial" w:hAnsi="Arial"/>
                <w:sz w:val="18"/>
                <w:szCs w:val="18"/>
                <w:color w:val="auto"/>
              </w:rPr>
              <w:t>Date: May 2, 2024</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8"/>
        </w:trPr>
        <w:tc>
          <w:tcPr>
            <w:tcW w:w="5200" w:type="dxa"/>
            <w:vAlign w:val="bottom"/>
            <w:vMerge w:val="continue"/>
          </w:tcPr>
          <w:p>
            <w:pPr>
              <w:spacing w:after="0"/>
              <w:rPr>
                <w:sz w:val="9"/>
                <w:szCs w:val="9"/>
                <w:color w:val="auto"/>
              </w:rPr>
            </w:pPr>
          </w:p>
        </w:tc>
        <w:tc>
          <w:tcPr>
            <w:tcW w:w="4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2024 as filed with the Securities and Exchange Commission on the date hereof (the “Report”), I, Matthew F. Pine, President and Chief Executive Officer of the Company, certify, pursuant to 18 U.S.C. 1350, as adopted pursuant to 906 of the Sarbanes-Oxley Act of 2002, to my knowledge, that:</w:t>
      </w:r>
    </w:p>
    <w:p>
      <w:pPr>
        <w:spacing w:after="0" w:line="63"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2024</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2024 as filed with the Securities and Exchange Commission on the date hereof (the “Report”), I, William K. Grogan, Senior Vice President and Chief Financial Officer of the Company, certify, pursuant to 18 U.S.C. 1350, as adopted pursuant to 906 of the Sarbanes-Oxley Act of 2002, to my knowledge, that:</w:t>
      </w:r>
    </w:p>
    <w:p>
      <w:pPr>
        <w:spacing w:after="0" w:line="68"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2024</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lowerLetter"/>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1)"/>
      <w:numFmt w:val="lowerLetter"/>
      <w:start w:val="1"/>
    </w:lvl>
  </w:abstractNum>
  <w:abstractNum w:abstractNumId="6">
    <w:nsid w:val="310C50B3"/>
    <w:multiLevelType w:val="hybridMultilevel"/>
    <w:lvl w:ilvl="0">
      <w:lvlJc w:val="left"/>
      <w:lvlText w:val="(%1)"/>
      <w:numFmt w:val="lowerLetter"/>
      <w:start w:val="1"/>
    </w:lvl>
  </w:abstractNum>
  <w:abstractNum w:abstractNumId="7">
    <w:nsid w:val="5FF87E05"/>
    <w:multiLevelType w:val="hybridMultilevel"/>
    <w:lvl w:ilvl="0">
      <w:lvlJc w:val="left"/>
      <w:lvlText w:val="(%1)"/>
      <w:numFmt w:val="lowerLetter"/>
      <w:start w:val="1"/>
    </w:lvl>
  </w:abstractNum>
  <w:abstractNum w:abstractNumId="8">
    <w:nsid w:val="2F305DEF"/>
    <w:multiLevelType w:val="hybridMultilevel"/>
    <w:lvl w:ilvl="0">
      <w:lvlJc w:val="left"/>
      <w:lvlText w:val="(%1)"/>
      <w:numFmt w:val="lowerLetter"/>
      <w:start w:val="1"/>
    </w:lvl>
  </w:abstractNum>
  <w:abstractNum w:abstractNumId="9">
    <w:nsid w:val="25A70BF7"/>
    <w:multiLevelType w:val="hybridMultilevel"/>
    <w:lvl w:ilvl="0">
      <w:lvlJc w:val="left"/>
      <w:lvlText w:val="(%1)"/>
      <w:numFmt w:val="lowerLetter"/>
      <w:start w:val="1"/>
    </w:lvl>
  </w:abstractNum>
  <w:abstractNum w:abstractNumId="10">
    <w:nsid w:val="1DBABF00"/>
    <w:multiLevelType w:val="hybridMultilevel"/>
    <w:lvl w:ilvl="0">
      <w:lvlJc w:val="left"/>
      <w:lvlText w:val="(%1)"/>
      <w:numFmt w:val="lowerLetter"/>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lowerLetter"/>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lowerLetter"/>
      <w:start w:val="1"/>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1."/>
      <w:numFmt w:val="lowerLetter"/>
      <w:start w:val="1"/>
    </w:lvl>
  </w:abstractNum>
  <w:abstractNum w:abstractNumId="30">
    <w:nsid w:val="613EFDC5"/>
    <w:multiLevelType w:val="hybridMultilevel"/>
    <w:lvl w:ilvl="0">
      <w:lvlJc w:val="left"/>
      <w:lvlText w:val="%1."/>
      <w:numFmt w:val="lowerLetter"/>
      <w:start w:val="1"/>
    </w:lvl>
  </w:abstractNum>
  <w:abstractNum w:abstractNumId="31">
    <w:nsid w:val="BF72B14"/>
    <w:multiLevelType w:val="hybridMultilevel"/>
    <w:lvl w:ilvl="0">
      <w:lvlJc w:val="left"/>
      <w:lvlText w:val="%1."/>
      <w:numFmt w:val="lowerLetter"/>
      <w:start w:val="1"/>
    </w:lvl>
    <w:lvl w:ilvl="1">
      <w:lvlJc w:val="left"/>
      <w:lvlText w:val="%2."/>
      <w:numFmt w:val="decimal"/>
      <w:start w:val="1"/>
    </w:lvl>
  </w:abstractNum>
  <w:abstractNum w:abstractNumId="32">
    <w:nsid w:val="11447B73"/>
    <w:multiLevelType w:val="hybridMultilevel"/>
    <w:lvl w:ilvl="0">
      <w:lvlJc w:val="left"/>
      <w:lvlText w:val="%1."/>
      <w:numFmt w:val="lowerLetter"/>
      <w:start w:val="1"/>
    </w:lvl>
  </w:abstractNum>
  <w:abstractNum w:abstractNumId="33">
    <w:nsid w:val="42963E5A"/>
    <w:multiLevelType w:val="hybridMultilevel"/>
    <w:lvl w:ilvl="0">
      <w:lvlJc w:val="left"/>
      <w:lvlText w:val="%1."/>
      <w:numFmt w:val="lowerLetter"/>
      <w:start w:val="5"/>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3"/>
    </w:lvl>
  </w:abstractNum>
  <w:abstractNum w:abstractNumId="37">
    <w:nsid w:val="3B0FD379"/>
    <w:multiLevelType w:val="hybridMultilevel"/>
    <w:lvl w:ilvl="0">
      <w:lvlJc w:val="left"/>
      <w:lvlText w:val="%1."/>
      <w:numFmt w:val="decimal"/>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decimal"/>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lvl w:ilvl="1">
      <w:lvlJc w:val="left"/>
      <w:lvlText w:val="%2."/>
      <w:numFmt w:val="decimal"/>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5"/>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Letter"/>
      <w:start w:val="3"/>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decimal"/>
      <w:start w:val="1"/>
    </w:lvl>
    <w:lvl w:ilvl="1">
      <w:lvlJc w:val="left"/>
      <w:lvlText w:val="(%2)"/>
      <w:numFmt w:val="lowerLetter"/>
      <w:start w:val="1"/>
    </w:lvl>
  </w:abstractNum>
  <w:abstractNum w:abstractNumId="54">
    <w:nsid w:val="1716703B"/>
    <w:multiLevelType w:val="hybridMultilevel"/>
    <w:lvl w:ilvl="0">
      <w:lvlJc w:val="left"/>
      <w:lvlText w:val="[%1]"/>
      <w:numFmt w:val="decimal"/>
      <w:start w:val="1"/>
    </w:lvl>
  </w:abstractNum>
  <w:abstractNum w:abstractNumId="55">
    <w:nsid w:val="14E17E33"/>
    <w:multiLevelType w:val="hybridMultilevel"/>
    <w:lvl w:ilvl="0">
      <w:lvlJc w:val="left"/>
      <w:lvlText w:val="%1."/>
      <w:numFmt w:val="decimal"/>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1."/>
      <w:numFmt w:val="lowerLetter"/>
      <w:start w:val="1"/>
    </w:lvl>
  </w:abstractNum>
  <w:abstractNum w:abstractNumId="60">
    <w:nsid w:val="46B7D447"/>
    <w:multiLevelType w:val="hybridMultilevel"/>
    <w:lvl w:ilvl="0">
      <w:lvlJc w:val="left"/>
      <w:lvlText w:val="%1."/>
      <w:numFmt w:val="lowerLetter"/>
      <w:start w:val="3"/>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1"/>
    </w:lvl>
    <w:lvl w:ilvl="1">
      <w:lvlJc w:val="left"/>
      <w:lvlText w:val="%2."/>
      <w:numFmt w:val="decimal"/>
      <w:start w:val="1"/>
    </w:lvl>
  </w:abstractNum>
  <w:abstractNum w:abstractNumId="63">
    <w:nsid w:val="57FC4FBB"/>
    <w:multiLevelType w:val="hybridMultilevel"/>
    <w:lvl w:ilvl="0">
      <w:lvlJc w:val="left"/>
      <w:lvlText w:val="%1."/>
      <w:numFmt w:val="lowerLetter"/>
      <w:start w:val="1"/>
    </w:lvl>
    <w:lvl w:ilvl="1">
      <w:lvlJc w:val="left"/>
      <w:lvlText w:val="(%2)"/>
      <w:numFmt w:val="lowerRoman"/>
      <w:start w:val="1"/>
    </w:lvl>
  </w:abstractNum>
  <w:abstractNum w:abstractNumId="64">
    <w:nsid w:val="CC1016F"/>
    <w:multiLevelType w:val="hybridMultilevel"/>
    <w:lvl w:ilvl="0">
      <w:lvlJc w:val="left"/>
      <w:lvlText w:val="%1"/>
      <w:numFmt w:val="lowerLetter"/>
      <w:start w:val="1"/>
    </w:lvl>
    <w:lvl w:ilvl="1">
      <w:lvlJc w:val="left"/>
      <w:lvlText w:val="(%2)"/>
      <w:numFmt w:val="lowerRoman"/>
      <w:start w:val="4"/>
    </w:lvl>
  </w:abstractNum>
  <w:abstractNum w:abstractNumId="65">
    <w:nsid w:val="43F18422"/>
    <w:multiLevelType w:val="hybridMultilevel"/>
    <w:lvl w:ilvl="0">
      <w:lvlJc w:val="left"/>
      <w:lvlText w:val="%1."/>
      <w:numFmt w:val="lowerLetter"/>
      <w:start w:val="1"/>
    </w:lvl>
    <w:lvl w:ilvl="1">
      <w:lvlJc w:val="left"/>
      <w:lvlText w:val="%2"/>
      <w:numFmt w:val="lowerRoman"/>
      <w:start w:val="1"/>
    </w:lvl>
  </w:abstractNum>
  <w:abstractNum w:abstractNumId="66">
    <w:nsid w:val="60EF0119"/>
    <w:multiLevelType w:val="hybridMultilevel"/>
    <w:lvl w:ilvl="0">
      <w:lvlJc w:val="left"/>
      <w:lvlText w:val="%1."/>
      <w:numFmt w:val="lowerLetter"/>
      <w:start w:val="5"/>
    </w:lvl>
    <w:lvl w:ilvl="1">
      <w:lvlJc w:val="left"/>
      <w:lvlText w:val="%2."/>
      <w:numFmt w:val="decimal"/>
      <w:start w:val="1"/>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decimal"/>
      <w:start w:val="1"/>
    </w:lvl>
  </w:abstractNum>
  <w:abstractNum w:abstractNumId="73">
    <w:nsid w:val="488AC1A"/>
    <w:multiLevelType w:val="hybridMultilevel"/>
    <w:lvl w:ilvl="0">
      <w:lvlJc w:val="left"/>
      <w:lvlText w:val="%1."/>
      <w:numFmt w:val="lowerLetter"/>
      <w:start w:val="1"/>
    </w:lvl>
  </w:abstractNum>
  <w:abstractNum w:abstractNumId="74">
    <w:nsid w:val="5FB8011C"/>
    <w:multiLevelType w:val="hybridMultilevel"/>
    <w:lvl w:ilvl="0">
      <w:lvlJc w:val="left"/>
      <w:lvlText w:val="%1."/>
      <w:numFmt w:val="lowerLetter"/>
      <w:start w:val="3"/>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1"/>
    </w:lvl>
    <w:lvl w:ilvl="1">
      <w:lvlJc w:val="left"/>
      <w:lvlText w:val="%2."/>
      <w:numFmt w:val="decimal"/>
      <w:start w:val="1"/>
    </w:lvl>
  </w:abstractNum>
  <w:abstractNum w:abstractNumId="77">
    <w:nsid w:val="6FC75AF8"/>
    <w:multiLevelType w:val="hybridMultilevel"/>
    <w:lvl w:ilvl="0">
      <w:lvlJc w:val="left"/>
      <w:lvlText w:val="%1."/>
      <w:numFmt w:val="lowerLetter"/>
      <w:start w:val="1"/>
    </w:lvl>
    <w:lvl w:ilvl="1">
      <w:lvlJc w:val="left"/>
      <w:lvlText w:val="(%2)"/>
      <w:numFmt w:val="lowerRoman"/>
      <w:start w:val="1"/>
    </w:lvl>
  </w:abstractNum>
  <w:abstractNum w:abstractNumId="78">
    <w:nsid w:val="6A5F7029"/>
    <w:multiLevelType w:val="hybridMultilevel"/>
    <w:lvl w:ilvl="0">
      <w:lvlJc w:val="left"/>
      <w:lvlText w:val="%1"/>
      <w:numFmt w:val="lowerLetter"/>
      <w:start w:val="1"/>
    </w:lvl>
    <w:lvl w:ilvl="1">
      <w:lvlJc w:val="left"/>
      <w:lvlText w:val="(%2)"/>
      <w:numFmt w:val="lowerRoman"/>
      <w:start w:val="4"/>
    </w:lvl>
  </w:abstractNum>
  <w:abstractNum w:abstractNumId="79">
    <w:nsid w:val="7D5E18F8"/>
    <w:multiLevelType w:val="hybridMultilevel"/>
    <w:lvl w:ilvl="0">
      <w:lvlJc w:val="left"/>
      <w:lvlText w:val="%1."/>
      <w:numFmt w:val="lowerLetter"/>
      <w:start w:val="1"/>
    </w:lvl>
    <w:lvl w:ilvl="1">
      <w:lvlJc w:val="left"/>
      <w:lvlText w:val="%2"/>
      <w:numFmt w:val="lowerRoman"/>
      <w:start w:val="1"/>
    </w:lvl>
  </w:abstractNum>
  <w:abstractNum w:abstractNumId="80">
    <w:nsid w:val="5F3534A4"/>
    <w:multiLevelType w:val="hybridMultilevel"/>
    <w:lvl w:ilvl="0">
      <w:lvlJc w:val="left"/>
      <w:lvlText w:val="%1."/>
      <w:numFmt w:val="lowerLetter"/>
      <w:start w:val="4"/>
    </w:lvl>
    <w:lvl w:ilvl="1">
      <w:lvlJc w:val="left"/>
      <w:lvlText w:val="%2."/>
      <w:numFmt w:val="decimal"/>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lowerLetter"/>
      <w:start w:val="1"/>
    </w:lvl>
  </w:abstractNum>
  <w:abstractNum w:abstractNumId="87">
    <w:nsid w:val="71C91298"/>
    <w:multiLevelType w:val="hybridMultilevel"/>
    <w:lvl w:ilvl="0">
      <w:lvlJc w:val="left"/>
      <w:lvlText w:val="%1."/>
      <w:numFmt w:val="decimal"/>
      <w:start w:val="1"/>
    </w:lvl>
    <w:lvl w:ilvl="1">
      <w:lvlJc w:val="left"/>
      <w:lvlText w:val="(%2)"/>
      <w:numFmt w:val="lowerLetter"/>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1"/>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3"/>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1"/>
    </w:lvl>
    <w:lvl w:ilvl="1">
      <w:lvlJc w:val="left"/>
      <w:lvlText w:val="%2."/>
      <w:numFmt w:val="decimal"/>
      <w:start w:val="1"/>
    </w:lvl>
  </w:abstractNum>
  <w:abstractNum w:abstractNumId="96">
    <w:nsid w:val="1D9F6E5F"/>
    <w:multiLevelType w:val="hybridMultilevel"/>
    <w:lvl w:ilvl="0">
      <w:lvlJc w:val="left"/>
      <w:lvlText w:val="%1."/>
      <w:numFmt w:val="decimal"/>
      <w:start w:val="3"/>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1"/>
    </w:lvl>
  </w:abstractNum>
  <w:abstractNum w:abstractNumId="99">
    <w:nsid w:val="1CA0C5FA"/>
    <w:multiLevelType w:val="hybridMultilevel"/>
    <w:lvl w:ilvl="0">
      <w:lvlJc w:val="left"/>
      <w:lvlText w:val="%1."/>
      <w:numFmt w:val="lowerLetter"/>
      <w:start w:val="1"/>
    </w:lvl>
  </w:abstractNum>
  <w:abstractNum w:abstractNumId="100">
    <w:nsid w:val="53584BCB"/>
    <w:multiLevelType w:val="hybridMultilevel"/>
    <w:lvl w:ilvl="0">
      <w:lvlJc w:val="left"/>
      <w:lvlText w:val="%1."/>
      <w:numFmt w:val="lowerLetter"/>
      <w:start w:val="5"/>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decimal"/>
      <w:start w:val="1"/>
    </w:lvl>
    <w:lvl w:ilvl="1">
      <w:lvlJc w:val="left"/>
      <w:lvlText w:val="%2."/>
      <w:numFmt w:val="lowerLetter"/>
      <w:start w:val="1"/>
    </w:lvl>
  </w:abstractNum>
  <w:abstractNum w:abstractNumId="104">
    <w:nsid w:val="45E6D486"/>
    <w:multiLevelType w:val="hybridMultilevel"/>
    <w:lvl w:ilvl="0">
      <w:lvlJc w:val="left"/>
      <w:lvlText w:val="%1."/>
      <w:numFmt w:val="lowerLetter"/>
      <w:start w:val="3"/>
    </w:lvl>
  </w:abstractNum>
  <w:abstractNum w:abstractNumId="105">
    <w:nsid w:val="5C10FE21"/>
    <w:multiLevelType w:val="hybridMultilevel"/>
    <w:lvl w:ilvl="0">
      <w:lvlJc w:val="left"/>
      <w:lvlText w:val="%1."/>
      <w:numFmt w:val="lowerLetter"/>
      <w:start w:val="4"/>
    </w:lvl>
    <w:lvl w:ilvl="1">
      <w:lvlJc w:val="left"/>
      <w:lvlText w:val="(%2)"/>
      <w:numFmt w:val="lowerRoman"/>
      <w:start w:val="1"/>
    </w:lvl>
  </w:abstractNum>
  <w:abstractNum w:abstractNumId="106">
    <w:nsid w:val="E7FFA2B"/>
    <w:multiLevelType w:val="hybridMultilevel"/>
    <w:lvl w:ilvl="0">
      <w:lvlJc w:val="left"/>
      <w:lvlText w:val="(%1)"/>
      <w:numFmt w:val="lowerRoman"/>
      <w:start w:val="3"/>
    </w:lvl>
  </w:abstractNum>
  <w:abstractNum w:abstractNumId="107">
    <w:nsid w:val="3C5991AA"/>
    <w:multiLevelType w:val="hybridMultilevel"/>
    <w:lvl w:ilvl="0">
      <w:lvlJc w:val="left"/>
      <w:lvlText w:val="%1."/>
      <w:numFmt w:val="lowerLetter"/>
      <w:start w:val="6"/>
    </w:lvl>
  </w:abstractNum>
  <w:abstractNum w:abstractNumId="108">
    <w:nsid w:val="4BD8591A"/>
    <w:multiLevelType w:val="hybridMultilevel"/>
    <w:lvl w:ilvl="0">
      <w:lvlJc w:val="left"/>
      <w:lvlText w:val="%1."/>
      <w:numFmt w:val="lowerLetter"/>
      <w:start w:val="9"/>
    </w:lvl>
  </w:abstractNum>
  <w:abstractNum w:abstractNumId="109">
    <w:nsid w:val="78DF6A55"/>
    <w:multiLevelType w:val="hybridMultilevel"/>
    <w:lvl w:ilvl="0">
      <w:lvlJc w:val="left"/>
      <w:lvlText w:val="%1."/>
      <w:numFmt w:val="lowerLetter"/>
      <w:start w:val="13"/>
    </w:lvl>
  </w:abstractNum>
  <w:abstractNum w:abstractNumId="110">
    <w:nsid w:val="39B7AAA2"/>
    <w:multiLevelType w:val="hybridMultilevel"/>
    <w:lvl w:ilvl="0">
      <w:lvlJc w:val="left"/>
      <w:lvlText w:val="%1."/>
      <w:numFmt w:val="lowerLetter"/>
      <w:start w:val="13"/>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decimal"/>
      <w:start w:val="1"/>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decimal"/>
      <w:start w:val="1"/>
    </w:lvl>
    <w:lvl w:ilvl="1">
      <w:lvlJc w:val="left"/>
      <w:lvlText w:val="(%2)"/>
      <w:numFmt w:val="lowerLetter"/>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67" Type="http://schemas.openxmlformats.org/officeDocument/2006/relationships/hyperlink" Target="https://www.sec.gov/Archives/edgar/data/1524472/000152447217000027/a8-k31xcharter.htm" TargetMode="External"/><Relationship Id="rId68" Type="http://schemas.openxmlformats.org/officeDocument/2006/relationships/hyperlink" Target="https://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2024-05-02T13:13:39Z</dcterms:created>
  <dcterms:modified xsi:type="dcterms:W3CDTF">2024-05-02T13:13:39Z</dcterms:modified>
</cp:coreProperties>
</file>