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Emmerich Meredith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Xylem Inc.</w:t>
              </w:r>
            </w:hyperlink>
            <w:r>
              <w:rPr/>
              <w:t xml:space="preserve"> [ </w:t>
            </w:r>
            <w:r>
              <w:rPr>
                <w:rFonts w:ascii="Times;serif" w:hAnsi="Times;serif"/>
                <w:color w:val="0000FF"/>
                <w:sz w:val="24"/>
                <w:shd w:fill="FFFFFF" w:val="clear"/>
              </w:rPr>
              <w:t>XYL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President, MCS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106.35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of common stock to pay the tax liability incident to the vesting of restricted stock units granted on October 21, 2024 under the Xylem 2011 Omnibus Incentive Plan (Amended and Restated February 24, 2016).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Kyra Gensone, by power of attorney for Meredith Emmerich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0538" TargetMode="External"/><Relationship Id="rId5" Type="http://schemas.openxmlformats.org/officeDocument/2006/relationships/hyperlink" Target="http://www.sec.gov/cgi-bin/browse-edgar?action=getcompany&amp;CIK=00015244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3293</Characters>
  <CharactersWithSpaces>3836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