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May 14,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XYLEM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50"/>
        <w:gridCol w:w="656"/>
        <w:gridCol w:w="663"/>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45-2080495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79" w:type="dxa"/>
        <w:jc w:val="center"/>
        <w:tblInd w:w="0" w:type="dxa"/>
        <w:tblLayout w:type="fixed"/>
        <w:tblCellMar>
          <w:top w:w="28" w:type="dxa"/>
          <w:left w:w="28" w:type="dxa"/>
          <w:bottom w:w="28" w:type="dxa"/>
          <w:right w:w="28" w:type="dxa"/>
        </w:tblCellMar>
      </w:tblPr>
      <w:tblGrid>
        <w:gridCol w:w="513"/>
        <w:gridCol w:w="451"/>
        <w:gridCol w:w="453"/>
        <w:gridCol w:w="251"/>
        <w:gridCol w:w="251"/>
        <w:gridCol w:w="251"/>
        <w:gridCol w:w="251"/>
        <w:gridCol w:w="251"/>
        <w:gridCol w:w="251"/>
        <w:gridCol w:w="109"/>
        <w:gridCol w:w="109"/>
        <w:gridCol w:w="109"/>
        <w:gridCol w:w="272"/>
        <w:gridCol w:w="272"/>
        <w:gridCol w:w="385"/>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Water Street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20003</w:t>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Washington</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(202) 869-9150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of which registered </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XYL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2696" w:type="dxa"/>
        <w:jc w:val="left"/>
        <w:tblInd w:w="0" w:type="dxa"/>
        <w:tblLayout w:type="fixed"/>
        <w:tblCellMar>
          <w:top w:w="28" w:type="dxa"/>
          <w:left w:w="28" w:type="dxa"/>
          <w:bottom w:w="28" w:type="dxa"/>
          <w:right w:w="28" w:type="dxa"/>
        </w:tblCellMar>
      </w:tblPr>
      <w:tblGrid>
        <w:gridCol w:w="124"/>
        <w:gridCol w:w="109"/>
        <w:gridCol w:w="109"/>
        <w:gridCol w:w="689"/>
        <w:gridCol w:w="689"/>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5413" w:type="dxa"/>
        <w:jc w:val="left"/>
        <w:tblInd w:w="0" w:type="dxa"/>
        <w:tblLayout w:type="fixed"/>
        <w:tblCellMar>
          <w:top w:w="28" w:type="dxa"/>
          <w:left w:w="28" w:type="dxa"/>
          <w:bottom w:w="28" w:type="dxa"/>
          <w:right w:w="28" w:type="dxa"/>
        </w:tblCellMar>
      </w:tblPr>
      <w:tblGrid>
        <w:gridCol w:w="331"/>
        <w:gridCol w:w="290"/>
        <w:gridCol w:w="293"/>
        <w:gridCol w:w="1316"/>
        <w:gridCol w:w="1316"/>
        <w:gridCol w:w="1867"/>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5.07</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lineRule="auto" w:line="309" w:before="0" w:after="0"/>
        <w:jc w:val="both"/>
        <w:rPr>
          <w:rFonts w:ascii="Times New Roman;serif" w:hAnsi="Times New Roman;serif"/>
          <w:b w:val="false"/>
          <w:color w:val="000000"/>
          <w:sz w:val="20"/>
        </w:rPr>
      </w:pPr>
      <w:r>
        <w:rPr>
          <w:rFonts w:ascii="Times New Roman;serif" w:hAnsi="Times New Roman;serif"/>
          <w:b w:val="false"/>
          <w:color w:val="000000"/>
          <w:sz w:val="20"/>
        </w:rPr>
        <w:t>On May 14, 2026, Xylem Inc. (the "Company") held its 2026 Annual Meeting of Shareholders (the “Annual Meeting”). There were 212,209,479 shares of the Company’s common stock represented at the Annual Meeting in person or by proxy, constituting 88.12% of the Company’s outstanding common stock on March 19, 2026, the record date. The final voting results for each item voted on at the Annual Meeting are set forth below:</w:t>
      </w:r>
    </w:p>
    <w:p>
      <w:pPr>
        <w:pStyle w:val="TextBody"/>
        <w:bidi w:val="0"/>
        <w:spacing w:before="0" w:after="0"/>
        <w:jc w:val="left"/>
        <w:rPr/>
      </w:pPr>
      <w:r>
        <w:rPr/>
      </w:r>
    </w:p>
    <w:p>
      <w:pPr>
        <w:pStyle w:val="TextBody"/>
        <w:bidi w:val="0"/>
        <w:spacing w:lineRule="auto" w:line="34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rPr>
        <w:t xml:space="preserve">Proposal One: Election of Nine Directors. </w:t>
      </w:r>
      <w:r>
        <w:rPr>
          <w:rFonts w:ascii="Times New Roman;serif" w:hAnsi="Times New Roman;serif"/>
          <w:b w:val="false"/>
          <w:color w:val="000000"/>
          <w:sz w:val="20"/>
        </w:rPr>
        <w:t>The following nominees were elected to serve as directors of the Company for a one-year term:</w:t>
      </w:r>
    </w:p>
    <w:tbl>
      <w:tblPr>
        <w:tblW w:w="7882" w:type="dxa"/>
        <w:jc w:val="left"/>
        <w:tblInd w:w="0" w:type="dxa"/>
        <w:tblLayout w:type="fixed"/>
        <w:tblCellMar>
          <w:top w:w="28" w:type="dxa"/>
          <w:left w:w="28" w:type="dxa"/>
          <w:bottom w:w="28" w:type="dxa"/>
          <w:right w:w="28" w:type="dxa"/>
        </w:tblCellMar>
      </w:tblPr>
      <w:tblGrid>
        <w:gridCol w:w="586"/>
        <w:gridCol w:w="515"/>
        <w:gridCol w:w="519"/>
        <w:gridCol w:w="109"/>
        <w:gridCol w:w="109"/>
        <w:gridCol w:w="109"/>
        <w:gridCol w:w="379"/>
        <w:gridCol w:w="379"/>
        <w:gridCol w:w="383"/>
        <w:gridCol w:w="109"/>
        <w:gridCol w:w="109"/>
        <w:gridCol w:w="109"/>
        <w:gridCol w:w="344"/>
        <w:gridCol w:w="344"/>
        <w:gridCol w:w="348"/>
        <w:gridCol w:w="109"/>
        <w:gridCol w:w="109"/>
        <w:gridCol w:w="109"/>
        <w:gridCol w:w="495"/>
        <w:gridCol w:w="495"/>
        <w:gridCol w:w="496"/>
        <w:gridCol w:w="109"/>
        <w:gridCol w:w="109"/>
        <w:gridCol w:w="109"/>
        <w:gridCol w:w="378"/>
        <w:gridCol w:w="378"/>
        <w:gridCol w:w="535"/>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BROKER </w:t>
              <w:br/>
              <w:t>NON-VOTES</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Earl R. Ellis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199,588,485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1,615,787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122,522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Friel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190,695,934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10,131,092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499,768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Lisa Glatch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199,358,785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1,853,279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114,730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Victoria D. Harker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188,120,732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13,091,788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114,274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 D. Morelli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196,379,145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4,828,044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119,605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Jerome A. Peribere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180,074,190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20,750,136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502,468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F. Pine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199,569,406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1,618,731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138,657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Lila Tretikov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193,745,273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7,354,284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227,237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Uday Yadav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194,342,665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6,752,565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231,564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bl>
    <w:p>
      <w:pPr>
        <w:pStyle w:val="TextBody"/>
        <w:bidi w:val="0"/>
        <w:spacing w:before="0" w:after="0"/>
        <w:jc w:val="left"/>
        <w:rPr/>
      </w:pPr>
      <w:r>
        <w:rPr/>
      </w:r>
    </w:p>
    <w:p>
      <w:pPr>
        <w:pStyle w:val="TextBody"/>
        <w:bidi w:val="0"/>
        <w:spacing w:lineRule="auto" w:line="345"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rPr>
        <w:t xml:space="preserve">Proposal Two: Ratification of Appointment of the Independent Registered Public Accounting Firm. </w:t>
      </w:r>
      <w:r>
        <w:rPr>
          <w:rFonts w:ascii="Times New Roman;serif" w:hAnsi="Times New Roman;serif"/>
          <w:b w:val="false"/>
          <w:color w:val="000000"/>
          <w:sz w:val="20"/>
        </w:rPr>
        <w:t>Shareholders ratified</w:t>
      </w:r>
      <w:r>
        <w:rPr>
          <w:color w:val="000000"/>
        </w:rPr>
        <w:t xml:space="preserve"> </w:t>
      </w:r>
      <w:r>
        <w:rPr>
          <w:rFonts w:ascii="Times New Roman;serif" w:hAnsi="Times New Roman;serif"/>
          <w:b w:val="false"/>
          <w:color w:val="000000"/>
          <w:sz w:val="20"/>
        </w:rPr>
        <w:t>the appointment of Deloitte &amp; Touche LLP as the Company’s independent registered public accounting firm for 2026:</w:t>
      </w:r>
    </w:p>
    <w:tbl>
      <w:tblPr>
        <w:tblW w:w="6710" w:type="dxa"/>
        <w:jc w:val="center"/>
        <w:tblInd w:w="0" w:type="dxa"/>
        <w:tblLayout w:type="fixed"/>
        <w:tblCellMar>
          <w:top w:w="28" w:type="dxa"/>
          <w:left w:w="28" w:type="dxa"/>
          <w:bottom w:w="28" w:type="dxa"/>
          <w:right w:w="28" w:type="dxa"/>
        </w:tblCellMar>
      </w:tblPr>
      <w:tblGrid>
        <w:gridCol w:w="684"/>
        <w:gridCol w:w="601"/>
        <w:gridCol w:w="611"/>
        <w:gridCol w:w="275"/>
        <w:gridCol w:w="275"/>
        <w:gridCol w:w="276"/>
        <w:gridCol w:w="549"/>
        <w:gridCol w:w="549"/>
        <w:gridCol w:w="553"/>
        <w:gridCol w:w="268"/>
        <w:gridCol w:w="268"/>
        <w:gridCol w:w="270"/>
        <w:gridCol w:w="448"/>
        <w:gridCol w:w="448"/>
        <w:gridCol w:w="635"/>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ABSTENTIONS</w:t>
            </w:r>
          </w:p>
        </w:tc>
      </w:tr>
      <w:tr>
        <w:trPr/>
        <w:tc>
          <w:tcPr>
            <w:tcW w:w="189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740"/>
              <w:jc w:val="left"/>
              <w:rPr>
                <w:rFonts w:ascii="Times New Roman;serif" w:hAnsi="Times New Roman;serif"/>
                <w:b w:val="false"/>
                <w:color w:val="000000"/>
                <w:sz w:val="20"/>
              </w:rPr>
            </w:pPr>
            <w:r>
              <w:rPr>
                <w:rFonts w:ascii="Times New Roman;serif" w:hAnsi="Times New Roman;serif"/>
                <w:b w:val="false"/>
                <w:color w:val="000000"/>
                <w:sz w:val="20"/>
              </w:rPr>
              <w:t>205,386,746</w:t>
            </w:r>
          </w:p>
        </w:tc>
        <w:tc>
          <w:tcPr>
            <w:tcW w:w="826" w:type="dxa"/>
            <w:gridSpan w:val="3"/>
            <w:tcBorders/>
            <w:tcMar>
              <w:top w:w="0" w:type="dxa"/>
              <w:left w:w="0" w:type="dxa"/>
              <w:bottom w:w="0" w:type="dxa"/>
              <w:right w:w="0" w:type="dxa"/>
            </w:tcMar>
            <w:vAlign w:val="center"/>
          </w:tcPr>
          <w:p>
            <w:pPr>
              <w:pStyle w:val="TableContents"/>
              <w:bidi w:val="0"/>
              <w:spacing w:before="0" w:after="283"/>
              <w:ind w:left="0" w:right="0" w:firstLine="740"/>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6,164,834</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657,899</w:t>
            </w:r>
          </w:p>
        </w:tc>
      </w:tr>
    </w:tbl>
    <w:p>
      <w:pPr>
        <w:pStyle w:val="TextBody"/>
        <w:bidi w:val="0"/>
        <w:spacing w:before="0" w:after="0"/>
        <w:jc w:val="left"/>
        <w:rPr/>
      </w:pPr>
      <w:r>
        <w:rPr/>
      </w:r>
    </w:p>
    <w:p>
      <w:pPr>
        <w:pStyle w:val="TextBody"/>
        <w:bidi w:val="0"/>
        <w:spacing w:lineRule="auto" w:line="348" w:before="0" w:after="0"/>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Proposal Three: Advisory Vote on Named Executive Compensation</w:t>
      </w:r>
      <w:r>
        <w:rPr>
          <w:rFonts w:ascii="Times New Roman;serif" w:hAnsi="Times New Roman;serif"/>
          <w:b w:val="false"/>
          <w:color w:val="000000"/>
          <w:sz w:val="20"/>
        </w:rPr>
        <w:t>. Shareholders approved a resolution approving, on an</w:t>
      </w:r>
      <w:r>
        <w:rPr>
          <w:color w:val="000000"/>
        </w:rPr>
        <w:t xml:space="preserve"> </w:t>
      </w:r>
      <w:r>
        <w:rPr>
          <w:rFonts w:ascii="Times New Roman;serif" w:hAnsi="Times New Roman;serif"/>
          <w:b w:val="false"/>
          <w:color w:val="000000"/>
          <w:sz w:val="20"/>
        </w:rPr>
        <w:t>advisory basis, the compensation paid to the Company’s named executive officers as described in the Company’s 2026 Proxy Statement.</w:t>
      </w:r>
    </w:p>
    <w:tbl>
      <w:tblPr>
        <w:tblW w:w="5950" w:type="dxa"/>
        <w:jc w:val="center"/>
        <w:tblInd w:w="0" w:type="dxa"/>
        <w:tblLayout w:type="fixed"/>
        <w:tblCellMar>
          <w:top w:w="28" w:type="dxa"/>
          <w:left w:w="28" w:type="dxa"/>
          <w:bottom w:w="28" w:type="dxa"/>
          <w:right w:w="28" w:type="dxa"/>
        </w:tblCellMar>
      </w:tblPr>
      <w:tblGrid>
        <w:gridCol w:w="417"/>
        <w:gridCol w:w="367"/>
        <w:gridCol w:w="372"/>
        <w:gridCol w:w="109"/>
        <w:gridCol w:w="109"/>
        <w:gridCol w:w="109"/>
        <w:gridCol w:w="344"/>
        <w:gridCol w:w="344"/>
        <w:gridCol w:w="348"/>
        <w:gridCol w:w="109"/>
        <w:gridCol w:w="109"/>
        <w:gridCol w:w="109"/>
        <w:gridCol w:w="495"/>
        <w:gridCol w:w="495"/>
        <w:gridCol w:w="496"/>
        <w:gridCol w:w="109"/>
        <w:gridCol w:w="109"/>
        <w:gridCol w:w="109"/>
        <w:gridCol w:w="378"/>
        <w:gridCol w:w="378"/>
        <w:gridCol w:w="535"/>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BROKER </w:t>
              <w:br/>
              <w:t>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176,623,615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24,442,685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260,494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rPr>
        <w:t xml:space="preserve">Proposal Four: Implementation of the Xylem Inc. 2026 Employee Stock Purchase Plan. </w:t>
      </w:r>
      <w:r>
        <w:rPr>
          <w:rFonts w:ascii="Times New Roman;serif" w:hAnsi="Times New Roman;serif"/>
          <w:b w:val="false"/>
          <w:color w:val="000000"/>
          <w:sz w:val="20"/>
        </w:rPr>
        <w:t>Shareholders approved a resolution approving the implementation of the Xylem Inc. 2026 Employee Stock Purchase Plan as described in the Company’s 2026 Proxy Statement.</w:t>
      </w:r>
    </w:p>
    <w:tbl>
      <w:tblPr>
        <w:tblW w:w="5890" w:type="dxa"/>
        <w:jc w:val="center"/>
        <w:tblInd w:w="0" w:type="dxa"/>
        <w:tblLayout w:type="fixed"/>
        <w:tblCellMar>
          <w:top w:w="28" w:type="dxa"/>
          <w:left w:w="28" w:type="dxa"/>
          <w:bottom w:w="28" w:type="dxa"/>
          <w:right w:w="28" w:type="dxa"/>
        </w:tblCellMar>
      </w:tblPr>
      <w:tblGrid>
        <w:gridCol w:w="417"/>
        <w:gridCol w:w="367"/>
        <w:gridCol w:w="372"/>
        <w:gridCol w:w="109"/>
        <w:gridCol w:w="109"/>
        <w:gridCol w:w="109"/>
        <w:gridCol w:w="325"/>
        <w:gridCol w:w="325"/>
        <w:gridCol w:w="326"/>
        <w:gridCol w:w="109"/>
        <w:gridCol w:w="109"/>
        <w:gridCol w:w="109"/>
        <w:gridCol w:w="495"/>
        <w:gridCol w:w="495"/>
        <w:gridCol w:w="496"/>
        <w:gridCol w:w="109"/>
        <w:gridCol w:w="109"/>
        <w:gridCol w:w="109"/>
        <w:gridCol w:w="378"/>
        <w:gridCol w:w="378"/>
        <w:gridCol w:w="535"/>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BROKER </w:t>
              <w:br/>
              <w:t>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200,869,123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313,939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143,732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10,882,685</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45"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38"/>
        <w:gridCol w:w="138"/>
        <w:gridCol w:w="138"/>
        <w:gridCol w:w="138"/>
        <w:gridCol w:w="138"/>
        <w:gridCol w:w="138"/>
        <w:gridCol w:w="1270"/>
        <w:gridCol w:w="1270"/>
        <w:gridCol w:w="181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XYLEM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C. O'Shea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C. O'Shea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VP, Chief Corporate Counsel &amp;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3567</Characters>
  <CharactersWithSpaces>4052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