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28,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XYLEM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50"/>
        <w:gridCol w:w="656"/>
        <w:gridCol w:w="663"/>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45-2080495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179" w:type="dxa"/>
        <w:jc w:val="center"/>
        <w:tblInd w:w="0" w:type="dxa"/>
        <w:tblLayout w:type="fixed"/>
        <w:tblCellMar>
          <w:top w:w="28" w:type="dxa"/>
          <w:left w:w="28" w:type="dxa"/>
          <w:bottom w:w="28" w:type="dxa"/>
          <w:right w:w="28" w:type="dxa"/>
        </w:tblCellMar>
      </w:tblPr>
      <w:tblGrid>
        <w:gridCol w:w="513"/>
        <w:gridCol w:w="451"/>
        <w:gridCol w:w="453"/>
        <w:gridCol w:w="251"/>
        <w:gridCol w:w="251"/>
        <w:gridCol w:w="251"/>
        <w:gridCol w:w="251"/>
        <w:gridCol w:w="251"/>
        <w:gridCol w:w="251"/>
        <w:gridCol w:w="109"/>
        <w:gridCol w:w="109"/>
        <w:gridCol w:w="109"/>
        <w:gridCol w:w="272"/>
        <w:gridCol w:w="272"/>
        <w:gridCol w:w="385"/>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 Water Street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20003</w:t>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Washington</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(202) 869-9150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Name of each exchange of which registered </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XYL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2696" w:type="dxa"/>
        <w:jc w:val="left"/>
        <w:tblInd w:w="0" w:type="dxa"/>
        <w:tblLayout w:type="fixed"/>
        <w:tblCellMar>
          <w:top w:w="28" w:type="dxa"/>
          <w:left w:w="28" w:type="dxa"/>
          <w:bottom w:w="28" w:type="dxa"/>
          <w:right w:w="28" w:type="dxa"/>
        </w:tblCellMar>
      </w:tblPr>
      <w:tblGrid>
        <w:gridCol w:w="124"/>
        <w:gridCol w:w="109"/>
        <w:gridCol w:w="109"/>
        <w:gridCol w:w="689"/>
        <w:gridCol w:w="689"/>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9610"/>
                <wp:effectExtent l="0" t="0" r="0" b="0"/>
                <wp:wrapNone/>
                <wp:docPr id="1" name="Frame1"/>
                <a:graphic xmlns:a="http://schemas.openxmlformats.org/drawingml/2006/main">
                  <a:graphicData uri="http://schemas.microsoft.com/office/word/2010/wordprocessingShape">
                    <wps:wsp>
                      <wps:cNvSpPr txBox="1"/>
                      <wps:spPr>
                        <a:xfrm>
                          <a:off x="0" y="0"/>
                          <a:ext cx="6480175" cy="68961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4964" w:type="dxa"/>
        <w:jc w:val="left"/>
        <w:tblInd w:w="0" w:type="dxa"/>
        <w:tblLayout w:type="fixed"/>
        <w:tblCellMar>
          <w:top w:w="28" w:type="dxa"/>
          <w:left w:w="28" w:type="dxa"/>
          <w:bottom w:w="28" w:type="dxa"/>
          <w:right w:w="28" w:type="dxa"/>
        </w:tblCellMar>
      </w:tblPr>
      <w:tblGrid>
        <w:gridCol w:w="331"/>
        <w:gridCol w:w="290"/>
        <w:gridCol w:w="293"/>
        <w:gridCol w:w="1186"/>
        <w:gridCol w:w="1186"/>
        <w:gridCol w:w="16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28, 2026, Xylem Inc. issued a press release announcing its financial results for the quarter ended June 30, 2026. A copy of the press release is furnished as Exhibit 99.1 to this report and is incorporated by reference herein.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information shall not be deemed “filed” for purposes of Section 18 of the Securities Exchange Act of 1934, as amended (the “Exchange Act”), or incorporated by reference into any filing under the Securities Act of 1933, as amended, or the Exchange Act, except as expressly set forth by specific reference in such filing.</w:t>
      </w:r>
    </w:p>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6526" w:type="dxa"/>
        <w:jc w:val="left"/>
        <w:tblInd w:w="0" w:type="dxa"/>
        <w:tblLayout w:type="fixed"/>
        <w:tblCellMar>
          <w:top w:w="28" w:type="dxa"/>
          <w:left w:w="28" w:type="dxa"/>
          <w:bottom w:w="28" w:type="dxa"/>
          <w:right w:w="28" w:type="dxa"/>
        </w:tblCellMar>
      </w:tblPr>
      <w:tblGrid>
        <w:gridCol w:w="234"/>
        <w:gridCol w:w="205"/>
        <w:gridCol w:w="207"/>
        <w:gridCol w:w="1717"/>
        <w:gridCol w:w="1717"/>
        <w:gridCol w:w="244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16"/>
              </w:rPr>
              <w:t>No.</w:t>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yl07282026ex991.htm">
              <w:r>
                <w:rPr>
                  <w:rStyle w:val="InternetLink"/>
                  <w:rFonts w:ascii="Times New Roman;serif" w:hAnsi="Times New Roman;serif"/>
                  <w:b w:val="false"/>
                  <w:color w:val="0000FF"/>
                  <w:sz w:val="20"/>
                  <w:u w:val="single"/>
                </w:rPr>
                <w:t>99.1</w:t>
              </w:r>
            </w:hyperlink>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issued by Xylem Inc. on July 28, 2026.</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Xylem Inc.'s Form 8-K, formatted in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153"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8"/>
        <w:gridCol w:w="138"/>
        <w:gridCol w:w="138"/>
        <w:gridCol w:w="138"/>
        <w:gridCol w:w="138"/>
        <w:gridCol w:w="138"/>
        <w:gridCol w:w="1256"/>
        <w:gridCol w:w="1256"/>
        <w:gridCol w:w="177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XYLEM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K. Grogan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K. Grogan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Chief Financial Officer</w:t>
              <w:br/>
              <w:t>(Authorized Officer of Registrant)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180"/>
        <w:jc w:val="right"/>
        <w:rPr/>
      </w:pPr>
      <w:r>
        <w:rPr/>
        <w:drawing>
          <wp:inline distT="0" distB="0" distL="0" distR="0">
            <wp:extent cx="1095375" cy="381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95375" cy="3810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525353"/>
          <w:sz w:val="17"/>
        </w:rPr>
      </w:pPr>
      <w:r>
        <w:rPr>
          <w:rFonts w:ascii="Arial;sans-serif" w:hAnsi="Arial;sans-serif"/>
          <w:b/>
          <w:color w:val="525353"/>
          <w:sz w:val="17"/>
        </w:rPr>
        <w:t>Xylem Inc.</w:t>
      </w:r>
    </w:p>
    <w:p>
      <w:pPr>
        <w:pStyle w:val="TextBody"/>
        <w:bidi w:val="0"/>
        <w:spacing w:lineRule="auto" w:line="268" w:before="0" w:after="0"/>
        <w:jc w:val="left"/>
        <w:rPr>
          <w:rFonts w:ascii="Arial;sans-serif" w:hAnsi="Arial;sans-serif"/>
          <w:b w:val="false"/>
          <w:color w:val="525353"/>
          <w:sz w:val="17"/>
        </w:rPr>
      </w:pPr>
      <w:r>
        <w:rPr>
          <w:rFonts w:ascii="Arial;sans-serif" w:hAnsi="Arial;sans-serif"/>
          <w:b w:val="false"/>
          <w:color w:val="525353"/>
          <w:sz w:val="17"/>
        </w:rPr>
        <w:t>301 Water Street SE, Suite 200</w:t>
      </w:r>
    </w:p>
    <w:p>
      <w:pPr>
        <w:pStyle w:val="TextBody"/>
        <w:bidi w:val="0"/>
        <w:spacing w:lineRule="auto" w:line="268" w:before="0" w:after="0"/>
        <w:jc w:val="left"/>
        <w:rPr/>
      </w:pPr>
      <w:r>
        <w:rPr>
          <w:rFonts w:ascii="Arial;sans-serif" w:hAnsi="Arial;sans-serif"/>
          <w:b w:val="false"/>
          <w:color w:val="525353"/>
          <w:sz w:val="17"/>
        </w:rPr>
        <w:t>Washington, DC</w:t>
      </w:r>
      <w:r>
        <w:rPr>
          <w:color w:val="525353"/>
        </w:rPr>
        <w:t xml:space="preserve"> </w:t>
      </w:r>
      <w:r>
        <w:rPr>
          <w:rFonts w:ascii="Arial;sans-serif" w:hAnsi="Arial;sans-serif"/>
          <w:b w:val="false"/>
          <w:color w:val="525353"/>
          <w:sz w:val="17"/>
        </w:rPr>
        <w:t>20003</w:t>
      </w:r>
    </w:p>
    <w:p>
      <w:pPr>
        <w:pStyle w:val="TextBody"/>
        <w:bidi w:val="0"/>
        <w:spacing w:lineRule="auto" w:line="268" w:before="0" w:after="0"/>
        <w:jc w:val="left"/>
        <w:rPr>
          <w:rFonts w:ascii="Arial;sans-serif" w:hAnsi="Arial;sans-serif"/>
          <w:b w:val="false"/>
          <w:color w:val="525353"/>
          <w:sz w:val="17"/>
        </w:rPr>
      </w:pPr>
      <w:r>
        <w:rPr>
          <w:rFonts w:ascii="Arial;sans-serif" w:hAnsi="Arial;sans-serif"/>
          <w:b w:val="false"/>
          <w:color w:val="525353"/>
          <w:sz w:val="17"/>
        </w:rPr>
        <w:t>Tel +1.202.869.9150</w:t>
      </w:r>
    </w:p>
    <w:p>
      <w:pPr>
        <w:pStyle w:val="TextBody"/>
        <w:bidi w:val="0"/>
        <w:spacing w:before="0" w:after="0"/>
        <w:jc w:val="left"/>
        <w:rPr/>
      </w:pPr>
      <w:r>
        <w:rPr/>
      </w:r>
    </w:p>
    <w:tbl>
      <w:tblPr>
        <w:tblW w:w="7048" w:type="dxa"/>
        <w:jc w:val="left"/>
        <w:tblInd w:w="0" w:type="dxa"/>
        <w:tblLayout w:type="fixed"/>
        <w:tblCellMar>
          <w:top w:w="28" w:type="dxa"/>
          <w:left w:w="28" w:type="dxa"/>
          <w:bottom w:w="28" w:type="dxa"/>
          <w:right w:w="28" w:type="dxa"/>
        </w:tblCellMar>
      </w:tblPr>
      <w:tblGrid>
        <w:gridCol w:w="413"/>
        <w:gridCol w:w="362"/>
        <w:gridCol w:w="364"/>
        <w:gridCol w:w="854"/>
        <w:gridCol w:w="854"/>
        <w:gridCol w:w="858"/>
        <w:gridCol w:w="109"/>
        <w:gridCol w:w="109"/>
        <w:gridCol w:w="109"/>
        <w:gridCol w:w="882"/>
        <w:gridCol w:w="882"/>
        <w:gridCol w:w="1252"/>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Contacts:</w:t>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Investors</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Press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Michael Travers</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+1 (978) 704-5149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+1 (724) 772-1597</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E32E1"/>
                <w:sz w:val="22"/>
              </w:rPr>
            </w:pPr>
            <w:r>
              <w:rPr>
                <w:rFonts w:ascii="Arial;sans-serif" w:hAnsi="Arial;sans-serif"/>
                <w:b w:val="false"/>
                <w:color w:val="0E32E1"/>
                <w:sz w:val="22"/>
              </w:rPr>
              <w:t>PressOffice@xylem.com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E32E1"/>
                <w:sz w:val="22"/>
              </w:rPr>
            </w:pPr>
            <w:r>
              <w:rPr>
                <w:rFonts w:ascii="Arial;sans-serif" w:hAnsi="Arial;sans-serif"/>
                <w:b w:val="false"/>
                <w:color w:val="0E32E1"/>
                <w:sz w:val="22"/>
              </w:rPr>
              <w:t>Michael.Travers@xylem.com</w:t>
            </w:r>
          </w:p>
        </w:tc>
      </w:tr>
    </w:tbl>
    <w:p>
      <w:pPr>
        <w:pStyle w:val="TextBody"/>
        <w:bidi w:val="0"/>
        <w:spacing w:before="0" w:after="0"/>
        <w:jc w:val="left"/>
        <w:rPr/>
      </w:pPr>
      <w:r>
        <w:rPr/>
      </w:r>
    </w:p>
    <w:p>
      <w:pPr>
        <w:pStyle w:val="TextBody"/>
        <w:bidi w:val="0"/>
        <w:spacing w:lineRule="auto" w:line="276" w:before="0" w:after="0"/>
        <w:jc w:val="center"/>
        <w:rPr/>
      </w:pPr>
      <w:r>
        <w:rPr>
          <w:rFonts w:ascii="Arial;sans-serif" w:hAnsi="Arial;sans-serif"/>
          <w:b/>
          <w:color w:val="000000"/>
          <w:sz w:val="28"/>
          <w:shd w:fill="FFFFFF" w:val="clear"/>
        </w:rPr>
        <w:t>Xylem Reports</w:t>
      </w:r>
      <w:r>
        <w:rPr>
          <w:color w:val="000000"/>
        </w:rPr>
        <w:t xml:space="preserve"> </w:t>
      </w:r>
      <w:r>
        <w:rPr>
          <w:rFonts w:ascii="Arial;sans-serif" w:hAnsi="Arial;sans-serif"/>
          <w:b/>
          <w:color w:val="000000"/>
          <w:sz w:val="28"/>
        </w:rPr>
        <w:t xml:space="preserve">Second </w:t>
      </w:r>
      <w:r>
        <w:rPr>
          <w:rFonts w:ascii="Arial;sans-serif" w:hAnsi="Arial;sans-serif"/>
          <w:b/>
          <w:color w:val="000000"/>
          <w:sz w:val="24"/>
          <w:shd w:fill="FFFFFF" w:val="clear"/>
        </w:rPr>
        <w:t>Quarter 2026 Results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shd w:fill="FFFFFF" w:val="clear"/>
        </w:rPr>
      </w:pPr>
      <w:r>
        <w:rPr>
          <w:rFonts w:ascii="Arial;sans-serif" w:hAnsi="Arial;sans-serif"/>
          <w:b/>
          <w:color w:val="000000"/>
          <w:sz w:val="24"/>
          <w:shd w:fill="FFFFFF" w:val="clear"/>
        </w:rPr>
        <w:t>Second-Quarter Highlights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color w:val="000000"/>
          <w:sz w:val="24"/>
          <w:shd w:fill="FFFFFF" w:val="clear"/>
        </w:rPr>
        <w:t xml:space="preserve">Orders of $3.1 billion, up 42% on a reported basis and </w:t>
      </w:r>
      <w:r>
        <w:rPr>
          <w:rFonts w:ascii="Arial;sans-serif" w:hAnsi="Arial;sans-serif"/>
          <w:b/>
          <w:color w:val="000000"/>
          <w:sz w:val="24"/>
        </w:rPr>
        <w:t>41%</w:t>
      </w:r>
      <w:r>
        <w:rPr>
          <w:color w:val="000000"/>
          <w:shd w:fill="FFFFFF" w:val="clear"/>
        </w:rPr>
        <w:t xml:space="preserve"> </w:t>
      </w:r>
      <w:r>
        <w:rPr>
          <w:rFonts w:ascii="Arial;sans-serif" w:hAnsi="Arial;sans-serif"/>
          <w:b/>
          <w:color w:val="000000"/>
          <w:sz w:val="24"/>
          <w:shd w:fill="FFFFFF" w:val="clear"/>
        </w:rPr>
        <w:t>organically</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4"/>
          <w:shd w:fill="FFFFFF" w:val="clear"/>
        </w:rPr>
        <w:t>Revenue of $2.</w:t>
      </w:r>
      <w:r>
        <w:rPr>
          <w:rFonts w:ascii="Arial;sans-serif" w:hAnsi="Arial;sans-serif"/>
          <w:b/>
          <w:color w:val="000000"/>
          <w:sz w:val="24"/>
        </w:rPr>
        <w:t>3</w:t>
      </w:r>
      <w:r>
        <w:rPr>
          <w:color w:val="000000"/>
          <w:shd w:fill="FFFFFF" w:val="clear"/>
        </w:rPr>
        <w:t xml:space="preserve"> </w:t>
      </w:r>
      <w:r>
        <w:rPr>
          <w:rFonts w:ascii="Arial;sans-serif" w:hAnsi="Arial;sans-serif"/>
          <w:b/>
          <w:color w:val="000000"/>
          <w:sz w:val="24"/>
          <w:shd w:fill="FFFFFF" w:val="clear"/>
        </w:rPr>
        <w:t xml:space="preserve">billion, up </w:t>
      </w:r>
      <w:r>
        <w:rPr>
          <w:rFonts w:ascii="Arial;sans-serif" w:hAnsi="Arial;sans-serif"/>
          <w:b/>
          <w:color w:val="000000"/>
          <w:sz w:val="24"/>
        </w:rPr>
        <w:t>2</w:t>
      </w:r>
      <w:r>
        <w:rPr>
          <w:rFonts w:ascii="Arial;sans-serif" w:hAnsi="Arial;sans-serif"/>
          <w:b/>
          <w:color w:val="000000"/>
          <w:sz w:val="24"/>
          <w:shd w:fill="FFFFFF" w:val="clear"/>
        </w:rPr>
        <w:t xml:space="preserve">% on a reported basis and </w:t>
      </w:r>
      <w:r>
        <w:rPr>
          <w:rFonts w:ascii="Arial;sans-serif" w:hAnsi="Arial;sans-serif"/>
          <w:b/>
          <w:color w:val="000000"/>
          <w:sz w:val="24"/>
        </w:rPr>
        <w:t>1%</w:t>
      </w:r>
      <w:r>
        <w:rPr>
          <w:color w:val="000000"/>
          <w:shd w:fill="FFFFFF" w:val="clear"/>
        </w:rPr>
        <w:t xml:space="preserve"> </w:t>
      </w:r>
      <w:r>
        <w:rPr>
          <w:rFonts w:ascii="Arial;sans-serif" w:hAnsi="Arial;sans-serif"/>
          <w:b/>
          <w:color w:val="000000"/>
          <w:sz w:val="24"/>
          <w:shd w:fill="FFFFFF" w:val="clear"/>
        </w:rPr>
        <w:t xml:space="preserve">organically </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4"/>
          <w:shd w:fill="FFFFFF" w:val="clear"/>
        </w:rPr>
        <w:t>Earnings per share of $</w:t>
      </w:r>
      <w:r>
        <w:rPr>
          <w:rFonts w:ascii="Arial;sans-serif" w:hAnsi="Arial;sans-serif"/>
          <w:b/>
          <w:color w:val="000000"/>
          <w:sz w:val="24"/>
        </w:rPr>
        <w:t>1.11</w:t>
      </w:r>
      <w:r>
        <w:rPr>
          <w:rFonts w:ascii="Arial;sans-serif" w:hAnsi="Arial;sans-serif"/>
          <w:b/>
          <w:color w:val="000000"/>
          <w:sz w:val="24"/>
          <w:shd w:fill="FFFFFF" w:val="clear"/>
        </w:rPr>
        <w:t>, up 19%; $1.46 on an adjusted basis, up 16%</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4"/>
          <w:shd w:fill="FFFFFF" w:val="clear"/>
        </w:rPr>
        <w:t>WASHINGTON, D.C.,</w:t>
      </w:r>
      <w:r>
        <w:rPr>
          <w:color w:val="000000"/>
          <w:shd w:fill="FFFFFF" w:val="clear"/>
        </w:rPr>
        <w:t xml:space="preserve"> </w:t>
      </w:r>
      <w:r>
        <w:rPr>
          <w:rFonts w:ascii="Arial;sans-serif" w:hAnsi="Arial;sans-serif"/>
          <w:b w:val="false"/>
          <w:color w:val="000000"/>
          <w:sz w:val="24"/>
          <w:shd w:fill="FFFFFF" w:val="clear"/>
        </w:rPr>
        <w:t>July 28, 2026 -- Xylem Inc. (NYSE: XYL), a leading global water solutions company dedicated to solving the world’s most challenging water issues, today reported second-quarter 2026 results. The Company delivered total revenue of $2.3 billion, on strong execution. Second-quarter earnings per share were up 19 percent on a reported basis and 16 percent on an adjusted basis.</w:t>
      </w: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w:t>
      </w:r>
      <w:r>
        <w:rPr>
          <w:rFonts w:ascii="Arial;sans-serif" w:hAnsi="Arial;sans-serif"/>
          <w:b w:val="false"/>
          <w:color w:val="000000"/>
          <w:sz w:val="24"/>
          <w:shd w:fill="FFFFFF" w:val="clear"/>
        </w:rPr>
        <w:t>The demand drivers behind our business continue to strengthen,” said Matthew Pine, Xylem’s CEO. “Water is becoming increasingly strategic for both utilities and industrial customers. We’ve spent the past several years positioning Xylem for this. Now we’re seeing that strategy create new opportunities and strengthen our competitive position. With a resilient municipal foundation, increasing exposure to attractive industrial markets and a more focused portfolio, we believe Xylem is well positioned for long-term growth and profitability.”</w:t>
      </w: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w:t>
      </w:r>
      <w:r>
        <w:rPr>
          <w:rFonts w:ascii="Arial;sans-serif" w:hAnsi="Arial;sans-serif"/>
          <w:b w:val="false"/>
          <w:color w:val="000000"/>
          <w:sz w:val="24"/>
          <w:shd w:fill="FFFFFF" w:val="clear"/>
        </w:rPr>
        <w:t>The opportunities we see today extend well beyond any single end market,” Pine continued. “The growth of AI infrastructure is increasing the strategic importance of water across a broader industrial ecosystem from semiconductors and power generation to mining and other critical industries. At the same time, we are seeing increasing demand across sectors such as food and beverage and life sciences, where water quality, reliability and operational performance are essential. These trends are broadening our opportunity set and reinforcing our confidence in the durability of our long-term strategy.”</w:t>
      </w:r>
    </w:p>
    <w:p>
      <w:pPr>
        <w:pStyle w:val="TextBody"/>
        <w:bidi w:val="0"/>
        <w:spacing w:before="0" w:after="0"/>
        <w:jc w:val="left"/>
        <w:rPr/>
      </w:pPr>
      <w:r>
        <w:rPr/>
      </w:r>
    </w:p>
    <w:p>
      <w:pPr>
        <w:pStyle w:val="TextBody"/>
        <w:bidi w:val="0"/>
        <w:spacing w:lineRule="auto" w:line="276"/>
        <w:jc w:val="left"/>
        <w:rPr/>
      </w:pPr>
      <w:r>
        <w:rPr>
          <w:rFonts w:ascii="Arial;sans-serif" w:hAnsi="Arial;sans-serif"/>
          <w:b w:val="false"/>
          <w:color w:val="000000"/>
          <w:sz w:val="24"/>
        </w:rPr>
        <w:t xml:space="preserve">Net income attributable to Xylem for the quarter was $263 million, or $1.11 per share. Net income margin increased 150 basis points to 11.3 percent. </w:t>
      </w:r>
      <w:r>
        <w:rPr>
          <w:rFonts w:ascii="Arial;sans-serif" w:hAnsi="Arial;sans-serif"/>
          <w:b w:val="false"/>
          <w:color w:val="000000"/>
          <w:sz w:val="24"/>
          <w:shd w:fill="FFFFFF" w:val="clear"/>
        </w:rPr>
        <w:t xml:space="preserve">These results are driven by strong operational performance and lower restructuring and realignment costs, partially offset by increased income tax expense and loss on sale of businesses. Adjusted net income </w:t>
      </w:r>
      <w:r>
        <w:rPr>
          <w:rFonts w:ascii="Arial;sans-serif" w:hAnsi="Arial;sans-serif"/>
          <w:b w:val="false"/>
          <w:color w:val="000000"/>
          <w:sz w:val="24"/>
        </w:rPr>
        <w:t xml:space="preserve">attributable to Xylem </w:t>
      </w:r>
      <w:r>
        <w:rPr>
          <w:rFonts w:ascii="Arial;sans-serif" w:hAnsi="Arial;sans-serif"/>
          <w:b w:val="false"/>
          <w:color w:val="000000"/>
          <w:sz w:val="24"/>
          <w:shd w:fill="FFFFFF" w:val="clear"/>
        </w:rPr>
        <w:t xml:space="preserve">was $345 million, or $1.46 per share, which excludes purchase accounting intangible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amortization, the loss on sale of businesses, restructuring and realignment costs, and special charges.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Second-quarter adjusted earnings before interest, tax, depreciation, and amortization (EBITDA) margin was 23.3 percent, reflecting a year-over-year increase of 150 basis points. Productivity savings, strong price realization and mix drove the margin expansion, exceeding the impact of inflation and lower volumes.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shd w:fill="FFFFFF" w:val="clear"/>
        </w:rPr>
      </w:pPr>
      <w:r>
        <w:rPr>
          <w:rFonts w:ascii="Arial;sans-serif" w:hAnsi="Arial;sans-serif"/>
          <w:b/>
          <w:color w:val="000000"/>
          <w:sz w:val="24"/>
          <w:shd w:fill="FFFFFF" w:val="clear"/>
        </w:rPr>
        <w:t>Outlook</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Xylem now forecasts full-year 2026 revenue of approximately $9.2 billion, up approximately 2 percent on a reported basis, versus 2 to 3 percent previously guided, and up approximately 2 to 3 percent on an organic basis, versus 2 to 4 percent previously guided.</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Full-year 2026 adjusted EBITDA margin is expected to be approximately 23.1 to 23.5 percent, an increase of 90 to 130 basis points from Xylem’s 2025 adjusted results. This results in full-year adjusted earnings per share of $5.55 to $5.70, up from the previous guidance range of $5.35 to $5.60. Full-year free cash flow margin is still expected to be approximately 10.2 to 11.0 percent.</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4"/>
          <w:shd w:fill="FFFFFF" w:val="clear"/>
        </w:rPr>
        <w:t xml:space="preserve">Further 2026 planning assumptions are included in Xylem’s second-quarter 2026 earnings materials posted at </w:t>
      </w:r>
      <w:r>
        <w:rPr>
          <w:rFonts w:ascii="Arial;sans-serif" w:hAnsi="Arial;sans-serif"/>
          <w:b w:val="false"/>
          <w:color w:val="0000FF"/>
          <w:sz w:val="24"/>
        </w:rPr>
        <w:t>www.xylem.com/investors</w:t>
      </w:r>
      <w:r>
        <w:rPr>
          <w:rFonts w:ascii="Aptos;sans-serif" w:hAnsi="Aptos;sans-serif"/>
          <w:b w:val="false"/>
          <w:color w:val="000000"/>
          <w:sz w:val="22"/>
        </w:rPr>
        <w:t>.</w:t>
      </w:r>
      <w:r>
        <w:rPr>
          <w:color w:val="000000"/>
          <w:shd w:fill="FFFFFF" w:val="clear"/>
        </w:rPr>
        <w:t xml:space="preserve"> </w:t>
      </w:r>
      <w:r>
        <w:rPr>
          <w:rFonts w:ascii="Arial;sans-serif" w:hAnsi="Arial;sans-serif"/>
          <w:b w:val="false"/>
          <w:color w:val="000000"/>
          <w:sz w:val="24"/>
          <w:shd w:fill="FFFFFF" w:val="clear"/>
        </w:rPr>
        <w:t>Excluding revenue, Xylem provides guidance only on a non-GAAP basis due to the inherent difficulty in forecasting certain amounts that would be included in GAAP earnings, such as discrete tax items, without unreasonable effort.</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4"/>
          <w:shd w:fill="FFFFFF" w:val="clear"/>
        </w:rPr>
        <w:t>Supplemental information on Xylem’s Second-quarter earnings, as well as definitions of and reconciliations for certain non-GAAP items is posted at</w:t>
      </w:r>
      <w:r>
        <w:rPr>
          <w:color w:val="000000"/>
        </w:rPr>
        <w:t xml:space="preserve"> </w:t>
      </w:r>
      <w:r>
        <w:rPr>
          <w:rFonts w:ascii="Arial;sans-serif" w:hAnsi="Arial;sans-serif"/>
          <w:b w:val="false"/>
          <w:color w:val="0000FF"/>
          <w:sz w:val="24"/>
        </w:rPr>
        <w:t>www.xylem.com/investors</w:t>
      </w:r>
      <w:r>
        <w:rPr>
          <w:rFonts w:ascii="Arial;sans-serif" w:hAnsi="Arial;sans-serif"/>
          <w:b w:val="false"/>
          <w:color w:val="000000"/>
          <w:sz w:val="24"/>
        </w:rPr>
        <w:t xml:space="preserve">. </w:t>
      </w:r>
    </w:p>
    <w:p>
      <w:pPr>
        <w:pStyle w:val="TextBody"/>
        <w:bidi w:val="0"/>
        <w:spacing w:before="0" w:after="0"/>
        <w:jc w:val="center"/>
        <w:rPr/>
      </w:pPr>
      <w:r>
        <w:rPr/>
      </w:r>
    </w:p>
    <w:p>
      <w:pPr>
        <w:pStyle w:val="TextBody"/>
        <w:bidi w:val="0"/>
        <w:spacing w:lineRule="auto" w:line="276" w:before="0" w:after="0"/>
        <w:jc w:val="center"/>
        <w:rPr>
          <w:rFonts w:ascii="Arial;sans-serif" w:hAnsi="Arial;sans-serif"/>
          <w:b w:val="false"/>
          <w:color w:val="000000"/>
          <w:sz w:val="24"/>
        </w:rPr>
      </w:pPr>
      <w:r>
        <w:rPr>
          <w:rFonts w:ascii="Arial;sans-serif" w:hAnsi="Arial;sans-serif"/>
          <w:b w:val="false"/>
          <w:color w:val="000000"/>
          <w:sz w:val="24"/>
        </w:rPr>
        <w:t xml:space="preserve">### </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shd w:fill="FFFFFF" w:val="clear"/>
        </w:rPr>
      </w:pPr>
      <w:r>
        <w:rPr>
          <w:rFonts w:ascii="Arial;sans-serif" w:hAnsi="Arial;sans-serif"/>
          <w:b/>
          <w:color w:val="000000"/>
          <w:sz w:val="24"/>
          <w:shd w:fill="FFFFFF" w:val="clear"/>
        </w:rPr>
        <w:t>About Xylem</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4"/>
        </w:rPr>
        <w:t xml:space="preserve">Xylem (XYL) is a Fortune 500 global water solutions company that empowers customers and communities to build a more water-secure world. Our 22,000 employees delivered revenue of $9 billion in 2025, optimizing water and resource management with innovation and expertise. Join us at </w:t>
      </w:r>
      <w:r>
        <w:rPr>
          <w:rFonts w:ascii="Arial;sans-serif" w:hAnsi="Arial;sans-serif"/>
          <w:b w:val="false"/>
          <w:color w:val="467886"/>
          <w:sz w:val="24"/>
        </w:rPr>
        <w:t>www.xylem.com</w:t>
      </w:r>
      <w:r>
        <w:rPr>
          <w:color w:val="000000"/>
        </w:rPr>
        <w:t xml:space="preserve"> </w:t>
      </w:r>
      <w:r>
        <w:rPr>
          <w:rFonts w:ascii="Arial;sans-serif" w:hAnsi="Arial;sans-serif"/>
          <w:b w:val="false"/>
          <w:color w:val="000000"/>
          <w:sz w:val="24"/>
        </w:rPr>
        <w:t>and Let’s Solve Water.</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4"/>
        </w:rPr>
        <w:t xml:space="preserve">Xylem uses our Investor Relations website, </w:t>
      </w:r>
      <w:r>
        <w:rPr>
          <w:rFonts w:ascii="Arial;sans-serif" w:hAnsi="Arial;sans-serif"/>
          <w:b w:val="false"/>
          <w:color w:val="467886"/>
          <w:sz w:val="24"/>
        </w:rPr>
        <w:t>www.xylem.com/en-us/investors</w:t>
      </w:r>
      <w:r>
        <w:rPr>
          <w:rFonts w:ascii="Arial;sans-serif" w:hAnsi="Arial;sans-serif"/>
          <w:b w:val="false"/>
          <w:color w:val="000000"/>
          <w:sz w:val="24"/>
        </w:rPr>
        <w:t>,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before="0" w:after="0"/>
        <w:jc w:val="left"/>
        <w:rPr/>
      </w:pPr>
      <w:r>
        <w:rPr/>
      </w:r>
    </w:p>
    <w:p>
      <w:pPr>
        <w:pStyle w:val="TextBody"/>
        <w:bidi w:val="0"/>
        <w:spacing w:lineRule="auto" w:line="256"/>
        <w:jc w:val="left"/>
        <w:rPr>
          <w:rFonts w:ascii="Arial;sans-serif" w:hAnsi="Arial;sans-serif"/>
          <w:b w:val="false"/>
          <w:color w:val="000000"/>
          <w:sz w:val="24"/>
        </w:rPr>
      </w:pPr>
      <w:r>
        <w:rPr>
          <w:rFonts w:ascii="Arial;sans-serif" w:hAnsi="Arial;sans-serif"/>
          <w:b w:val="false"/>
          <w:color w:val="000000"/>
          <w:sz w:val="24"/>
        </w:rPr>
        <w:t xml:space="preserve">This press release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“goal,” “objective,”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56" w:before="0" w:after="0"/>
        <w:jc w:val="left"/>
        <w:rPr>
          <w:rFonts w:ascii="Arial;sans-serif" w:hAnsi="Arial;sans-serif"/>
          <w:b w:val="false"/>
          <w:color w:val="000000"/>
          <w:sz w:val="24"/>
        </w:rPr>
      </w:pPr>
      <w:r>
        <w:rPr>
          <w:rFonts w:ascii="Arial;sans-serif" w:hAnsi="Arial;sans-serif"/>
          <w:b w:val="false"/>
          <w:color w:val="000000"/>
          <w:sz w:val="24"/>
        </w:rPr>
        <w:t>possible or future results of operations or financial performance, including statements relating to orders, revenues, operating margins and earnings per share growth.</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4"/>
        </w:rPr>
      </w:pPr>
      <w:r>
        <w:rPr>
          <w:rFonts w:ascii="Arial;sans-serif" w:hAnsi="Arial;sans-serif"/>
          <w:b w:val="false"/>
          <w:color w:val="000000"/>
          <w:sz w:val="24"/>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availability of funding for our customers,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 factors set forth under “Item 1A. Risk Factors” in our Annual Report on Form 10-K for the year ended December 31, 2025 and in subsequent filings we make with the Securities and Exchange Commission (“SEC”).</w:t>
      </w:r>
    </w:p>
    <w:p>
      <w:pPr>
        <w:pStyle w:val="TextBody"/>
        <w:bidi w:val="0"/>
        <w:spacing w:before="0" w:after="0"/>
        <w:jc w:val="left"/>
        <w:rPr/>
      </w:pPr>
      <w:r>
        <w:rPr/>
      </w:r>
    </w:p>
    <w:p>
      <w:pPr>
        <w:pStyle w:val="TextBody"/>
        <w:bidi w:val="0"/>
        <w:spacing w:lineRule="auto" w:line="256"/>
        <w:jc w:val="left"/>
        <w:rPr>
          <w:rFonts w:ascii="Arial;sans-serif" w:hAnsi="Arial;sans-serif"/>
          <w:b w:val="false"/>
          <w:color w:val="000000"/>
          <w:sz w:val="24"/>
        </w:rPr>
      </w:pPr>
      <w:r>
        <w:rPr>
          <w:rFonts w:ascii="Arial;sans-serif" w:hAnsi="Arial;sans-serif"/>
          <w:b w:val="false"/>
          <w:color w:val="000000"/>
          <w:sz w:val="24"/>
        </w:rPr>
        <w:t xml:space="preserve">Forward-looking and other statements in this press release regarding our environmental and other sustainability plans and goals are not an indication that these statements are necessarily material to investors, to our business, operating results, financial condition, outlook, or strategy, to our impacts on sustainability matters or other parties, or are required to be disclosed in our filings with the SEC or other regulatory authorities, and are not intended to create legal rights or obligations.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56" w:before="0" w:after="0"/>
        <w:jc w:val="left"/>
        <w:rPr>
          <w:rFonts w:ascii="Arial;sans-serif" w:hAnsi="Arial;sans-serif"/>
          <w:b w:val="false"/>
          <w:color w:val="000000"/>
          <w:sz w:val="24"/>
        </w:rPr>
      </w:pPr>
      <w:r>
        <w:rPr>
          <w:rFonts w:ascii="Arial;sans-serif" w:hAnsi="Arial;sans-serif"/>
          <w:b w:val="false"/>
          <w:color w:val="000000"/>
          <w:sz w:val="24"/>
        </w:rPr>
        <w:t>All forward-looking statements made herein are based on information currently available to us as of the date of this press release. We undertake no obligation to publicly update or revise any forward-looking statements, whether as a result of new information, future events or otherwise, except as required by law.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XYLEM INC.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INCOME STATEMENTS (Unaudited) (in millions, except per share data)</w:t>
      </w:r>
    </w:p>
    <w:tbl>
      <w:tblPr>
        <w:tblW w:w="8819" w:type="dxa"/>
        <w:jc w:val="left"/>
        <w:tblInd w:w="0" w:type="dxa"/>
        <w:tblLayout w:type="fixed"/>
        <w:tblCellMar>
          <w:top w:w="28" w:type="dxa"/>
          <w:left w:w="28" w:type="dxa"/>
          <w:bottom w:w="28" w:type="dxa"/>
          <w:right w:w="28" w:type="dxa"/>
        </w:tblCellMar>
      </w:tblPr>
      <w:tblGrid>
        <w:gridCol w:w="1454"/>
        <w:gridCol w:w="1280"/>
        <w:gridCol w:w="1285"/>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periods ended June 30,</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from products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from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impairment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Xylem </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XYLEM INC.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822"/>
        <w:gridCol w:w="2392"/>
        <w:gridCol w:w="2386"/>
        <w:gridCol w:w="211"/>
        <w:gridCol w:w="736"/>
        <w:gridCol w:w="109"/>
        <w:gridCol w:w="109"/>
        <w:gridCol w:w="109"/>
        <w:gridCol w:w="109"/>
        <w:gridCol w:w="237"/>
        <w:gridCol w:w="810"/>
        <w:gridCol w:w="175"/>
      </w:tblGrid>
      <w:tr>
        <w:trPr/>
        <w:tc>
          <w:tcPr>
            <w:tcW w:w="2822"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7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less allowances for discounts, returns and credit losses of $54 and $68 in 2026 and 2025,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17,342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17,634 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NON-CONTROLLING INTEREST AND STOCKHOLDERS’ EQUITY</w:t>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and current maturities of 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post-retirement benefit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accrued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Redeemable non-controlling interest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par value $0.01 per share: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750.0 shares, issued 260.3 shares and 259.9 shares in 2026 and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 at cost 26.8 shares and 16.3 shares in 2026 and 2025,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11,480 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non-controlling interest,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17,342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17,634 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XYLEM INC.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979" w:type="dxa"/>
        <w:jc w:val="left"/>
        <w:tblInd w:w="0" w:type="dxa"/>
        <w:tblLayout w:type="fixed"/>
        <w:tblCellMar>
          <w:top w:w="28" w:type="dxa"/>
          <w:left w:w="28" w:type="dxa"/>
          <w:bottom w:w="28" w:type="dxa"/>
          <w:right w:w="28" w:type="dxa"/>
        </w:tblCellMar>
      </w:tblPr>
      <w:tblGrid>
        <w:gridCol w:w="2434"/>
        <w:gridCol w:w="2138"/>
        <w:gridCol w:w="2148"/>
        <w:gridCol w:w="211"/>
        <w:gridCol w:w="631"/>
        <w:gridCol w:w="109"/>
        <w:gridCol w:w="109"/>
        <w:gridCol w:w="109"/>
        <w:gridCol w:w="109"/>
        <w:gridCol w:w="211"/>
        <w:gridCol w:w="616"/>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periods ended June 30,</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7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impairment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sale of businesses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restructuring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receivables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and deferred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long term receivables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 Operating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 of businesses, net of cash acquired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 net of cash disposed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asset acquisition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cross-currency swaps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 Investing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issued,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issued,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Long-term debt repaid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employee stock options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 Financing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classified within assets held for sale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classified within assets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cash classified within assets held for sale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 received)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Xylem Inc. Non-GAAP Measures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items to represent non-GAAP measures that we consider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pStyle w:val="TextBody"/>
        <w:bidi w:val="0"/>
        <w:spacing w:lineRule="auto" w:line="288" w:before="120" w:after="120"/>
        <w:jc w:val="left"/>
        <w:rPr/>
      </w:pPr>
      <w:r>
        <w:rPr>
          <w:color w:val="000000"/>
        </w:rPr>
        <w:t>“</w:t>
      </w:r>
      <w:r>
        <w:rPr>
          <w:rFonts w:ascii="Times New Roman;serif" w:hAnsi="Times New Roman;serif"/>
          <w:b/>
          <w:color w:val="000000"/>
          <w:sz w:val="20"/>
        </w:rPr>
        <w:t>Organic revenue”</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color w:val="000000"/>
          <w:sz w:val="20"/>
        </w:rPr>
        <w:t>Organic orders”</w:t>
      </w:r>
      <w:r>
        <w:rPr>
          <w:color w:val="000000"/>
        </w:rPr>
        <w:t xml:space="preserve"> </w:t>
      </w:r>
      <w:r>
        <w:rPr>
          <w:rFonts w:ascii="Times New Roman;serif" w:hAnsi="Times New Roman;serif"/>
          <w:b w:val="false"/>
          <w:color w:val="000000"/>
          <w:sz w:val="20"/>
        </w:rPr>
        <w:t>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pStyle w:val="TextBody"/>
        <w:bidi w:val="0"/>
        <w:spacing w:lineRule="auto" w:line="288" w:before="120" w:after="120"/>
        <w:jc w:val="left"/>
        <w:rPr/>
      </w:pPr>
      <w:r>
        <w:rPr>
          <w:color w:val="000000"/>
        </w:rPr>
        <w:t>“</w:t>
      </w:r>
      <w:r>
        <w:rPr>
          <w:rFonts w:ascii="Times New Roman;serif" w:hAnsi="Times New Roman;serif"/>
          <w:b/>
          <w:color w:val="000000"/>
          <w:sz w:val="20"/>
        </w:rPr>
        <w:t>EBITDA”</w:t>
      </w:r>
      <w:r>
        <w:rPr>
          <w:color w:val="000000"/>
        </w:rPr>
        <w:t xml:space="preserve"> </w:t>
      </w:r>
      <w:r>
        <w:rPr>
          <w:rFonts w:ascii="Times New Roman;serif" w:hAnsi="Times New Roman;serif"/>
          <w:b w:val="false"/>
          <w:color w:val="000000"/>
          <w:sz w:val="20"/>
        </w:rPr>
        <w:t xml:space="preserve">defined as earnings before interest, taxes, depreciation and amortization expense. </w:t>
      </w:r>
      <w:r>
        <w:rPr>
          <w:color w:val="000000"/>
        </w:rPr>
        <w:t>“</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color w:val="000000"/>
          <w:sz w:val="20"/>
        </w:rPr>
        <w:t>"Adjusted Segment EBITDA"</w:t>
      </w:r>
      <w:r>
        <w:rPr>
          <w:color w:val="000000"/>
        </w:rPr>
        <w:t xml:space="preserve"> </w:t>
      </w:r>
      <w:r>
        <w:rPr>
          <w:rFonts w:ascii="Times New Roman;serif" w:hAnsi="Times New Roman;serif"/>
          <w:b w:val="false"/>
          <w:color w:val="000000"/>
          <w:sz w:val="20"/>
        </w:rPr>
        <w:t xml:space="preserve">reflect the adjustments to EBITDA and segment EBITDA, respectively, to exclude share-based compensation charges, restructuring and realignment costs, gain or loss from sale of businesses and special charges. </w:t>
      </w:r>
    </w:p>
    <w:p>
      <w:pPr>
        <w:pStyle w:val="TextBody"/>
        <w:bidi w:val="0"/>
        <w:spacing w:lineRule="auto" w:line="288" w:before="120" w:after="120"/>
        <w:jc w:val="left"/>
        <w:rPr/>
      </w:pPr>
      <w:r>
        <w:rPr>
          <w:color w:val="000000"/>
        </w:rPr>
        <w:t>“</w:t>
      </w:r>
      <w:r>
        <w:rPr>
          <w:rFonts w:ascii="Times New Roman;serif" w:hAnsi="Times New Roman;serif"/>
          <w:b/>
          <w:color w:val="000000"/>
          <w:sz w:val="20"/>
        </w:rPr>
        <w:t>Adjusted EBITDA Margin”</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color w:val="000000"/>
          <w:sz w:val="20"/>
        </w:rPr>
        <w:t>Adjusted Segment EBITDA Margin”</w:t>
      </w:r>
      <w:r>
        <w:rPr>
          <w:color w:val="000000"/>
        </w:rPr>
        <w:t xml:space="preserve"> </w:t>
      </w:r>
      <w:r>
        <w:rPr>
          <w:rFonts w:ascii="Times New Roman;serif" w:hAnsi="Times New Roman;serif"/>
          <w:b w:val="false"/>
          <w:color w:val="000000"/>
          <w:sz w:val="20"/>
        </w:rPr>
        <w:t>defined as adjusted EBITDA and adjusted segment EBITDA divided by total revenue and segment revenue, respectively.</w:t>
      </w:r>
    </w:p>
    <w:p>
      <w:pPr>
        <w:pStyle w:val="TextBody"/>
        <w:bidi w:val="0"/>
        <w:spacing w:lineRule="auto" w:line="288" w:before="120" w:after="120"/>
        <w:jc w:val="left"/>
        <w:rPr/>
      </w:pPr>
      <w:r>
        <w:rPr>
          <w:color w:val="000000"/>
        </w:rPr>
        <w:t>“</w:t>
      </w:r>
      <w:r>
        <w:rPr>
          <w:rFonts w:ascii="Times New Roman;serif" w:hAnsi="Times New Roman;serif"/>
          <w:b/>
          <w:color w:val="000000"/>
          <w:sz w:val="20"/>
        </w:rPr>
        <w:t>Adjusted Operating Income”</w:t>
      </w:r>
      <w:r>
        <w:rPr>
          <w:rFonts w:ascii="Times New Roman;serif" w:hAnsi="Times New Roman;serif"/>
          <w:b w:val="false"/>
          <w:color w:val="000000"/>
          <w:sz w:val="20"/>
        </w:rPr>
        <w:t xml:space="preserve">, </w:t>
      </w:r>
      <w:r>
        <w:rPr>
          <w:color w:val="000000"/>
        </w:rPr>
        <w:t>“</w:t>
      </w:r>
      <w:r>
        <w:rPr>
          <w:rFonts w:ascii="Times New Roman;serif" w:hAnsi="Times New Roman;serif"/>
          <w:b/>
          <w:color w:val="000000"/>
          <w:sz w:val="20"/>
        </w:rPr>
        <w:t>Adjusted Segment Operating Income”</w:t>
      </w:r>
      <w:r>
        <w:rPr>
          <w:rFonts w:ascii="Times New Roman;serif" w:hAnsi="Times New Roman;serif"/>
          <w:b w:val="false"/>
          <w:color w:val="000000"/>
          <w:sz w:val="20"/>
        </w:rPr>
        <w:t xml:space="preserve">, </w:t>
      </w:r>
      <w:r>
        <w:rPr>
          <w:color w:val="000000"/>
        </w:rPr>
        <w:t>“</w:t>
      </w:r>
      <w:r>
        <w:rPr>
          <w:rFonts w:ascii="Times New Roman;serif" w:hAnsi="Times New Roman;serif"/>
          <w:b/>
          <w:color w:val="000000"/>
          <w:sz w:val="20"/>
        </w:rPr>
        <w:t>Adjusted Net Income”</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color w:val="000000"/>
          <w:sz w:val="20"/>
        </w:rPr>
        <w:t>Adjusted EPS”</w:t>
      </w:r>
      <w:r>
        <w:rPr>
          <w:color w:val="000000"/>
        </w:rPr>
        <w:t xml:space="preserve"> </w:t>
      </w:r>
      <w:r>
        <w:rPr>
          <w:rFonts w:ascii="Times New Roman;serif" w:hAnsi="Times New Roman;serif"/>
          <w:b w:val="false"/>
          <w:color w:val="000000"/>
          <w:sz w:val="20"/>
        </w:rPr>
        <w:t xml:space="preserve">defined as operating income, segment operating income, net income attributable to Xylem and earnings per share attributable to Xylem, adjusted to exclude restructuring and realignment costs, amortization of acquired intangible assets, gain or loss from sale of businesses, special charges and tax-related special items, as applicable. </w:t>
      </w:r>
    </w:p>
    <w:p>
      <w:pPr>
        <w:pStyle w:val="TextBody"/>
        <w:bidi w:val="0"/>
        <w:spacing w:lineRule="auto" w:line="288" w:before="120" w:after="120"/>
        <w:jc w:val="left"/>
        <w:rPr/>
      </w:pPr>
      <w:r>
        <w:rPr>
          <w:color w:val="000000"/>
        </w:rPr>
        <w:t>“</w:t>
      </w:r>
      <w:r>
        <w:rPr>
          <w:rFonts w:ascii="Times New Roman;serif" w:hAnsi="Times New Roman;serif"/>
          <w:b/>
          <w:color w:val="000000"/>
          <w:sz w:val="20"/>
        </w:rPr>
        <w:t>Adjusted Operating Margin”</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color w:val="000000"/>
          <w:sz w:val="20"/>
        </w:rPr>
        <w:t>Adjusted Segment Operating Margin”</w:t>
      </w:r>
      <w:r>
        <w:rPr>
          <w:color w:val="000000"/>
        </w:rPr>
        <w:t xml:space="preserve"> </w:t>
      </w:r>
      <w:r>
        <w:rPr>
          <w:rFonts w:ascii="Times New Roman;serif" w:hAnsi="Times New Roman;serif"/>
          <w:b w:val="false"/>
          <w:color w:val="000000"/>
          <w:sz w:val="20"/>
        </w:rPr>
        <w:t>defined as adjusted operating income and adjusted segment operating income divided by total revenue and segment revenue, respectively.</w:t>
      </w:r>
    </w:p>
    <w:p>
      <w:pPr>
        <w:pStyle w:val="TextBody"/>
        <w:bidi w:val="0"/>
        <w:spacing w:lineRule="auto" w:line="288" w:before="120" w:after="120"/>
        <w:jc w:val="left"/>
        <w:rPr/>
      </w:pPr>
      <w:r>
        <w:rPr>
          <w:color w:val="000000"/>
        </w:rPr>
        <w:t>“</w:t>
      </w:r>
      <w:r>
        <w:rPr>
          <w:rFonts w:ascii="Times New Roman;serif" w:hAnsi="Times New Roman;serif"/>
          <w:b/>
          <w:color w:val="000000"/>
          <w:sz w:val="20"/>
        </w:rPr>
        <w:t>Free Cash Flow”</w:t>
      </w:r>
      <w:r>
        <w:rPr>
          <w:color w:val="000000"/>
        </w:rPr>
        <w:t xml:space="preserve"> </w:t>
      </w:r>
      <w:r>
        <w:rPr>
          <w:rFonts w:ascii="Times New Roman;serif" w:hAnsi="Times New Roman;serif"/>
          <w:b w:val="false"/>
          <w:color w:val="000000"/>
          <w:sz w:val="20"/>
        </w:rPr>
        <w:t>defined as net cash from operating activities, less capital expenditures, as reported in the Statement of Cash Flows. Our definition of free cash flow does not consider certain non-discretionary cash payments, such as debt.</w:t>
      </w:r>
    </w:p>
    <w:p>
      <w:pPr>
        <w:pStyle w:val="TextBody"/>
        <w:bidi w:val="0"/>
        <w:spacing w:lineRule="auto" w:line="288" w:before="120" w:after="120"/>
        <w:jc w:val="left"/>
        <w:rPr/>
      </w:pPr>
      <w:r>
        <w:rPr>
          <w:rFonts w:ascii="Times New Roman;serif" w:hAnsi="Times New Roman;serif"/>
          <w:b/>
          <w:color w:val="000000"/>
          <w:sz w:val="20"/>
        </w:rPr>
        <w:t>"Free Cash Flow Margin"</w:t>
      </w:r>
      <w:r>
        <w:rPr>
          <w:color w:val="000000"/>
        </w:rPr>
        <w:t xml:space="preserve"> </w:t>
      </w:r>
      <w:r>
        <w:rPr>
          <w:rFonts w:ascii="Times New Roman;serif" w:hAnsi="Times New Roman;serif"/>
          <w:b w:val="false"/>
          <w:color w:val="000000"/>
          <w:sz w:val="20"/>
        </w:rPr>
        <w:t>defined as free cash flow, adjusted (as applicable) for significant cash paid or received for non-operational tax, acquisition or divestiture activities; divided by revenue.</w:t>
      </w:r>
    </w:p>
    <w:p>
      <w:pPr>
        <w:pStyle w:val="TextBody"/>
        <w:bidi w:val="0"/>
        <w:spacing w:lineRule="auto" w:line="288" w:before="120" w:after="120"/>
        <w:jc w:val="left"/>
        <w:rPr/>
      </w:pPr>
      <w:r>
        <w:rPr>
          <w:color w:val="000000"/>
        </w:rPr>
        <w:t>“</w:t>
      </w:r>
      <w:r>
        <w:rPr>
          <w:rFonts w:ascii="Times New Roman;serif" w:hAnsi="Times New Roman;serif"/>
          <w:b/>
          <w:color w:val="000000"/>
          <w:sz w:val="20"/>
        </w:rPr>
        <w:t>Realignment costs”</w:t>
      </w:r>
      <w:r>
        <w:rPr>
          <w:color w:val="000000"/>
        </w:rPr>
        <w:t xml:space="preserve"> </w:t>
      </w:r>
      <w:r>
        <w:rPr>
          <w:rFonts w:ascii="Times New Roman;serif" w:hAnsi="Times New Roman;serif"/>
          <w:b w:val="false"/>
          <w:color w:val="000000"/>
          <w:sz w:val="20"/>
        </w:rPr>
        <w:t xml:space="preserve">defined as costs not included in restructuring costs that are incurred as part of actions taken to reposition our business, including items such as professional fees, severance, relocation, travel, facility set-up and other costs. </w:t>
      </w:r>
    </w:p>
    <w:p>
      <w:pPr>
        <w:pStyle w:val="TextBody"/>
        <w:bidi w:val="0"/>
        <w:spacing w:lineRule="auto" w:line="288" w:before="120" w:after="120"/>
        <w:jc w:val="left"/>
        <w:rPr/>
      </w:pPr>
      <w:r>
        <w:rPr>
          <w:color w:val="000000"/>
        </w:rPr>
        <w:t>“</w:t>
      </w:r>
      <w:r>
        <w:rPr>
          <w:rFonts w:ascii="Times New Roman;serif" w:hAnsi="Times New Roman;serif"/>
          <w:b/>
          <w:color w:val="000000"/>
          <w:sz w:val="20"/>
        </w:rPr>
        <w:t>Special charges”</w:t>
      </w:r>
      <w:r>
        <w:rPr>
          <w:color w:val="000000"/>
        </w:rPr>
        <w:t xml:space="preserve"> </w:t>
      </w:r>
      <w:r>
        <w:rPr>
          <w:rFonts w:ascii="Times New Roman;serif" w:hAnsi="Times New Roman;serif"/>
          <w:b w:val="false"/>
          <w:color w:val="000000"/>
          <w:sz w:val="20"/>
        </w:rPr>
        <w:t>defined as non-recurring costs incurred by the Company, such as those related to acquisitions and integrations, divestitures, non-cash impairment charges and other special charges. In 2026, these charges include reductions of expense related to the refunds of certain tariffs previously imposed under the International Emergency Economic Powers Act ("IEEPA").</w:t>
      </w:r>
    </w:p>
    <w:p>
      <w:pPr>
        <w:pStyle w:val="TextBody"/>
        <w:bidi w:val="0"/>
        <w:spacing w:lineRule="auto" w:line="288" w:before="120" w:after="120"/>
        <w:jc w:val="left"/>
        <w:rPr/>
      </w:pPr>
      <w:r>
        <w:rPr>
          <w:color w:val="000000"/>
        </w:rPr>
        <w:t>“</w:t>
      </w:r>
      <w:r>
        <w:rPr>
          <w:rFonts w:ascii="Times New Roman;serif" w:hAnsi="Times New Roman;serif"/>
          <w:b/>
          <w:color w:val="000000"/>
          <w:sz w:val="20"/>
        </w:rPr>
        <w:t>Tax-related special items”</w:t>
      </w:r>
      <w:r>
        <w:rPr>
          <w:color w:val="000000"/>
        </w:rPr>
        <w:t xml:space="preserve"> </w:t>
      </w:r>
      <w:r>
        <w:rPr>
          <w:rFonts w:ascii="Times New Roman;serif" w:hAnsi="Times New Roman;serif"/>
          <w:b w:val="false"/>
          <w:color w:val="000000"/>
          <w:sz w:val="20"/>
        </w:rPr>
        <w:t>defined as tax items, such as tax return versus tax provision adjustments, tax exam impacts, tax law change impacts, excess tax benefits/losses and other discrete tax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Xylem Inc. Non-GAAP Reconciliation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Reported vs. Organic Orders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Millions)</w:t>
      </w:r>
    </w:p>
    <w:tbl>
      <w:tblPr>
        <w:tblW w:w="11609" w:type="dxa"/>
        <w:jc w:val="center"/>
        <w:tblInd w:w="0" w:type="dxa"/>
        <w:tblLayout w:type="fixed"/>
        <w:tblCellMar>
          <w:top w:w="28" w:type="dxa"/>
          <w:left w:w="28" w:type="dxa"/>
          <w:bottom w:w="28" w:type="dxa"/>
          <w:right w:w="28" w:type="dxa"/>
        </w:tblCellMar>
      </w:tblPr>
      <w:tblGrid>
        <w:gridCol w:w="644"/>
        <w:gridCol w:w="210"/>
        <w:gridCol w:w="212"/>
        <w:gridCol w:w="278"/>
        <w:gridCol w:w="278"/>
        <w:gridCol w:w="161"/>
        <w:gridCol w:w="109"/>
        <w:gridCol w:w="109"/>
        <w:gridCol w:w="109"/>
        <w:gridCol w:w="278"/>
        <w:gridCol w:w="278"/>
        <w:gridCol w:w="161"/>
        <w:gridCol w:w="109"/>
        <w:gridCol w:w="109"/>
        <w:gridCol w:w="109"/>
        <w:gridCol w:w="196"/>
        <w:gridCol w:w="421"/>
        <w:gridCol w:w="109"/>
        <w:gridCol w:w="109"/>
        <w:gridCol w:w="109"/>
        <w:gridCol w:w="109"/>
        <w:gridCol w:w="261"/>
        <w:gridCol w:w="160"/>
        <w:gridCol w:w="356"/>
        <w:gridCol w:w="109"/>
        <w:gridCol w:w="109"/>
        <w:gridCol w:w="109"/>
        <w:gridCol w:w="210"/>
        <w:gridCol w:w="211"/>
        <w:gridCol w:w="450"/>
        <w:gridCol w:w="109"/>
        <w:gridCol w:w="109"/>
        <w:gridCol w:w="109"/>
        <w:gridCol w:w="285"/>
        <w:gridCol w:w="285"/>
        <w:gridCol w:w="286"/>
        <w:gridCol w:w="109"/>
        <w:gridCol w:w="109"/>
        <w:gridCol w:w="109"/>
        <w:gridCol w:w="270"/>
        <w:gridCol w:w="270"/>
        <w:gridCol w:w="271"/>
        <w:gridCol w:w="109"/>
        <w:gridCol w:w="109"/>
        <w:gridCol w:w="109"/>
        <w:gridCol w:w="229"/>
        <w:gridCol w:w="207"/>
        <w:gridCol w:w="166"/>
        <w:gridCol w:w="109"/>
        <w:gridCol w:w="109"/>
        <w:gridCol w:w="109"/>
        <w:gridCol w:w="304"/>
        <w:gridCol w:w="121"/>
        <w:gridCol w:w="116"/>
        <w:gridCol w:w="109"/>
        <w:gridCol w:w="109"/>
        <w:gridCol w:w="109"/>
        <w:gridCol w:w="232"/>
        <w:gridCol w:w="189"/>
        <w:gridCol w:w="298"/>
        <w:gridCol w:w="109"/>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 Organic)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(F)=B+C+D+E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(G)=F/(A-D)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Orders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Orders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Change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Change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Book-to-Bill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FX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Change</w:t>
              <w:br/>
              <w:t>Adj.</w:t>
              <w:b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Change</w:t>
              <w:br/>
              <w:t>Adj. 2026 v.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Six Months Ended June 30</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Xylem Inc.</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Infrastructure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Applied Water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and Control Solutions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Solutions and Services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Quarter Ended June 30</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Xylem Inc.</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Infrastructure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Applied Water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and Control Solutions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Solutions and Services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Quarter Ended March 31</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Xylem Inc.</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Infrastructure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Applied Water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and Control Solutions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Solutions and Services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Xylem Inc. Non-GAAP Reconciliation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Reported vs. Organic Revenue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Millions)</w:t>
      </w:r>
    </w:p>
    <w:tbl>
      <w:tblPr>
        <w:tblW w:w="10876" w:type="dxa"/>
        <w:jc w:val="center"/>
        <w:tblInd w:w="0" w:type="dxa"/>
        <w:tblLayout w:type="fixed"/>
        <w:tblCellMar>
          <w:top w:w="28" w:type="dxa"/>
          <w:left w:w="28" w:type="dxa"/>
          <w:bottom w:w="28" w:type="dxa"/>
          <w:right w:w="28" w:type="dxa"/>
        </w:tblCellMar>
      </w:tblPr>
      <w:tblGrid>
        <w:gridCol w:w="644"/>
        <w:gridCol w:w="210"/>
        <w:gridCol w:w="212"/>
        <w:gridCol w:w="278"/>
        <w:gridCol w:w="278"/>
        <w:gridCol w:w="236"/>
        <w:gridCol w:w="109"/>
        <w:gridCol w:w="109"/>
        <w:gridCol w:w="109"/>
        <w:gridCol w:w="278"/>
        <w:gridCol w:w="278"/>
        <w:gridCol w:w="236"/>
        <w:gridCol w:w="109"/>
        <w:gridCol w:w="109"/>
        <w:gridCol w:w="109"/>
        <w:gridCol w:w="210"/>
        <w:gridCol w:w="210"/>
        <w:gridCol w:w="211"/>
        <w:gridCol w:w="109"/>
        <w:gridCol w:w="109"/>
        <w:gridCol w:w="109"/>
        <w:gridCol w:w="192"/>
        <w:gridCol w:w="192"/>
        <w:gridCol w:w="427"/>
        <w:gridCol w:w="109"/>
        <w:gridCol w:w="109"/>
        <w:gridCol w:w="109"/>
        <w:gridCol w:w="320"/>
        <w:gridCol w:w="320"/>
        <w:gridCol w:w="321"/>
        <w:gridCol w:w="109"/>
        <w:gridCol w:w="109"/>
        <w:gridCol w:w="109"/>
        <w:gridCol w:w="305"/>
        <w:gridCol w:w="305"/>
        <w:gridCol w:w="306"/>
        <w:gridCol w:w="109"/>
        <w:gridCol w:w="109"/>
        <w:gridCol w:w="109"/>
        <w:gridCol w:w="195"/>
        <w:gridCol w:w="195"/>
        <w:gridCol w:w="196"/>
        <w:gridCol w:w="109"/>
        <w:gridCol w:w="109"/>
        <w:gridCol w:w="109"/>
        <w:gridCol w:w="369"/>
        <w:gridCol w:w="131"/>
        <w:gridCol w:w="131"/>
        <w:gridCol w:w="109"/>
        <w:gridCol w:w="109"/>
        <w:gridCol w:w="109"/>
        <w:gridCol w:w="233"/>
        <w:gridCol w:w="233"/>
        <w:gridCol w:w="345"/>
        <w:gridCol w:w="109"/>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(As Reported -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 Organic)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(F)=B+C+D+E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(G)=F/(A-D)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FX</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 Adj.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 Adj. 2026 v.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Six Months Ended June 30</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Xylem Inc.</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Infrastructure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Applied Water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&amp; Control Solutions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Integrated Solutions &amp; Services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Quarter Ended June 30</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Xylem Inc.</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Infrastructure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Applied Water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and Control Solutions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Solutions and Services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Quarter Ended March 31</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Xylem Inc.</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Infrastructure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Applied Water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and Control Solutions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Solutions and Services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Xylem Inc. Non-GAAP Reconciliation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Adjusted Diluted EPS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Millions, except per share amounts)</w:t>
      </w:r>
    </w:p>
    <w:tbl>
      <w:tblPr>
        <w:tblW w:w="10205" w:type="dxa"/>
        <w:jc w:val="center"/>
        <w:tblInd w:w="0" w:type="dxa"/>
        <w:tblLayout w:type="fixed"/>
        <w:tblCellMar>
          <w:top w:w="28" w:type="dxa"/>
          <w:left w:w="28" w:type="dxa"/>
          <w:bottom w:w="28" w:type="dxa"/>
          <w:right w:w="28" w:type="dxa"/>
        </w:tblCellMar>
      </w:tblPr>
      <w:tblGrid>
        <w:gridCol w:w="929"/>
        <w:gridCol w:w="789"/>
        <w:gridCol w:w="696"/>
        <w:gridCol w:w="215"/>
        <w:gridCol w:w="513"/>
        <w:gridCol w:w="281"/>
        <w:gridCol w:w="109"/>
        <w:gridCol w:w="109"/>
        <w:gridCol w:w="109"/>
        <w:gridCol w:w="286"/>
        <w:gridCol w:w="680"/>
        <w:gridCol w:w="160"/>
        <w:gridCol w:w="109"/>
        <w:gridCol w:w="109"/>
        <w:gridCol w:w="109"/>
        <w:gridCol w:w="196"/>
        <w:gridCol w:w="466"/>
        <w:gridCol w:w="256"/>
        <w:gridCol w:w="109"/>
        <w:gridCol w:w="109"/>
        <w:gridCol w:w="109"/>
        <w:gridCol w:w="215"/>
        <w:gridCol w:w="513"/>
        <w:gridCol w:w="281"/>
        <w:gridCol w:w="109"/>
        <w:gridCol w:w="109"/>
        <w:gridCol w:w="109"/>
        <w:gridCol w:w="286"/>
        <w:gridCol w:w="680"/>
        <w:gridCol w:w="160"/>
        <w:gridCol w:w="109"/>
        <w:gridCol w:w="109"/>
        <w:gridCol w:w="109"/>
        <w:gridCol w:w="196"/>
        <w:gridCol w:w="466"/>
        <w:gridCol w:w="306"/>
      </w:tblGrid>
      <w:tr>
        <w:trPr/>
        <w:tc>
          <w:tcPr>
            <w:tcW w:w="92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2025</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Adjusted</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 xml:space="preserve">a </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 xml:space="preserve">a </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16.7 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13.3 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17.5 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(Expense)</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from Sale of Business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7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Xylem</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Shares</w:t>
            </w:r>
          </w:p>
        </w:tc>
        <w:tc>
          <w:tcPr>
            <w:tcW w:w="7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30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EPS</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YTD 2025</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Adjusted</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 </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 </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14.2 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12.3 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16.6 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(Expense)</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From Sale of Business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7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Xylem</w:t>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Shares</w:t>
            </w:r>
          </w:p>
        </w:tc>
        <w:tc>
          <w:tcPr>
            <w:tcW w:w="7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243.8 </w:t>
            </w:r>
          </w:p>
        </w:tc>
        <w:tc>
          <w:tcPr>
            <w:tcW w:w="30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EPS</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5329" w:type="dxa"/>
            <w:gridSpan w:val="24"/>
            <w:tcBorders/>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5329" w:type="dxa"/>
            <w:gridSpan w:val="24"/>
            <w:tcBorders/>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963"/>
        <w:gridCol w:w="1963"/>
        <w:gridCol w:w="196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Quarter-to-date:</w:t>
              <w:br/>
              <w:t xml:space="preserve">Restructuring &amp; realignment costs: 2026 - $15 million and 2025 - $29 million Special Charges: 2026 - $6 million of acquisition, divestiture &amp; integration costs; offset by $16 million of IEEPA tariff refunds; 2025 - $9 million of acquisition, divestiture &amp; integration costs and $4 million of intangible asset impairment charges Purchases accounting intangible amortization: 2026 - $52 million and 2025 - $55 million </w:t>
              <w:br/>
              <w:t xml:space="preserve">Year-to-date: </w:t>
              <w:br/>
              <w:t xml:space="preserve">Restructuring &amp; realignment costs: 2026 - $53 million and 2025 - $56 million </w:t>
              <w:br/>
              <w:t>Special charges: 2026 - $11 million of acquisition, divestiture &amp; integration costs, offset by $16 million of IEEPA tariff refunds; 2025 - $17 million of acquisition &amp; integration related costs and $8 million of intangible asset impairment charges</w:t>
              <w:br/>
              <w:t xml:space="preserve">Purchase accounting intangible amortization: 2026 - $107 million and 2025 - $110 million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special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from sale of businesses as per income statement for all periods presented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5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Quarter-to-date: </w:t>
              <w:br/>
              <w:t>2026 - Net tax impact on pre-tax adjustments (notes a, b and c) of $13million, offset by $15 million of other tax special expense items; 2025 - Net tax impact on pre-tax adjustments (notes a,b and c) of $20 million, offset by $5 million of other tax special expense items; Year-to-date:</w:t>
              <w:br/>
              <w:t>2026 - Net tax impact on pre-tax adjustments (notes a, b and c) of $34 million, offset by $16 million of other tax special expense items; 2025 - Net tax impact on pre-tax adjustments (notes a, b and c) of $42 million, offset by other tax special expense items of $5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Xylem Inc. Non-GAAP Reconciliation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EBITDA and Adjusted EBITDA by Quarter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Millions)</w:t>
      </w:r>
    </w:p>
    <w:tbl>
      <w:tblPr>
        <w:tblW w:w="9495" w:type="dxa"/>
        <w:jc w:val="center"/>
        <w:tblInd w:w="0" w:type="dxa"/>
        <w:tblLayout w:type="fixed"/>
        <w:tblCellMar>
          <w:top w:w="28" w:type="dxa"/>
          <w:left w:w="28" w:type="dxa"/>
          <w:bottom w:w="28" w:type="dxa"/>
          <w:right w:w="28" w:type="dxa"/>
        </w:tblCellMar>
      </w:tblPr>
      <w:tblGrid>
        <w:gridCol w:w="1331"/>
        <w:gridCol w:w="1168"/>
        <w:gridCol w:w="1176"/>
        <w:gridCol w:w="308"/>
        <w:gridCol w:w="308"/>
        <w:gridCol w:w="271"/>
        <w:gridCol w:w="109"/>
        <w:gridCol w:w="109"/>
        <w:gridCol w:w="109"/>
        <w:gridCol w:w="307"/>
        <w:gridCol w:w="309"/>
        <w:gridCol w:w="271"/>
        <w:gridCol w:w="109"/>
        <w:gridCol w:w="109"/>
        <w:gridCol w:w="109"/>
        <w:gridCol w:w="307"/>
        <w:gridCol w:w="309"/>
        <w:gridCol w:w="271"/>
        <w:gridCol w:w="109"/>
        <w:gridCol w:w="109"/>
        <w:gridCol w:w="109"/>
        <w:gridCol w:w="307"/>
        <w:gridCol w:w="309"/>
        <w:gridCol w:w="271"/>
        <w:gridCol w:w="109"/>
        <w:gridCol w:w="109"/>
        <w:gridCol w:w="109"/>
        <w:gridCol w:w="307"/>
        <w:gridCol w:w="309"/>
        <w:gridCol w:w="348"/>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949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Xylem</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&amp; Realignment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Loss/(Gain) from sale of businesses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attributable to non-controlling interest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34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Xylem</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&amp; Realignment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Loss/(Gain) from sale of businesses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attributable to non-controlling interest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9,035 </w:t>
            </w:r>
          </w:p>
        </w:tc>
        <w:tc>
          <w:tcPr>
            <w:tcW w:w="34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4805</Words>
  <Characters>25872</Characters>
  <CharactersWithSpaces>30014</CharactersWithSpaces>
  <Paragraphs>1405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