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KOCH D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XYLEM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WATER STREET SE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Xylem Inc.</w:t>
              </w:r>
            </w:hyperlink>
            <w:r>
              <w:rPr/>
              <w:t xml:space="preserve"> [ </w:t>
            </w:r>
            <w:r>
              <w:rPr>
                <w:rFonts w:ascii="Times;serif" w:hAnsi="Times;serif"/>
                <w:color w:val="0000FF"/>
                <w:sz w:val="24"/>
                <w:shd w:fill="FFFFFF" w:val="clear"/>
              </w:rPr>
              <w:t>XYL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1,247</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120.27</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award of restricted stock units pursuant to the Xylem 2011 Omnibus Incentive Plan (Amended and Restated February 24, 2016) that are scheduled to vest in full on the trading day prior to the 2027 Annual Meeting of Shareholders, unless the Reporting Person timely elects deferral in the Company's Deferred Compensation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Mike Nazario, by power of attorney for D. Christian Koch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0801" TargetMode="External"/><Relationship Id="rId5" Type="http://schemas.openxmlformats.org/officeDocument/2006/relationships/hyperlink" Target="http://www.sec.gov/cgi-bin/browse-edgar?action=getcompany&amp;CIK=00015244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3356</Characters>
  <CharactersWithSpaces>3912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