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Arial;sans-serif" w:hAnsi="Arial;sans-serif"/>
          <w:b/>
          <w:color w:val="000000"/>
          <w:sz w:val="24"/>
        </w:rPr>
      </w:pPr>
      <w:r>
        <w:rPr>
          <w:rFonts w:ascii="Arial;sans-serif" w:hAnsi="Arial;sans-serif"/>
          <w:b/>
          <w:color w:val="000000"/>
          <w:sz w:val="24"/>
        </w:rPr>
        <w:t xml:space="preserve">UNITED STATES </w:t>
      </w:r>
    </w:p>
    <w:p>
      <w:pPr>
        <w:pStyle w:val="TextBody"/>
        <w:bidi w:val="0"/>
        <w:spacing w:lineRule="auto" w:line="288" w:before="40" w:after="283"/>
        <w:jc w:val="center"/>
        <w:rPr>
          <w:rFonts w:ascii="Arial;sans-serif" w:hAnsi="Arial;sans-serif"/>
          <w:b/>
          <w:color w:val="000000"/>
          <w:sz w:val="24"/>
        </w:rPr>
      </w:pPr>
      <w:r>
        <w:rPr>
          <w:rFonts w:ascii="Arial;sans-serif" w:hAnsi="Arial;sans-serif"/>
          <w:b/>
          <w:color w:val="000000"/>
          <w:sz w:val="24"/>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FORM 10-Q</w:t>
      </w:r>
    </w:p>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41"/>
        <w:gridCol w:w="1508"/>
        <w:gridCol w:w="1508"/>
        <w:gridCol w:w="1562"/>
        <w:gridCol w:w="1508"/>
        <w:gridCol w:w="1535"/>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QUARTERLY REPORT PURSUANT TO SECTION 13 OR 15(d) OF THE SECURITIES EXCHANGE ACT OF 1934</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For the quarterly period ended</w:t>
            </w:r>
          </w:p>
        </w:tc>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September 30, 2026</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or</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TRANSITION REPORT PURSUANT TO SECTION 13 OR 15(d) OF THE SECURITIES EXCHANGE ACT OF 1934</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For the transition period from          to         </w:t>
      </w:r>
    </w:p>
    <w:p>
      <w:pPr>
        <w:pStyle w:val="TextBody"/>
        <w:bidi w:val="0"/>
        <w:spacing w:lineRule="auto" w:line="288" w:before="60" w:after="283"/>
        <w:jc w:val="center"/>
        <w:rPr>
          <w:rFonts w:ascii="Arial;sans-serif" w:hAnsi="Arial;sans-serif"/>
          <w:b/>
          <w:color w:val="000000"/>
          <w:sz w:val="19"/>
        </w:rPr>
      </w:pPr>
      <w:r>
        <w:rPr>
          <w:rFonts w:ascii="Arial;sans-serif" w:hAnsi="Arial;sans-serif"/>
          <w:b/>
          <w:color w:val="000000"/>
          <w:sz w:val="19"/>
        </w:rPr>
        <w:t xml:space="preserve">Commission file number: 1-35229 </w:t>
      </w:r>
    </w:p>
    <w:p>
      <w:pPr>
        <w:pStyle w:val="TextBody"/>
        <w:bidi w:val="0"/>
        <w:spacing w:lineRule="auto" w:line="288" w:before="60" w:after="283"/>
        <w:jc w:val="center"/>
        <w:rPr>
          <w:rFonts w:ascii="Arial;sans-serif" w:hAnsi="Arial;sans-serif"/>
          <w:b/>
          <w:color w:val="000000"/>
          <w:sz w:val="48"/>
        </w:rPr>
      </w:pPr>
      <w:r>
        <w:rPr>
          <w:rFonts w:ascii="Arial;sans-serif" w:hAnsi="Arial;sans-serif"/>
          <w:b/>
          <w:color w:val="000000"/>
          <w:sz w:val="48"/>
        </w:rPr>
        <w:t xml:space="preserve">Xylem Inc. </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(Exact name of registrant as specified in its charter)</w:t>
      </w:r>
    </w:p>
    <w:tbl>
      <w:tblPr>
        <w:tblW w:w="7495" w:type="dxa"/>
        <w:jc w:val="center"/>
        <w:tblInd w:w="0" w:type="dxa"/>
        <w:tblLayout w:type="fixed"/>
        <w:tblCellMar>
          <w:top w:w="28" w:type="dxa"/>
          <w:left w:w="28" w:type="dxa"/>
          <w:bottom w:w="28" w:type="dxa"/>
          <w:right w:w="28" w:type="dxa"/>
        </w:tblCellMar>
      </w:tblPr>
      <w:tblGrid>
        <w:gridCol w:w="1440"/>
        <w:gridCol w:w="1262"/>
        <w:gridCol w:w="1272"/>
        <w:gridCol w:w="109"/>
        <w:gridCol w:w="109"/>
        <w:gridCol w:w="109"/>
        <w:gridCol w:w="932"/>
        <w:gridCol w:w="932"/>
        <w:gridCol w:w="1330"/>
      </w:tblGrid>
      <w:tr>
        <w:trPr/>
        <w:tc>
          <w:tcPr>
            <w:tcW w:w="1440"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Indiana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45-2080495</w:t>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9"/>
              </w:rPr>
            </w:pPr>
            <w:r>
              <w:rPr>
                <w:rFonts w:ascii="Arial;sans-serif" w:hAnsi="Arial;sans-serif"/>
                <w:b w:val="false"/>
                <w:i/>
                <w:color w:val="000000"/>
                <w:sz w:val="19"/>
              </w:rPr>
              <w:t>(State or other jurisdiction of incorporation or</w:t>
              <w:br/>
              <w:t>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9"/>
              </w:rPr>
            </w:pPr>
            <w:r>
              <w:rPr>
                <w:rFonts w:ascii="Arial;sans-serif" w:hAnsi="Arial;sans-serif"/>
                <w:b w:val="false"/>
                <w:i/>
                <w:color w:val="000000"/>
                <w:sz w:val="19"/>
              </w:rPr>
              <w:t>(I.R.S. Employer Identification No.)</w:t>
            </w:r>
          </w:p>
        </w:tc>
      </w:tr>
    </w:tbl>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 xml:space="preserve">301 Water Street SE, Washington, DC 20003 </w:t>
      </w:r>
    </w:p>
    <w:p>
      <w:pPr>
        <w:pStyle w:val="TextBody"/>
        <w:bidi w:val="0"/>
        <w:spacing w:lineRule="auto" w:line="288" w:before="0" w:after="0"/>
        <w:jc w:val="center"/>
        <w:rPr>
          <w:rFonts w:ascii="Arial;sans-serif" w:hAnsi="Arial;sans-serif"/>
          <w:b w:val="false"/>
          <w:i/>
          <w:color w:val="000000"/>
          <w:sz w:val="19"/>
        </w:rPr>
      </w:pPr>
      <w:r>
        <w:rPr>
          <w:rFonts w:ascii="Arial;sans-serif" w:hAnsi="Arial;sans-serif"/>
          <w:b w:val="false"/>
          <w:i/>
          <w:color w:val="000000"/>
          <w:sz w:val="19"/>
        </w:rPr>
        <w:t>(Address of principal executive offices and zip code)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 xml:space="preserve">(202) 869-9150 </w:t>
      </w:r>
    </w:p>
    <w:p>
      <w:pPr>
        <w:pStyle w:val="TextBody"/>
        <w:bidi w:val="0"/>
        <w:spacing w:lineRule="auto" w:line="288" w:before="0" w:after="0"/>
        <w:jc w:val="center"/>
        <w:rPr>
          <w:rFonts w:ascii="Arial;sans-serif" w:hAnsi="Arial;sans-serif"/>
          <w:b w:val="false"/>
          <w:i/>
          <w:color w:val="000000"/>
          <w:sz w:val="19"/>
        </w:rPr>
      </w:pPr>
      <w:r>
        <w:rPr>
          <w:rFonts w:ascii="Arial;sans-serif" w:hAnsi="Arial;sans-serif"/>
          <w:b w:val="false"/>
          <w:i/>
          <w:color w:val="000000"/>
          <w:sz w:val="19"/>
        </w:rPr>
        <w:t>(Registrant's telephone number, including area code)</w:t>
      </w:r>
    </w:p>
    <w:tbl>
      <w:tblPr>
        <w:tblW w:w="10205" w:type="dxa"/>
        <w:jc w:val="left"/>
        <w:tblInd w:w="0" w:type="dxa"/>
        <w:tblLayout w:type="fixed"/>
        <w:tblCellMar>
          <w:top w:w="28" w:type="dxa"/>
          <w:left w:w="28" w:type="dxa"/>
          <w:bottom w:w="28" w:type="dxa"/>
          <w:right w:w="28" w:type="dxa"/>
        </w:tblCellMar>
      </w:tblPr>
      <w:tblGrid>
        <w:gridCol w:w="1232"/>
        <w:gridCol w:w="994"/>
        <w:gridCol w:w="988"/>
        <w:gridCol w:w="287"/>
        <w:gridCol w:w="287"/>
        <w:gridCol w:w="287"/>
        <w:gridCol w:w="554"/>
        <w:gridCol w:w="554"/>
        <w:gridCol w:w="532"/>
        <w:gridCol w:w="287"/>
        <w:gridCol w:w="287"/>
        <w:gridCol w:w="287"/>
        <w:gridCol w:w="1063"/>
        <w:gridCol w:w="1063"/>
        <w:gridCol w:w="1503"/>
      </w:tblGrid>
      <w:tr>
        <w:trPr/>
        <w:tc>
          <w:tcPr>
            <w:tcW w:w="1232"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Securities registered pursuant to Section 12(b) of the Act:</w:t>
            </w:r>
          </w:p>
        </w:tc>
      </w:tr>
      <w:tr>
        <w:trPr/>
        <w:tc>
          <w:tcPr>
            <w:tcW w:w="3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u w:val="single"/>
              </w:rPr>
            </w:pPr>
            <w:r>
              <w:rPr>
                <w:rFonts w:ascii="Arial;sans-serif" w:hAnsi="Arial;sans-serif"/>
                <w:b/>
                <w:color w:val="000000"/>
                <w:sz w:val="19"/>
                <w:u w:val="single"/>
              </w:rPr>
              <w:t>Title of each class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u w:val="single"/>
              </w:rPr>
            </w:pPr>
            <w:r>
              <w:rPr>
                <w:rFonts w:ascii="Arial;sans-serif" w:hAnsi="Arial;sans-serif"/>
                <w:b/>
                <w:color w:val="000000"/>
                <w:sz w:val="19"/>
                <w:u w:val="single"/>
              </w:rPr>
              <w:t>Trading Symbol(s)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u w:val="single"/>
              </w:rPr>
            </w:pPr>
            <w:r>
              <w:rPr>
                <w:rFonts w:ascii="Arial;sans-serif" w:hAnsi="Arial;sans-serif"/>
                <w:b/>
                <w:color w:val="000000"/>
                <w:sz w:val="19"/>
                <w:u w:val="single"/>
              </w:rPr>
              <w:t>Name of each exchange on which registered</w:t>
            </w:r>
          </w:p>
        </w:tc>
      </w:tr>
      <w:tr>
        <w:trPr/>
        <w:tc>
          <w:tcPr>
            <w:tcW w:w="3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629" w:type="dxa"/>
            <w:gridSpan w:val="3"/>
            <w:tcBorders/>
            <w:vAlign w:val="center"/>
          </w:tcPr>
          <w:p>
            <w:pPr>
              <w:pStyle w:val="TableContents"/>
              <w:bidi w:val="0"/>
              <w:spacing w:before="0" w:after="283"/>
              <w:jc w:val="left"/>
              <w:rPr>
                <w:sz w:val="4"/>
                <w:szCs w:val="4"/>
              </w:rPr>
            </w:pPr>
            <w:r>
              <w:rPr>
                <w:sz w:val="4"/>
                <w:szCs w:val="4"/>
              </w:rPr>
            </w:r>
          </w:p>
        </w:tc>
      </w:tr>
      <w:tr>
        <w:trPr/>
        <w:tc>
          <w:tcPr>
            <w:tcW w:w="3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629" w:type="dxa"/>
            <w:gridSpan w:val="3"/>
            <w:tcBorders/>
            <w:vAlign w:val="center"/>
          </w:tcPr>
          <w:p>
            <w:pPr>
              <w:pStyle w:val="TableContents"/>
              <w:bidi w:val="0"/>
              <w:spacing w:before="0" w:after="283"/>
              <w:jc w:val="left"/>
              <w:rPr>
                <w:sz w:val="4"/>
                <w:szCs w:val="4"/>
              </w:rPr>
            </w:pPr>
            <w:r>
              <w:rPr>
                <w:sz w:val="4"/>
                <w:szCs w:val="4"/>
              </w:rPr>
            </w:r>
          </w:p>
        </w:tc>
      </w:tr>
      <w:tr>
        <w:trPr/>
        <w:tc>
          <w:tcPr>
            <w:tcW w:w="3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Common Stock, par value $0.01 per share</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XYL</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New York Stock Exchange</w:t>
            </w:r>
          </w:p>
        </w:tc>
      </w:tr>
    </w:tbl>
    <w:p>
      <w:pPr>
        <w:pStyle w:val="TextBody"/>
        <w:bidi w:val="0"/>
        <w:spacing w:lineRule="auto" w:line="288" w:before="120" w:after="283"/>
        <w:jc w:val="left"/>
        <w:rPr/>
      </w:pPr>
      <w:r>
        <w:rPr>
          <w:rFonts w:ascii="Arial;sans-serif" w:hAnsi="Arial;sans-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sans-serif" w:hAnsi="Arial;sans-serif"/>
          <w:b w:val="false"/>
          <w:color w:val="000000"/>
          <w:sz w:val="19"/>
        </w:rPr>
        <w:t>No  </w:t>
      </w:r>
      <w:r>
        <w:rPr>
          <w:color w:val="000000"/>
        </w:rPr>
        <w:t>☐</w:t>
      </w:r>
    </w:p>
    <w:p>
      <w:pPr>
        <w:pStyle w:val="TextBody"/>
        <w:bidi w:val="0"/>
        <w:spacing w:lineRule="auto" w:line="288" w:before="120" w:after="283"/>
        <w:jc w:val="left"/>
        <w:rPr/>
      </w:pPr>
      <w:r>
        <w:rPr>
          <w:rFonts w:ascii="Arial;sans-serif" w:hAnsi="Arial;sans-serif"/>
          <w:b w:val="false"/>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Arial;sans-serif" w:hAnsi="Arial;sans-serif"/>
          <w:b w:val="false"/>
          <w:color w:val="000000"/>
          <w:sz w:val="19"/>
        </w:rPr>
        <w:t>No  </w:t>
      </w:r>
      <w:r>
        <w:rPr>
          <w:color w:val="000000"/>
        </w:rPr>
        <w:t>☐</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tbl>
      <w:tblPr>
        <w:tblW w:w="6150" w:type="dxa"/>
        <w:jc w:val="left"/>
        <w:tblInd w:w="0" w:type="dxa"/>
        <w:tblLayout w:type="fixed"/>
        <w:tblCellMar>
          <w:top w:w="28" w:type="dxa"/>
          <w:left w:w="28" w:type="dxa"/>
          <w:bottom w:w="28" w:type="dxa"/>
          <w:right w:w="28" w:type="dxa"/>
        </w:tblCellMar>
      </w:tblPr>
      <w:tblGrid>
        <w:gridCol w:w="739"/>
        <w:gridCol w:w="648"/>
        <w:gridCol w:w="652"/>
        <w:gridCol w:w="109"/>
        <w:gridCol w:w="109"/>
        <w:gridCol w:w="109"/>
        <w:gridCol w:w="109"/>
        <w:gridCol w:w="109"/>
        <w:gridCol w:w="109"/>
        <w:gridCol w:w="109"/>
        <w:gridCol w:w="109"/>
        <w:gridCol w:w="109"/>
        <w:gridCol w:w="809"/>
        <w:gridCol w:w="809"/>
        <w:gridCol w:w="813"/>
        <w:gridCol w:w="109"/>
        <w:gridCol w:w="109"/>
        <w:gridCol w:w="109"/>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120"/>
        <w:jc w:val="left"/>
        <w:rPr>
          <w:rFonts w:ascii="Arial;sans-serif" w:hAnsi="Arial;sans-serif"/>
          <w:b w:val="false"/>
          <w:color w:val="000000"/>
          <w:sz w:val="19"/>
        </w:rPr>
      </w:pPr>
      <w:r>
        <w:rPr>
          <w:rFonts w:ascii="Arial;sans-serif" w:hAnsi="Arial;sans-serif"/>
          <w:b w:val="false"/>
          <w:color w:val="000000"/>
          <w:sz w:val="19"/>
        </w:rPr>
        <w:t>Indicate by check mark whether the registrant is a shell company (as defined in Rule 12b-2 of the Exchange Act).  Yes  ☐  No  ☑</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As of October 23, 2026, there were 229,334,592 outstanding shares of the registrant's common stock, par value $0.01 per share.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Xylem Inc.</w:t>
      </w:r>
    </w:p>
    <w:p>
      <w:pPr>
        <w:pStyle w:val="TextBody"/>
        <w:bidi w:val="0"/>
        <w:spacing w:before="0" w:after="0"/>
        <w:jc w:val="center"/>
        <w:rPr/>
      </w:pPr>
      <w:r>
        <w:rPr/>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Table of Contents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76"/>
        <w:gridCol w:w="338"/>
        <w:gridCol w:w="342"/>
        <w:gridCol w:w="193"/>
        <w:gridCol w:w="193"/>
        <w:gridCol w:w="193"/>
        <w:gridCol w:w="2686"/>
        <w:gridCol w:w="2534"/>
        <w:gridCol w:w="2541"/>
        <w:gridCol w:w="206"/>
        <w:gridCol w:w="206"/>
        <w:gridCol w:w="297"/>
      </w:tblGrid>
      <w:tr>
        <w:trPr/>
        <w:tc>
          <w:tcPr>
            <w:tcW w:w="47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77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color w:val="000000"/>
              </w:rPr>
            </w:pPr>
            <w:r>
              <w:rPr>
                <w:color w:val="000000"/>
              </w:rPr>
              <w:t>  </w:t>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PAGE</w:t>
            </w:r>
          </w:p>
        </w:tc>
      </w:tr>
      <w:tr>
        <w:trPr/>
        <w:tc>
          <w:tcPr>
            <w:tcW w:w="94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PART I – Financial Information</w:t>
            </w:r>
          </w:p>
        </w:tc>
        <w:tc>
          <w:tcPr>
            <w:tcW w:w="7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dd282256f440f98383948c1492a2a9_40">
              <w:r>
                <w:rPr>
                  <w:rStyle w:val="InternetLink"/>
                  <w:rFonts w:ascii="Arial;sans-serif" w:hAnsi="Arial;sans-serif"/>
                  <w:b w:val="false"/>
                  <w:color w:val="0000FF"/>
                  <w:sz w:val="20"/>
                  <w:u w:val="single"/>
                </w:rPr>
                <w:t>Financial Statements</w:t>
              </w:r>
            </w:hyperlink>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dd282256f440f98383948c1492a2a9_70">
              <w:r>
                <w:rPr>
                  <w:rStyle w:val="InternetLink"/>
                  <w:rFonts w:ascii="Arial;sans-serif" w:hAnsi="Arial;sans-serif"/>
                  <w:b w:val="false"/>
                  <w:color w:val="000080"/>
                  <w:sz w:val="20"/>
                  <w:u w:val="single"/>
                </w:rPr>
                <w:t xml:space="preserve">Condensed Consolidated Income Statements for the Three and </w:t>
              </w:r>
            </w:hyperlink>
            <w:hyperlink w:anchor="i3cdd282256f440f98383948c1492a2a9_70">
              <w:r>
                <w:rPr>
                  <w:rStyle w:val="InternetLink"/>
                  <w:rFonts w:ascii="Arial;sans-serif" w:hAnsi="Arial;sans-serif"/>
                  <w:b w:val="false"/>
                  <w:color w:val="000080"/>
                  <w:sz w:val="20"/>
                  <w:u w:val="single"/>
                </w:rPr>
                <w:t xml:space="preserve">Nine </w:t>
              </w:r>
            </w:hyperlink>
            <w:hyperlink w:anchor="i3cdd282256f440f98383948c1492a2a9_70">
              <w:r>
                <w:rPr>
                  <w:rStyle w:val="InternetLink"/>
                  <w:rFonts w:ascii="Arial;sans-serif" w:hAnsi="Arial;sans-serif"/>
                  <w:b w:val="false"/>
                  <w:color w:val="000080"/>
                  <w:sz w:val="20"/>
                  <w:u w:val="single"/>
                </w:rPr>
                <w:t xml:space="preserve">Months Ended </w:t>
              </w:r>
            </w:hyperlink>
            <w:hyperlink w:anchor="i3cdd282256f440f98383948c1492a2a9_70">
              <w:r>
                <w:rPr>
                  <w:rStyle w:val="InternetLink"/>
                  <w:rFonts w:ascii="Arial;sans-serif" w:hAnsi="Arial;sans-serif"/>
                  <w:b w:val="false"/>
                  <w:color w:val="000080"/>
                  <w:sz w:val="20"/>
                  <w:u w:val="single"/>
                </w:rPr>
                <w:t>September</w:t>
              </w:r>
            </w:hyperlink>
            <w:hyperlink w:anchor="i3cdd282256f440f98383948c1492a2a9_70">
              <w:r>
                <w:rPr>
                  <w:rStyle w:val="InternetLink"/>
                  <w:rFonts w:ascii="Arial;sans-serif" w:hAnsi="Arial;sans-serif"/>
                  <w:b w:val="false"/>
                  <w:color w:val="000080"/>
                  <w:sz w:val="20"/>
                  <w:u w:val="single"/>
                </w:rPr>
                <w:t xml:space="preserve"> 30, 2026 and 2025 (Unaudited)</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cdd282256f440f98383948c1492a2a9_70">
              <w:r>
                <w:rPr>
                  <w:rStyle w:val="InternetLink"/>
                  <w:rFonts w:ascii="Arial;sans-serif" w:hAnsi="Arial;sans-serif"/>
                  <w:b w:val="false"/>
                  <w:strike w:val="false"/>
                  <w:dstrike w:val="false"/>
                  <w:color w:val="0000FF"/>
                  <w:sz w:val="20"/>
                  <w:u w:val="none"/>
                  <w:effect w:val="none"/>
                </w:rPr>
                <w:t>3</w:t>
              </w:r>
            </w:hyperlink>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dd282256f440f98383948c1492a2a9_73">
              <w:r>
                <w:rPr>
                  <w:rStyle w:val="InternetLink"/>
                  <w:rFonts w:ascii="Arial;sans-serif" w:hAnsi="Arial;sans-serif"/>
                  <w:b w:val="false"/>
                  <w:color w:val="000080"/>
                  <w:sz w:val="20"/>
                  <w:u w:val="single"/>
                </w:rPr>
                <w:t xml:space="preserve">Condensed Consolidated Statements of Comprehensive Income for the Three and </w:t>
              </w:r>
            </w:hyperlink>
            <w:hyperlink w:anchor="i3cdd282256f440f98383948c1492a2a9_73">
              <w:r>
                <w:rPr>
                  <w:rStyle w:val="InternetLink"/>
                  <w:rFonts w:ascii="Arial;sans-serif" w:hAnsi="Arial;sans-serif"/>
                  <w:b w:val="false"/>
                  <w:color w:val="000080"/>
                  <w:sz w:val="20"/>
                  <w:u w:val="single"/>
                </w:rPr>
                <w:t>Nine</w:t>
              </w:r>
            </w:hyperlink>
            <w:hyperlink w:anchor="i3cdd282256f440f98383948c1492a2a9_73">
              <w:r>
                <w:rPr>
                  <w:rStyle w:val="InternetLink"/>
                  <w:rFonts w:ascii="Arial;sans-serif" w:hAnsi="Arial;sans-serif"/>
                  <w:b w:val="false"/>
                  <w:color w:val="000080"/>
                  <w:sz w:val="20"/>
                  <w:u w:val="single"/>
                </w:rPr>
                <w:t xml:space="preserve"> Months Ended September 30, 2026 and 2025 (Unaudited)</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cdd282256f440f98383948c1492a2a9_73">
              <w:r>
                <w:rPr>
                  <w:rStyle w:val="InternetLink"/>
                  <w:rFonts w:ascii="Arial;sans-serif" w:hAnsi="Arial;sans-serif"/>
                  <w:b w:val="false"/>
                  <w:strike w:val="false"/>
                  <w:dstrike w:val="false"/>
                  <w:color w:val="0000FF"/>
                  <w:sz w:val="20"/>
                  <w:u w:val="none"/>
                  <w:effect w:val="none"/>
                </w:rPr>
                <w:t>4</w:t>
              </w:r>
            </w:hyperlink>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dd282256f440f98383948c1492a2a9_76">
              <w:r>
                <w:rPr>
                  <w:rStyle w:val="InternetLink"/>
                  <w:rFonts w:ascii="Arial;sans-serif" w:hAnsi="Arial;sans-serif"/>
                  <w:b w:val="false"/>
                  <w:color w:val="000080"/>
                  <w:sz w:val="20"/>
                  <w:u w:val="single"/>
                </w:rPr>
                <w:t xml:space="preserve">Condensed Consolidated Balance Sheets as of </w:t>
              </w:r>
            </w:hyperlink>
            <w:hyperlink w:anchor="i3cdd282256f440f98383948c1492a2a9_76">
              <w:r>
                <w:rPr>
                  <w:rStyle w:val="InternetLink"/>
                  <w:rFonts w:ascii="Arial;sans-serif" w:hAnsi="Arial;sans-serif"/>
                  <w:b w:val="false"/>
                  <w:color w:val="000080"/>
                  <w:sz w:val="20"/>
                  <w:u w:val="single"/>
                </w:rPr>
                <w:t>September</w:t>
              </w:r>
            </w:hyperlink>
            <w:hyperlink w:anchor="i3cdd282256f440f98383948c1492a2a9_76">
              <w:r>
                <w:rPr>
                  <w:rStyle w:val="InternetLink"/>
                  <w:rFonts w:ascii="Arial;sans-serif" w:hAnsi="Arial;sans-serif"/>
                  <w:b w:val="false"/>
                  <w:color w:val="000080"/>
                  <w:sz w:val="20"/>
                  <w:u w:val="single"/>
                </w:rPr>
                <w:t xml:space="preserve"> 30, 2026 and December 31, 2025 (Unaudited)</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cdd282256f440f98383948c1492a2a9_76">
              <w:r>
                <w:rPr>
                  <w:rStyle w:val="InternetLink"/>
                  <w:rFonts w:ascii="Arial;sans-serif" w:hAnsi="Arial;sans-serif"/>
                  <w:b w:val="false"/>
                  <w:strike w:val="false"/>
                  <w:dstrike w:val="false"/>
                  <w:color w:val="0000FF"/>
                  <w:sz w:val="20"/>
                  <w:u w:val="none"/>
                  <w:effect w:val="none"/>
                </w:rPr>
                <w:t>5</w:t>
              </w:r>
            </w:hyperlink>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dd282256f440f98383948c1492a2a9_79">
              <w:r>
                <w:rPr>
                  <w:rStyle w:val="InternetLink"/>
                  <w:rFonts w:ascii="Arial;sans-serif" w:hAnsi="Arial;sans-serif"/>
                  <w:b w:val="false"/>
                  <w:color w:val="000080"/>
                  <w:sz w:val="20"/>
                  <w:u w:val="single"/>
                </w:rPr>
                <w:t xml:space="preserve">Condensed Consolidated Statements of Cash Flows for the </w:t>
              </w:r>
            </w:hyperlink>
            <w:hyperlink w:anchor="i3cdd282256f440f98383948c1492a2a9_79">
              <w:r>
                <w:rPr>
                  <w:rStyle w:val="InternetLink"/>
                  <w:rFonts w:ascii="Arial;sans-serif" w:hAnsi="Arial;sans-serif"/>
                  <w:b w:val="false"/>
                  <w:color w:val="000080"/>
                  <w:sz w:val="20"/>
                  <w:u w:val="single"/>
                </w:rPr>
                <w:t xml:space="preserve">Nine </w:t>
              </w:r>
            </w:hyperlink>
            <w:hyperlink w:anchor="i3cdd282256f440f98383948c1492a2a9_79">
              <w:r>
                <w:rPr>
                  <w:rStyle w:val="InternetLink"/>
                  <w:rFonts w:ascii="Arial;sans-serif" w:hAnsi="Arial;sans-serif"/>
                  <w:b w:val="false"/>
                  <w:color w:val="000080"/>
                  <w:sz w:val="20"/>
                  <w:u w:val="single"/>
                </w:rPr>
                <w:t xml:space="preserve">Months Ended </w:t>
              </w:r>
            </w:hyperlink>
            <w:hyperlink w:anchor="i3cdd282256f440f98383948c1492a2a9_79">
              <w:r>
                <w:rPr>
                  <w:rStyle w:val="InternetLink"/>
                  <w:rFonts w:ascii="Arial;sans-serif" w:hAnsi="Arial;sans-serif"/>
                  <w:b w:val="false"/>
                  <w:color w:val="000080"/>
                  <w:sz w:val="20"/>
                  <w:u w:val="single"/>
                </w:rPr>
                <w:t>September</w:t>
              </w:r>
            </w:hyperlink>
            <w:hyperlink w:anchor="i3cdd282256f440f98383948c1492a2a9_79">
              <w:r>
                <w:rPr>
                  <w:rStyle w:val="InternetLink"/>
                  <w:rFonts w:ascii="Arial;sans-serif" w:hAnsi="Arial;sans-serif"/>
                  <w:b w:val="false"/>
                  <w:color w:val="000080"/>
                  <w:sz w:val="20"/>
                  <w:u w:val="single"/>
                </w:rPr>
                <w:t xml:space="preserve"> 30, 2026 and 2025 (Unaudited)</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cdd282256f440f98383948c1492a2a9_79">
              <w:r>
                <w:rPr>
                  <w:rStyle w:val="InternetLink"/>
                  <w:rFonts w:ascii="Arial;sans-serif" w:hAnsi="Arial;sans-serif"/>
                  <w:b w:val="false"/>
                  <w:strike w:val="false"/>
                  <w:dstrike w:val="false"/>
                  <w:color w:val="0000FF"/>
                  <w:sz w:val="20"/>
                  <w:u w:val="none"/>
                  <w:effect w:val="none"/>
                </w:rPr>
                <w:t>6</w:t>
              </w:r>
            </w:hyperlink>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dd282256f440f98383948c1492a2a9_85">
              <w:r>
                <w:rPr>
                  <w:rStyle w:val="InternetLink"/>
                  <w:rFonts w:ascii="Arial;sans-serif" w:hAnsi="Arial;sans-serif"/>
                  <w:b w:val="false"/>
                  <w:color w:val="0000FF"/>
                  <w:sz w:val="20"/>
                  <w:u w:val="single"/>
                </w:rPr>
                <w:t>Notes to the Condensed Consolidated Financial Statements (Unaudited)</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cdd282256f440f98383948c1492a2a9_85">
              <w:r>
                <w:rPr>
                  <w:rStyle w:val="InternetLink"/>
                  <w:rFonts w:ascii="Arial;sans-serif" w:hAnsi="Arial;sans-serif"/>
                  <w:b w:val="false"/>
                  <w:strike w:val="false"/>
                  <w:dstrike w:val="false"/>
                  <w:color w:val="0000FF"/>
                  <w:sz w:val="20"/>
                  <w:u w:val="none"/>
                  <w:effect w:val="none"/>
                </w:rPr>
                <w:t>7</w:t>
              </w:r>
            </w:hyperlink>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dd282256f440f98383948c1492a2a9_49">
              <w:r>
                <w:rPr>
                  <w:rStyle w:val="InternetLink"/>
                  <w:rFonts w:ascii="Arial;sans-serif" w:hAnsi="Arial;sans-serif"/>
                  <w:b w:val="false"/>
                  <w:color w:val="0000FF"/>
                  <w:sz w:val="20"/>
                  <w:u w:val="single"/>
                </w:rPr>
                <w:t>Management’s Discussion and Analysis of Financial Condition and Results of Operations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cdd282256f440f98383948c1492a2a9_49">
              <w:r>
                <w:rPr>
                  <w:rStyle w:val="InternetLink"/>
                  <w:rFonts w:ascii="Arial;sans-serif" w:hAnsi="Arial;sans-serif"/>
                  <w:b w:val="false"/>
                  <w:strike w:val="false"/>
                  <w:dstrike w:val="false"/>
                  <w:color w:val="0000FF"/>
                  <w:sz w:val="20"/>
                  <w:u w:val="none"/>
                  <w:effect w:val="none"/>
                </w:rPr>
                <w:t>42</w:t>
              </w:r>
            </w:hyperlink>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dd282256f440f98383948c1492a2a9_61">
              <w:r>
                <w:rPr>
                  <w:rStyle w:val="InternetLink"/>
                  <w:rFonts w:ascii="Arial;sans-serif" w:hAnsi="Arial;sans-serif"/>
                  <w:b w:val="false"/>
                  <w:color w:val="0000FF"/>
                  <w:sz w:val="20"/>
                  <w:u w:val="single"/>
                </w:rPr>
                <w:t>Quantitative and Qualitative Disclosures About Market Risk</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cdd282256f440f98383948c1492a2a9_61">
              <w:r>
                <w:rPr>
                  <w:rStyle w:val="InternetLink"/>
                  <w:rFonts w:ascii="Arial;sans-serif" w:hAnsi="Arial;sans-serif"/>
                  <w:b w:val="false"/>
                  <w:strike w:val="false"/>
                  <w:dstrike w:val="false"/>
                  <w:color w:val="0000FF"/>
                  <w:sz w:val="20"/>
                  <w:u w:val="none"/>
                  <w:effect w:val="none"/>
                </w:rPr>
                <w:t>62</w:t>
              </w:r>
            </w:hyperlink>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dd282256f440f98383948c1492a2a9_166">
              <w:r>
                <w:rPr>
                  <w:rStyle w:val="InternetLink"/>
                  <w:rFonts w:ascii="Arial;sans-serif" w:hAnsi="Arial;sans-serif"/>
                  <w:b w:val="false"/>
                  <w:color w:val="0000FF"/>
                  <w:sz w:val="20"/>
                  <w:u w:val="single"/>
                </w:rPr>
                <w:t>Controls and Procedures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cdd282256f440f98383948c1492a2a9_166">
              <w:r>
                <w:rPr>
                  <w:rStyle w:val="InternetLink"/>
                  <w:rFonts w:ascii="Arial;sans-serif" w:hAnsi="Arial;sans-serif"/>
                  <w:b w:val="false"/>
                  <w:strike w:val="false"/>
                  <w:dstrike w:val="false"/>
                  <w:color w:val="0000FF"/>
                  <w:sz w:val="20"/>
                  <w:u w:val="none"/>
                  <w:effect w:val="none"/>
                </w:rPr>
                <w:t>63</w:t>
              </w:r>
            </w:hyperlink>
          </w:p>
        </w:tc>
      </w:tr>
      <w:tr>
        <w:trPr/>
        <w:tc>
          <w:tcPr>
            <w:tcW w:w="94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PART II – Other Information</w:t>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dd282256f440f98383948c1492a2a9_28">
              <w:r>
                <w:rPr>
                  <w:rStyle w:val="InternetLink"/>
                  <w:rFonts w:ascii="Arial;sans-serif" w:hAnsi="Arial;sans-serif"/>
                  <w:b w:val="false"/>
                  <w:color w:val="0000FF"/>
                  <w:sz w:val="20"/>
                  <w:u w:val="single"/>
                </w:rPr>
                <w:t>Legal Proceedings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cdd282256f440f98383948c1492a2a9_28">
              <w:r>
                <w:rPr>
                  <w:rStyle w:val="InternetLink"/>
                  <w:rFonts w:ascii="Arial;sans-serif" w:hAnsi="Arial;sans-serif"/>
                  <w:b w:val="false"/>
                  <w:strike w:val="false"/>
                  <w:dstrike w:val="false"/>
                  <w:color w:val="0000FF"/>
                  <w:sz w:val="20"/>
                  <w:u w:val="none"/>
                  <w:effect w:val="none"/>
                </w:rPr>
                <w:t>64</w:t>
              </w:r>
            </w:hyperlink>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dd282256f440f98383948c1492a2a9_16">
              <w:r>
                <w:rPr>
                  <w:rStyle w:val="InternetLink"/>
                  <w:rFonts w:ascii="Arial;sans-serif" w:hAnsi="Arial;sans-serif"/>
                  <w:b w:val="false"/>
                  <w:color w:val="0000FF"/>
                  <w:sz w:val="20"/>
                  <w:u w:val="single"/>
                </w:rPr>
                <w:t>Risk Factors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cdd282256f440f98383948c1492a2a9_16">
              <w:r>
                <w:rPr>
                  <w:rStyle w:val="InternetLink"/>
                  <w:rFonts w:ascii="Arial;sans-serif" w:hAnsi="Arial;sans-serif"/>
                  <w:b w:val="false"/>
                  <w:strike w:val="false"/>
                  <w:dstrike w:val="false"/>
                  <w:color w:val="0000FF"/>
                  <w:sz w:val="20"/>
                  <w:u w:val="none"/>
                  <w:effect w:val="none"/>
                </w:rPr>
                <w:t>65</w:t>
              </w:r>
            </w:hyperlink>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dd282256f440f98383948c1492a2a9_43">
              <w:r>
                <w:rPr>
                  <w:rStyle w:val="InternetLink"/>
                  <w:rFonts w:ascii="Arial;sans-serif" w:hAnsi="Arial;sans-serif"/>
                  <w:b w:val="false"/>
                  <w:color w:val="0000FF"/>
                  <w:sz w:val="20"/>
                  <w:u w:val="single"/>
                </w:rPr>
                <w:t>Unregistered Sales of Equity Securities and Use of Proceeds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cdd282256f440f98383948c1492a2a9_43">
              <w:r>
                <w:rPr>
                  <w:rStyle w:val="InternetLink"/>
                  <w:rFonts w:ascii="Arial;sans-serif" w:hAnsi="Arial;sans-serif"/>
                  <w:b w:val="false"/>
                  <w:strike w:val="false"/>
                  <w:dstrike w:val="false"/>
                  <w:color w:val="0000FF"/>
                  <w:sz w:val="20"/>
                  <w:u w:val="none"/>
                  <w:effect w:val="none"/>
                </w:rPr>
                <w:t>65</w:t>
              </w:r>
            </w:hyperlink>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dd282256f440f98383948c1492a2a9_172">
              <w:r>
                <w:rPr>
                  <w:rStyle w:val="InternetLink"/>
                  <w:rFonts w:ascii="Arial;sans-serif" w:hAnsi="Arial;sans-serif"/>
                  <w:b w:val="false"/>
                  <w:color w:val="0000FF"/>
                  <w:sz w:val="20"/>
                  <w:u w:val="single"/>
                </w:rPr>
                <w:t>Defaults Upon Senior Securities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cdd282256f440f98383948c1492a2a9_43">
              <w:r>
                <w:rPr>
                  <w:rStyle w:val="InternetLink"/>
                  <w:rFonts w:ascii="Arial;sans-serif" w:hAnsi="Arial;sans-serif"/>
                  <w:b w:val="false"/>
                  <w:strike w:val="false"/>
                  <w:dstrike w:val="false"/>
                  <w:color w:val="0000FF"/>
                  <w:sz w:val="20"/>
                  <w:u w:val="none"/>
                  <w:effect w:val="none"/>
                </w:rPr>
                <w:t>65</w:t>
              </w:r>
            </w:hyperlink>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dd282256f440f98383948c1492a2a9_31">
              <w:r>
                <w:rPr>
                  <w:rStyle w:val="InternetLink"/>
                  <w:rFonts w:ascii="Arial;sans-serif" w:hAnsi="Arial;sans-serif"/>
                  <w:b w:val="false"/>
                  <w:color w:val="0000FF"/>
                  <w:sz w:val="20"/>
                  <w:u w:val="single"/>
                </w:rPr>
                <w:t>Mine Safety Disclosures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cdd282256f440f98383948c1492a2a9_31">
              <w:r>
                <w:rPr>
                  <w:rStyle w:val="InternetLink"/>
                  <w:rFonts w:ascii="Arial;sans-serif" w:hAnsi="Arial;sans-serif"/>
                  <w:b w:val="false"/>
                  <w:strike w:val="false"/>
                  <w:dstrike w:val="false"/>
                  <w:color w:val="0000FF"/>
                  <w:sz w:val="20"/>
                  <w:u w:val="none"/>
                  <w:effect w:val="none"/>
                </w:rPr>
                <w:t>67</w:t>
              </w:r>
            </w:hyperlink>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5</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dd282256f440f98383948c1492a2a9_169">
              <w:r>
                <w:rPr>
                  <w:rStyle w:val="InternetLink"/>
                  <w:rFonts w:ascii="Arial;sans-serif" w:hAnsi="Arial;sans-serif"/>
                  <w:b w:val="false"/>
                  <w:color w:val="0000FF"/>
                  <w:sz w:val="20"/>
                  <w:u w:val="single"/>
                </w:rPr>
                <w:t>Other Information</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cdd282256f440f98383948c1492a2a9_46">
              <w:r>
                <w:rPr>
                  <w:rStyle w:val="InternetLink"/>
                  <w:rFonts w:ascii="Arial;sans-serif" w:hAnsi="Arial;sans-serif"/>
                  <w:b w:val="false"/>
                  <w:strike w:val="false"/>
                  <w:dstrike w:val="false"/>
                  <w:color w:val="0000FF"/>
                  <w:sz w:val="20"/>
                  <w:u w:val="none"/>
                  <w:effect w:val="none"/>
                </w:rPr>
                <w:t>69</w:t>
              </w:r>
            </w:hyperlink>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dd282256f440f98383948c1492a2a9_46">
              <w:r>
                <w:rPr>
                  <w:rStyle w:val="InternetLink"/>
                  <w:rFonts w:ascii="Arial;sans-serif" w:hAnsi="Arial;sans-serif"/>
                  <w:b w:val="false"/>
                  <w:color w:val="0000FF"/>
                  <w:sz w:val="20"/>
                  <w:u w:val="single"/>
                </w:rPr>
                <w:t>Exhibits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cdd282256f440f98383948c1492a2a9_46">
              <w:r>
                <w:rPr>
                  <w:rStyle w:val="InternetLink"/>
                  <w:rFonts w:ascii="Arial;sans-serif" w:hAnsi="Arial;sans-serif"/>
                  <w:b w:val="false"/>
                  <w:strike w:val="false"/>
                  <w:dstrike w:val="false"/>
                  <w:color w:val="0000FF"/>
                  <w:sz w:val="20"/>
                  <w:u w:val="none"/>
                  <w:effect w:val="none"/>
                </w:rPr>
                <w:t>69</w:t>
              </w:r>
            </w:hyperlink>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dd282256f440f98383948c1492a2a9_205">
              <w:r>
                <w:rPr>
                  <w:rStyle w:val="InternetLink"/>
                  <w:rFonts w:ascii="Arial;sans-serif" w:hAnsi="Arial;sans-serif"/>
                  <w:b w:val="false"/>
                  <w:color w:val="0000FF"/>
                  <w:sz w:val="20"/>
                  <w:u w:val="single"/>
                </w:rPr>
                <w:t>Signatures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cdd282256f440f98383948c1492a2a9_205">
              <w:r>
                <w:rPr>
                  <w:rStyle w:val="InternetLink"/>
                  <w:rFonts w:ascii="Arial;sans-serif" w:hAnsi="Arial;sans-serif"/>
                  <w:b w:val="false"/>
                  <w:strike w:val="false"/>
                  <w:dstrike w:val="false"/>
                  <w:color w:val="0000FF"/>
                  <w:sz w:val="20"/>
                  <w:u w:val="none"/>
                  <w:effect w:val="none"/>
                </w:rPr>
                <w:t>71</w:t>
              </w:r>
            </w:hyperlink>
          </w:p>
        </w:tc>
      </w:tr>
    </w:tbl>
    <w:p>
      <w:pPr>
        <w:pStyle w:val="TextBody"/>
        <w:bidi w:val="0"/>
        <w:spacing w:lineRule="auto" w:line="288" w:before="0" w:after="40"/>
        <w:jc w:val="left"/>
        <w:rPr>
          <w:color w:val="000000"/>
        </w:rPr>
      </w:pPr>
      <w:r>
        <w:rPr>
          <w:color w:val="000000"/>
        </w:rPr>
        <w:t> </w:t>
      </w:r>
    </w:p>
    <w:p>
      <w:pPr>
        <w:pStyle w:val="TextBody"/>
        <w:bidi w:val="0"/>
        <w:spacing w:before="100" w:after="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2"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jc w:val="center"/>
        <w:rPr>
          <w:rFonts w:ascii="Arial;sans-serif" w:hAnsi="Arial;sans-serif"/>
          <w:b/>
          <w:color w:val="000000"/>
          <w:sz w:val="20"/>
        </w:rPr>
      </w:pPr>
      <w:r>
        <w:rPr>
          <w:rFonts w:ascii="Arial;sans-serif" w:hAnsi="Arial;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XYLEM INC. AND SUBSIDIARIES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CONDENSED CONSOLIDATED INCOME STATEMENTS (Unaudited)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millions, except per share data)</w:t>
      </w:r>
    </w:p>
    <w:tbl>
      <w:tblPr>
        <w:tblW w:w="9322" w:type="dxa"/>
        <w:jc w:val="left"/>
        <w:tblInd w:w="0" w:type="dxa"/>
        <w:tblLayout w:type="fixed"/>
        <w:tblCellMar>
          <w:top w:w="28" w:type="dxa"/>
          <w:left w:w="28" w:type="dxa"/>
          <w:bottom w:w="28" w:type="dxa"/>
          <w:right w:w="28" w:type="dxa"/>
        </w:tblCellMar>
      </w:tblPr>
      <w:tblGrid>
        <w:gridCol w:w="1527"/>
        <w:gridCol w:w="1340"/>
        <w:gridCol w:w="1347"/>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54"/>
      </w:tblGrid>
      <w:tr>
        <w:trPr/>
        <w:tc>
          <w:tcPr>
            <w:tcW w:w="152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For the periods ended September 30,</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from products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1,807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5,517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from services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2,201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6,662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 from products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 from services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1,294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3,989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907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2,673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Research and development expenses </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and asset impairment charges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1,019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non-operating income,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sale of businesses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taxes</w:t>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973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738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attributable to non-controlling interests</w:t>
            </w:r>
          </w:p>
        </w:tc>
        <w:tc>
          <w:tcPr>
            <w:tcW w:w="85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w:t>
            </w: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income attributable to Xylem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per share:</w:t>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number of shares: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XYLEM INC. AND SUBSIDIARIES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CONDENSED CONSOLIDATED STATEMENTS OF COMPREHENSIVE INCOME (Unaudited)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millions) </w:t>
      </w:r>
    </w:p>
    <w:tbl>
      <w:tblPr>
        <w:tblW w:w="10205" w:type="dxa"/>
        <w:jc w:val="center"/>
        <w:tblInd w:w="0" w:type="dxa"/>
        <w:tblLayout w:type="fixed"/>
        <w:tblCellMar>
          <w:top w:w="28" w:type="dxa"/>
          <w:left w:w="28" w:type="dxa"/>
          <w:bottom w:w="28" w:type="dxa"/>
          <w:right w:w="28" w:type="dxa"/>
        </w:tblCellMar>
      </w:tblPr>
      <w:tblGrid>
        <w:gridCol w:w="2195"/>
        <w:gridCol w:w="1776"/>
        <w:gridCol w:w="1785"/>
        <w:gridCol w:w="211"/>
        <w:gridCol w:w="481"/>
        <w:gridCol w:w="109"/>
        <w:gridCol w:w="109"/>
        <w:gridCol w:w="109"/>
        <w:gridCol w:w="109"/>
        <w:gridCol w:w="211"/>
        <w:gridCol w:w="481"/>
        <w:gridCol w:w="109"/>
        <w:gridCol w:w="109"/>
        <w:gridCol w:w="109"/>
        <w:gridCol w:w="109"/>
        <w:gridCol w:w="211"/>
        <w:gridCol w:w="481"/>
        <w:gridCol w:w="109"/>
        <w:gridCol w:w="109"/>
        <w:gridCol w:w="109"/>
        <w:gridCol w:w="109"/>
        <w:gridCol w:w="211"/>
        <w:gridCol w:w="481"/>
        <w:gridCol w:w="109"/>
        <w:gridCol w:w="109"/>
        <w:gridCol w:w="155"/>
      </w:tblGrid>
      <w:tr>
        <w:trPr/>
        <w:tc>
          <w:tcPr>
            <w:tcW w:w="2195"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For the periods ended September 30,</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738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 before tax:</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5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 of currency translation adjustment relating to divestiture of foreign subsidiaries reclassified into net income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derivative hedge agreements: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(loss) gain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 of loss (gain) reclassified into net income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post-retirement benefit plans: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5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5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5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net actuarial gain into net income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5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5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 of gain recognized relating to divestiture of foreign subsidiaries reclassified into net income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 income, before tax</w:t>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 expense related to items of other comprehensive income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 income, net of tax</w:t>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loss attributable to non-controlling interest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 attributable to Xylem</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5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5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XYLEM INC. AND SUBSIDIARIES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CONDENSED CONSOLIDATED BALANCE SHEETS (Unaudited)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2605"/>
        <w:gridCol w:w="2056"/>
        <w:gridCol w:w="2069"/>
        <w:gridCol w:w="312"/>
        <w:gridCol w:w="1118"/>
        <w:gridCol w:w="163"/>
        <w:gridCol w:w="109"/>
        <w:gridCol w:w="109"/>
        <w:gridCol w:w="109"/>
        <w:gridCol w:w="293"/>
        <w:gridCol w:w="1044"/>
        <w:gridCol w:w="218"/>
      </w:tblGrid>
      <w:tr>
        <w:trPr/>
        <w:tc>
          <w:tcPr>
            <w:tcW w:w="2605"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6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31, 2025</w:t>
            </w:r>
          </w:p>
        </w:tc>
      </w:tr>
      <w:tr>
        <w:trPr/>
        <w:tc>
          <w:tcPr>
            <w:tcW w:w="67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5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708</w:t>
            </w: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Receivables, less allowances for discounts, returns and credit losses of $58 and $68 in 2026 and 2025, respectively</w:t>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1,965</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1,052</w:t>
            </w: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and other current assets</w:t>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227</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held for sale</w:t>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4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3,952</w:t>
            </w:r>
            <w:r>
              <w:rPr>
                <w:color w:val="000000"/>
              </w:rPr>
              <w:t>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4,641 </w:t>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1,203</w:t>
            </w: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8,524</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8,332 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intangible assets, net</w:t>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2,220</w:t>
            </w: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1,427</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3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17,326</w:t>
            </w:r>
            <w:r>
              <w:rPr>
                <w:color w:val="000000"/>
              </w:rPr>
              <w:t>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17,634 </w:t>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REDEEMABLE NON-CONTROLLING INTEREST, AND STOCKHOLDERS’ EQUITY</w:t>
            </w:r>
          </w:p>
        </w:tc>
      </w:tr>
      <w:tr>
        <w:trPr/>
        <w:tc>
          <w:tcPr>
            <w:tcW w:w="6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1,055</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and other current liabilities</w:t>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1,257</w:t>
            </w: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borrowings and current maturities of long-term debt</w:t>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530</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 held for sale</w:t>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4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2,842</w:t>
            </w:r>
            <w:r>
              <w:rPr>
                <w:color w:val="000000"/>
              </w:rPr>
              <w:t>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2,856 </w:t>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net</w:t>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2,365</w:t>
            </w: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post-retirement benefit obligations</w:t>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295</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 liabilities</w:t>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453</w:t>
            </w: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accrued liabilities</w:t>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860</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w:t>
            </w:r>
          </w:p>
        </w:tc>
        <w:tc>
          <w:tcPr>
            <w:tcW w:w="14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6,815</w:t>
            </w:r>
            <w:r>
              <w:rPr>
                <w:color w:val="000000"/>
              </w:rPr>
              <w:t>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5,885 </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Commitments and Contingencies (Note 18)</w:t>
            </w:r>
          </w:p>
        </w:tc>
        <w:tc>
          <w:tcPr>
            <w:tcW w:w="15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Redeemable non-controlling interest</w:t>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239</w:t>
            </w: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1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 par value $0.01 per share:</w:t>
            </w:r>
          </w:p>
        </w:tc>
        <w:tc>
          <w:tcPr>
            <w:tcW w:w="1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Authorized 750.0 shares, issued 260.3 and 259.9 shares in 2026 and 2025, respectively</w:t>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in excess of par value</w:t>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8,801</w:t>
            </w: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8,759 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4,147</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Treasury stock – at cost 30.0 shares and 16.3 shares in 2026 and 2025, respectively</w:t>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(2,375)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(768)</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stockholders’ equity</w:t>
            </w:r>
          </w:p>
        </w:tc>
        <w:tc>
          <w:tcPr>
            <w:tcW w:w="14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10,269</w:t>
            </w:r>
            <w:r>
              <w:rPr>
                <w:color w:val="000000"/>
              </w:rPr>
              <w:t>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11,480 </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Non-controlling interest</w:t>
            </w:r>
          </w:p>
        </w:tc>
        <w:tc>
          <w:tcPr>
            <w:tcW w:w="14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equity</w:t>
            </w:r>
          </w:p>
        </w:tc>
        <w:tc>
          <w:tcPr>
            <w:tcW w:w="14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10,272</w:t>
            </w:r>
            <w:r>
              <w:rPr>
                <w:color w:val="000000"/>
              </w:rPr>
              <w:t>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11,491 </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Total liabilities, redeemable non-controlling interest, and stockholders’ equity</w:t>
            </w:r>
          </w:p>
        </w:tc>
        <w:tc>
          <w:tcPr>
            <w:tcW w:w="3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17,326</w:t>
            </w:r>
            <w:r>
              <w:rPr>
                <w:color w:val="000000"/>
              </w:rPr>
              <w:t>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17,634 </w:t>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XYLEM INC. AND SUBSIDIARIES</w:t>
      </w:r>
    </w:p>
    <w:p>
      <w:pPr>
        <w:pStyle w:val="TextBody"/>
        <w:bidi w:val="0"/>
        <w:spacing w:lineRule="auto" w:line="288" w:before="40" w:after="283"/>
        <w:jc w:val="left"/>
        <w:rPr/>
      </w:pPr>
      <w:r>
        <w:rPr>
          <w:rFonts w:ascii="Arial;sans-serif" w:hAnsi="Arial;sans-serif"/>
          <w:b w:val="false"/>
          <w:color w:val="000000"/>
          <w:sz w:val="20"/>
        </w:rPr>
        <w:t>CONDENSED CONSOLIDATED STATEMENTS OF CASH FLOWS (Unaudited) (in millions)</w:t>
      </w:r>
      <w:r>
        <w:rPr>
          <w:color w:val="000000"/>
        </w:rPr>
        <w:t xml:space="preserve"> </w:t>
      </w:r>
    </w:p>
    <w:tbl>
      <w:tblPr>
        <w:tblW w:w="8942" w:type="dxa"/>
        <w:jc w:val="left"/>
        <w:tblInd w:w="0" w:type="dxa"/>
        <w:tblLayout w:type="fixed"/>
        <w:tblCellMar>
          <w:top w:w="28" w:type="dxa"/>
          <w:left w:w="28" w:type="dxa"/>
          <w:bottom w:w="28" w:type="dxa"/>
          <w:right w:w="28" w:type="dxa"/>
        </w:tblCellMar>
      </w:tblPr>
      <w:tblGrid>
        <w:gridCol w:w="2396"/>
        <w:gridCol w:w="2104"/>
        <w:gridCol w:w="2115"/>
        <w:gridCol w:w="211"/>
        <w:gridCol w:w="481"/>
        <w:gridCol w:w="109"/>
        <w:gridCol w:w="109"/>
        <w:gridCol w:w="109"/>
        <w:gridCol w:w="109"/>
        <w:gridCol w:w="211"/>
        <w:gridCol w:w="616"/>
        <w:gridCol w:w="109"/>
        <w:gridCol w:w="109"/>
        <w:gridCol w:w="154"/>
      </w:tblGrid>
      <w:tr>
        <w:trPr/>
        <w:tc>
          <w:tcPr>
            <w:tcW w:w="2396"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For the nine months ended September 30,</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Activities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and asset impairment charges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sale of businesses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for restructuring</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assets and liabilities (net of acquisitions):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receivables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inventories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accounts payable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accrued and deferred taxes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long term receivables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 Operating activities</w:t>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729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Investing Activities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Acquisitions of businesses, net of cash acquired</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businesses, net of cash disposed</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the sale of property, plant and equipment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received from investments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investments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equity investments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asset acquisition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received from cross-currency swaps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 Investing activities</w:t>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(554)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Financing Activities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debt issued,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debt repaid</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issued,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repaid,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 of common stock</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exercise of employee stock options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paid</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 Financing activities</w:t>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(935)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Effect of exchange rate changes on cash</w:t>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in cash classified within assets held for sale</w:t>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Decrease in cash classified within assets held for sale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Changes in cash classified within assets held for sale</w:t>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 in cash and cash equivalents</w:t>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(771)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beginning of year</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and cash equivalents at end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708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Supplemental disclosure of cash flow information:</w:t>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during the year for:</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(net of refunds received)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color w:val="000000"/>
        </w:rPr>
      </w:pPr>
      <w:r>
        <w:rPr>
          <w:color w:val="000000"/>
        </w:rPr>
        <w:t>    </w:t>
      </w:r>
      <w:r>
        <w:rPr>
          <w:rFonts w:ascii="Arial;sans-serif" w:hAnsi="Arial;sans-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XYLEM INC. AND SUBSIDIARIES</w:t>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1. Background and Basis of Presentation</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Background</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Xylem Inc. (“Xylem” or the “Company”) is a leading equipment and service provider for water and wastewater applications with a broad portfolio of products and services addressing the full cycle of water, from collection, distribution and use to the return of water to the environment.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Xylem operates in four segments, Water Infrastructure, Applied Water, Measurement and Control Solutions and Water Solutions and Services. See Note 19, "Segment Information", to the condensed consolidated financial statements for further segment background information.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Except as otherwise indicated or unless the context otherwise requires, "Xylem," "we," "us," "our" and the "Company" refer to Xylem Inc. and its subsidiaries.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Basis of Presentation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interim condensed consolidated financial statements reflect our financial position and results of operations in conformity with accounting principles generally accepted in the United States of America ("GAAP"). All intercompany transactions between our businesses have been eliminated.</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unaudited interim condensed consolidated financial statements have been prepared pursuant to the rules and regulations of the Securities and Exchange Commission ("SEC") and, in the opinion of management, reflect all adjustments (which include normal recurring adjustments) considered necessary for a fair statement of the financial position and results of operations for the periods presented. Certain information and note disclosures normally included in financial statements prepared in accordance with GAAP have been condensed or omitted pursuant to such SEC rules. We believe that the disclosures made are adequate to make the information presented not misleading. We consistently applied the accounting policies described in our Annual Report on Form 10-K for the year ended December 31, 2025 ("2025 Annual Report") in preparing these unaudited condensed consolidated financial statements. These condensed consolidated financial statements should be read in conjunction with the audited consolidated financial statements and the notes included in our 2025 Annual Report.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preparation of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 and expenses during the reporting period. Estimates are revised as additional information becomes available. Estimates and assumptions are used for, but not limited to, valuation results associated with purchase accounting, post-retirement obligations and assets, revenue recognition, income taxes, valuation of intangible assets, valuation of assets and liabilities classified as held for sale, goodwill and indefinite-lived intangible impairment testing and contingent liabilities. Actual results could differ from these estimates.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quarterly financial periods typically end on the Saturday closest to the last day of the calendar quarter, except for the fourth quarter which ends on December 31. For the third quarter of 2026, the quarter-end date was September 26. For ease of presentation, the condensed consolidated financial statements included herein are described as ending on the last day of the calendar quarter.</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Tariff Developments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 February 2026, the U.S. Supreme Court ruled that certain tariffs previously imposed under the International Emergency Economic Powers Act (“IEEPA”) were unlawful. As a result of that ruling and related Court-ordered actions by the Court of International Trade, the Company has evaluated the recoverability of IEEPA tariffs previously paid on imported goods.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Company previously recognized amounts paid for such tariffs within cost of revenue from products and services. For the three and nine months ended September 30, 2026, the Company received $39 million and $43 million of IEEPA refunds, respectively, and also recognized a $6 million receivable as of September 30, 2026 within prepaid and other current assets in the condensed consolidated balance sheets, with a corresponding reduction to cost of revenue from products. The amount of receivable recognized was based on the Company’s determination of the portion of tariff refunds that are probable of recovery and reasonably estimable.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Company continues to assess its ongoing submissions for refunds of IEEPA tariffs and expects to record additional recoveries as uncertainties around the refund process are resolved. To the extent there are changes in amounts that become recoverable, including any associated interest, such amounts will be recognized in the period in which information about the probable and reasonably estimable amounts becomes known to the Company.</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 xml:space="preserve">Note 2. Recently Issued Accounting Pronouncements </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Pronouncements Not Yet Adopted</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 September 2025, the Financial Accounting Standards Board ("FASB") issued Accounting Standards Update ("ASU") No. 2025-06, “Intangibles—Goodwill and Other—Internal-Use Software (Subtopic 350-40): Targeted Improvements to the Accounting for Internal-Use Software”. This ASU amends the capitalization criteria for internal-use software and requires entities to make certain disclosures of costs capitalized under this subtopic. This ASU also supersedes existing guidance on web site development costs. The standard is effective for annual reporting periods beginning after December 15, 2027, and interim reporting periods within those annual reporting periods, with early adoption permitted. Prospective, retrospective, or modified transition adoption methods are all permitted under this ASU. We are currently evaluating the impact and method of adoption of this amendment.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 November 2024, the FASB issued ASU 2024-03, "Expense Disaggregation Disclosures (Subtopic 220-40): Disaggregation of Income Statement Expenses". This ASU requires a footnote disclosure to disaggregate each relevant expense caption on the face of the income statement that includes specific natural expense categories. In addition, the standard requires disclosure of selling expenses on an annual and interim basis. The standard is effective in annual reporting periods beginning after December 15, 2026, and interim periods within annual reporting periods beginning after December 15, 2027. Early adoption is permitted. The standard is required to be adopted prospectively, but retrospective adoption is permitted. The Company is currently evaluating the method of adoption and the impact of the guidance on our disclosures in future periods.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Recently Adopted Pronouncements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 July 2025, the FASB issued ASU 2025-05, "Financial Instruments—Credit Losses (Topic 326): "Measurement of Credit Losses for Accounts Receivable and Contract Assets". This update provides a practical expedient that allows entities to assume current conditions as of the balance sheet date remain unchanged over the remaining life of certain current trade receivables and current contract assets when developing reasonable and supportable forecasts in estimating expected credit losses. The Company adopted ASU 2025-05 effective January 1, 2026, and elected the practical expedient for applicable trade receivables and contract assets on a prospective basis. Adoption of the standard did not have a material impact on the Company’s consolidated financial statements.</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3. Acquisitions and Divestitures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2026 Business Combinations</w:t>
      </w:r>
    </w:p>
    <w:p>
      <w:pPr>
        <w:pStyle w:val="TextBody"/>
        <w:bidi w:val="0"/>
        <w:spacing w:lineRule="auto" w:line="288" w:before="120" w:after="12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Cornell Pump and Roper Pump</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On August 10, 2026, the Company entered into a definitive agreement with Indicor, LLC and the other parties thereto to acquire, through a wholly-owned subsidiary of the Company, 100% ownership of the Cornell Pump and Roper Pump businesses, which specialize in highly engineered pumping technologies. The acquisition expands the Company's industrial pumping capabilities and strengthens its presence in key industrial and municipal applications in North America. The purchase price is approximately $1,460 million, subject to customary adjustments for working capital and other matters, which the Company intends to finance in part using proceeds from its issuance of senior unsecured notes on September 29, 2026. Refer to Note 12, Credit Facilities and Debt, for additional information.</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acquisition will be included in the Water Infrastructure segment and is expected to close in the fourth quarter of 2026, subject to receipt of required regulatory approvals and other customary closing conditions.</w:t>
      </w:r>
    </w:p>
    <w:p>
      <w:pPr>
        <w:pStyle w:val="TextBody"/>
        <w:bidi w:val="0"/>
        <w:spacing w:lineRule="auto" w:line="288" w:before="120" w:after="12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WaterFleet Intermediate Holdings, Inc.</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On September 2, 2026, the Company acquired 100% ownership interest in WaterFleet Intermediate Holdings, Inc. and its subsidiaries (collectively, "WaterFleet"), a leading provider of mobile water and wastewater utility services and workforce relief solutions. The acquisition expanded the breadth of the Company's service offerings in North America. Our condensed consolidated financial statements include WaterFleet's results of operations within the Water Solutions and Services segment from the date of acquisition. </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total fair value of consideration paid at closing was $217 million, which also represents the purchase price, net of cash acquired, and remains subject to working capital and other customary adjustments. </w:t>
      </w:r>
    </w:p>
    <w:p>
      <w:pPr>
        <w:pStyle w:val="TextBody"/>
        <w:bidi w:val="0"/>
        <w:spacing w:lineRule="auto" w:line="288" w:before="120" w:after="120"/>
        <w:jc w:val="left"/>
        <w:rPr/>
      </w:pPr>
      <w:r>
        <w:rPr>
          <w:rFonts w:ascii="Arial;sans-serif" w:hAnsi="Arial;sans-serif"/>
          <w:b w:val="false"/>
          <w:color w:val="000000"/>
          <w:sz w:val="20"/>
          <w:shd w:fill="FFFFFF" w:val="clear"/>
        </w:rPr>
        <w:t xml:space="preserve">As of September 30, 2026, preliminary purchase price allocation consisted primarily of $111 million in goodwill and $65 million for customer relationships and other intangible assets. </w:t>
      </w:r>
      <w:r>
        <w:rPr>
          <w:rFonts w:ascii="Arial;sans-serif" w:hAnsi="Arial;sans-serif"/>
          <w:b w:val="false"/>
          <w:color w:val="000000"/>
          <w:sz w:val="20"/>
        </w:rPr>
        <w:t xml:space="preserve">The identifiable intangible assets were valued using the </w:t>
      </w:r>
      <w:r>
        <w:rPr>
          <w:rFonts w:ascii="Arial;sans-serif" w:hAnsi="Arial;sans-serif"/>
          <w:b w:val="false"/>
          <w:color w:val="000000"/>
          <w:sz w:val="20"/>
          <w:shd w:fill="FFFFFF" w:val="clear"/>
        </w:rPr>
        <w:t>multi-period excess earnings ("</w:t>
      </w:r>
      <w:r>
        <w:rPr>
          <w:rFonts w:ascii="Arial;sans-serif" w:hAnsi="Arial;sans-serif"/>
          <w:b w:val="false"/>
          <w:color w:val="000000"/>
          <w:sz w:val="20"/>
        </w:rPr>
        <w:t xml:space="preserve">MPEE") method, the relief from royalty ("RFR") method, or the with and without method, all of which are forms of the income approach. </w:t>
      </w:r>
      <w:r>
        <w:rPr>
          <w:rFonts w:ascii="Arial;sans-serif" w:hAnsi="Arial;sans-serif"/>
          <w:b w:val="false"/>
          <w:color w:val="000000"/>
          <w:sz w:val="20"/>
          <w:shd w:fill="FFFFFF" w:val="clear"/>
        </w:rPr>
        <w:t xml:space="preserve">The amount of goodwill recognized in the acquisition is not deductible for U.S. income tax purposes and is primarily attributable to management know-how and to costs and revenue synergies expected from combining the operations of WaterFleet with Xylem. </w:t>
      </w:r>
    </w:p>
    <w:p>
      <w:pPr>
        <w:pStyle w:val="TextBody"/>
        <w:bidi w:val="0"/>
        <w:spacing w:lineRule="auto" w:line="288" w:before="120" w:after="12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TriOS Mess-und Datentechnik GmbH</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On July 1, 2026, the Company acquired 100% ownership interest in TriOS Mess-und Datentechnik GmbH and its subsidiaries (collectively, "TriOS"), a leading provider of optical sensing and measurement systems for water quality monitoring across utilities, industry, and environmental research. The integration of TriOS's advanced sensing instruments with the Company's analytical instrumentation platform is expected to enhance real-time visibility into water conditions across our systems. Our condensed consolidated financial statements include TriOS' results of operations within the Measurement and Control Solutions segment from the date of acquisition. </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total purchase price is $219 million ($210 million, net of cash acquired), of which $216 million ($207 million, net of cash acquired) was paid at closing. The purchase price remains subject to working capital and other customary adjustments.</w:t>
      </w:r>
    </w:p>
    <w:p>
      <w:pPr>
        <w:pStyle w:val="TextBody"/>
        <w:bidi w:val="0"/>
        <w:spacing w:lineRule="auto" w:line="288" w:before="120" w:after="120"/>
        <w:jc w:val="left"/>
        <w:rPr/>
      </w:pPr>
      <w:r>
        <w:rPr>
          <w:rFonts w:ascii="Arial;sans-serif" w:hAnsi="Arial;sans-serif"/>
          <w:b w:val="false"/>
          <w:color w:val="000000"/>
          <w:sz w:val="20"/>
          <w:shd w:fill="FFFFFF" w:val="clear"/>
        </w:rPr>
        <w:t xml:space="preserve">As of September 30, 2026, preliminary purchase price allocation consisted primarily of $155 million in goodwill and $55 million for customer relationships and other intangible assets. </w:t>
      </w:r>
      <w:r>
        <w:rPr>
          <w:rFonts w:ascii="Arial;sans-serif" w:hAnsi="Arial;sans-serif"/>
          <w:b w:val="false"/>
          <w:color w:val="000000"/>
          <w:sz w:val="20"/>
        </w:rPr>
        <w:t xml:space="preserve">The identifiable intangible assets were valued using the MPEE method, the RFR method, or the with and without method, all of which are forms of the income approach. </w:t>
      </w:r>
      <w:r>
        <w:rPr>
          <w:rFonts w:ascii="Arial;sans-serif" w:hAnsi="Arial;sans-serif"/>
          <w:b w:val="false"/>
          <w:color w:val="000000"/>
          <w:sz w:val="20"/>
          <w:shd w:fill="FFFFFF" w:val="clear"/>
        </w:rPr>
        <w:t xml:space="preserve">The amount of goodwill recognized in the acquisition is not deductible for income tax purposes and is primarily attributable to management know-how and to costs and revenue synergies expected from combining the operations of TriOS with Xylem.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final determination of the fair value of certain assets and liabilities from the above acquisitions will be completed as soon as the necessary information becomes available but no later than one year from the acquisition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2025 Business Combinations</w:t>
      </w:r>
    </w:p>
    <w:p>
      <w:pPr>
        <w:pStyle w:val="TextBody"/>
        <w:bidi w:val="0"/>
        <w:spacing w:lineRule="auto" w:line="288" w:before="120" w:after="12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Pac Machine Company, Inc.</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On December 2, 2025, the Company acquired 100% ownership interest in Pac Machine Company, Inc. ("Pac Machine"), a leading distributor specializing in the sale, rental and service of pumps, generators, and other dewatering equipment for mining, construction, agriculture, energy and marine sectors. The acquisition strengthens the Company's presence in Northern California and Nevada, while providing synergy opportunities. Our condensed consolidated financial statements include Pac Machine's results of operations within the Water Solutions and Services segment. </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total purchase price was $66 million ($62 million, net of cash acquired), of which $54 million ($50 million, net of cash acquired) was paid at closing. The consideration transferred includes $3 million related to the non-cash settlement of a preexisting receivable owed by the acquiree to the Company. The remaining consideration of $9 million will be paid over the next four years, subject to customary holdback provisions. </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As of September 30, 2026, preliminary purchase allocation includes intangible assets totaling $27 million, consisting of customer relationships valued using the MPEE method, and goodwill totaling $30 million. The amount of goodwill recognized in the acquisition is not deductible for U.S. income tax purposes and is primarily attributable to costs and revenue synergies expected from combining the operations of Pac Machine with Xylem.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final determination of the fair value of certain assets and liabilities will be completed as soon as the necessary information becomes available but no later than one year from the acquisition date.</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EMX Holdings, Inc.</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On July 23, 2025, the Company acquired 100% ownership interest in EMX Holdings, Inc. and its subsidiary (collectively, "EnviroMix"). EnviroMix is headquartered in South Carolina, U.S., and provides mixing and process control products and services to municipal and industrial customers. This acquisition expands the Company's treatment offerings and provides synergy opportunities. The operating results of EnviroMix have been included in the Company's results of operations since the acquisition date within the Water Infrastructure segment.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total fair value of consideration transferred was $106 million, which was paid in cash on the closing date. The fair value of assets and liabilities acquired resulting from the purchase price allocation consisted primarily of $74 million in goodwill and $34 million for customer relationships and other identifiable intangible assets. The identifiable intangible assets were valued using the MPEE method, the RFR method, or the with and without method, all of which are forms of the income approach. The goodwill recognized in the acquisition is not deductible for U.S. income tax purposes and is primarily attributable to management know-how and the costs and revenue synergies expected from combining the operations of EnviroMix with Xylem. </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Simply Clean Air and Water, Inc.</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On January 31, 2025, we acquired 100% ownership interest in Simply Clean Air and Water, Inc. ("Simply Clean"), a water service company that specializes in high-purity water systems for life sciences and pharmaceutical markets, for the net cash acquisition price of $7 million. The company is headquartered in Connecticut, U.S. with 20 employees. Our condensed consolidated financial statements include Simply Clean's results of operations within the Water Solutions and Services segment.</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2025 Asset Acquisition</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Vacom Systems, LLC</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On April 1, 2025, we acquired Vacom Systems, LLC ("Vacom"), a wastewater treatment company that specializes in non-fouling, non-scaling evaporator and crystallizer systems, headquartered in Utah, U.S. The transaction included total cash consideration of $42 million, of which $37 million was paid at closing, $2 million was paid during the second quarter of 2026, and the rest is expected to be paid during the fourth quarter of 2026. Additionally, the transaction consideration contained an earn out of 5% royalty on future revenue generated in connection with Vacom's proprietary technologies during the first five years following the acquisition. The earn out has a maximum pay out of $25 million.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Vacom transaction was accounted for as an asset acquisition because substantially all of the fair value of gross assets acquired were concentrated in its developed technology. On the acquisition date, the developed technology recognized in the condensed consolidated balance sheet was $49 million. The developed technology has a useful life of fifteen years and it is being amortized over its useful life on a straight-line basis within the Water Solutions and Services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i/>
          <w:color w:val="000000"/>
          <w:sz w:val="20"/>
          <w:shd w:fill="FFFFFF" w:val="clear"/>
        </w:rPr>
      </w:pPr>
      <w:r>
        <w:rPr>
          <w:rFonts w:ascii="Arial;sans-serif" w:hAnsi="Arial;sans-serif"/>
          <w:b/>
          <w:i/>
          <w:color w:val="000000"/>
          <w:sz w:val="20"/>
          <w:shd w:fill="FFFFFF" w:val="clear"/>
        </w:rPr>
        <w:t>2026 Divestitures</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On May 26, 2026, we completed the divestiture of our previously held-for-sale international metering business, part of the Measurement and Control Solutions segment. As of September 30, 2026, the preliminary fair value of total consideration was $73 million ($68 million, net of cash transferred), including a third quarter adjustment to the estimated post-closing working capital consideration. Total consideration includes $63 million in cash ($58 million, net of cash transferred) and a note receivable with a fair value of $10 million. The post-closing working capital adjustment has not been finalized and remains subject to further adjustments pursuant to the terms of the purchase agreement.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As a result of the sale, the Company recognized a cumulative loss of $44 million, including $23 million recognized in 2025 and $21 million recognized in 2026, of which $7 million was recognized in the third quarter of 2026.</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During the nine months ended September 30, 2026, the Company also completed certain other divestitures, which generated aggregate cash proceeds, net of cash transferred, of approximately $37 million, of which $30 million was recognized in the third quarter of 2026, and resulted in a cumulative net gain of $4 million, of which $2 million was recognized in the current quarter. </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2025 Divestiture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On February 7, 2025, we completed the divestiture of our previously held-for-sale Evoqua Magneto business, which was part of the Water Infrastructure segment, for a cash selling price of $61 million ($48 million, net of cash transferred). As a result of the sale, we recorded a loss of $10 million in the first quarter of the prior year, partially offset by a $2 million favorable final working capital adjustment recorded in the third quarter of the prior year, resulting in a total loss of $8 million.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Gains and losses on the above divestitures presented on the condensed consolidated income statement within "Loss on sale of businesses".</w:t>
      </w:r>
    </w:p>
    <w:p>
      <w:pPr>
        <w:pStyle w:val="TextBody"/>
        <w:bidi w:val="0"/>
        <w:spacing w:before="120" w:after="120"/>
        <w:jc w:val="left"/>
        <w:rPr/>
      </w:pPr>
      <w:r>
        <w:rPr/>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 xml:space="preserve">Note 4. Revenue </w:t>
      </w:r>
    </w:p>
    <w:p>
      <w:pPr>
        <w:pStyle w:val="TextBody"/>
        <w:bidi w:val="0"/>
        <w:spacing w:lineRule="auto" w:line="417" w:before="180" w:after="140"/>
        <w:jc w:val="left"/>
        <w:rPr>
          <w:rFonts w:ascii="Arial;sans-serif" w:hAnsi="Arial;sans-serif"/>
          <w:b w:val="false"/>
          <w:i/>
          <w:color w:val="000000"/>
          <w:sz w:val="20"/>
        </w:rPr>
      </w:pPr>
      <w:r>
        <w:rPr>
          <w:rFonts w:ascii="Arial;sans-serif" w:hAnsi="Arial;sans-serif"/>
          <w:b w:val="false"/>
          <w:i/>
          <w:color w:val="000000"/>
          <w:sz w:val="20"/>
        </w:rPr>
        <w:t>Disaggregation of Revenue</w:t>
      </w:r>
    </w:p>
    <w:p>
      <w:pPr>
        <w:pStyle w:val="TextBody"/>
        <w:bidi w:val="0"/>
        <w:spacing w:lineRule="auto" w:line="417" w:before="180" w:after="140"/>
        <w:jc w:val="left"/>
        <w:rPr>
          <w:rFonts w:ascii="Arial;sans-serif" w:hAnsi="Arial;sans-serif"/>
          <w:b w:val="false"/>
          <w:color w:val="000000"/>
          <w:sz w:val="20"/>
        </w:rPr>
      </w:pPr>
      <w:r>
        <w:rPr>
          <w:rFonts w:ascii="Arial;sans-serif" w:hAnsi="Arial;sans-serif"/>
          <w:b w:val="false"/>
          <w:color w:val="000000"/>
          <w:sz w:val="20"/>
        </w:rPr>
        <w:t>The following table illustrates the sources of revenue:</w:t>
      </w:r>
    </w:p>
    <w:tbl>
      <w:tblPr>
        <w:tblW w:w="8584" w:type="dxa"/>
        <w:jc w:val="center"/>
        <w:tblInd w:w="0" w:type="dxa"/>
        <w:tblLayout w:type="fixed"/>
        <w:tblCellMar>
          <w:top w:w="28" w:type="dxa"/>
          <w:left w:w="28" w:type="dxa"/>
          <w:bottom w:w="28" w:type="dxa"/>
          <w:right w:w="28" w:type="dxa"/>
        </w:tblCellMar>
      </w:tblPr>
      <w:tblGrid>
        <w:gridCol w:w="1298"/>
        <w:gridCol w:w="1135"/>
        <w:gridCol w:w="1152"/>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c>
          <w:tcPr>
            <w:tcW w:w="154" w:type="dxa"/>
            <w:tcBorders/>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from contracts with customers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2,122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6,443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 Revenue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2,201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6,662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6,638 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80" w:after="140"/>
        <w:jc w:val="left"/>
        <w:rPr/>
      </w:pPr>
      <w:r>
        <w:rPr/>
      </w:r>
    </w:p>
    <w:p>
      <w:pPr>
        <w:pStyle w:val="TextBody"/>
        <w:bidi w:val="0"/>
        <w:spacing w:lineRule="auto" w:line="288" w:before="80" w:after="140"/>
        <w:jc w:val="left"/>
        <w:rPr>
          <w:rFonts w:ascii="Arial;sans-serif" w:hAnsi="Arial;sans-serif"/>
          <w:b w:val="false"/>
          <w:color w:val="000000"/>
          <w:sz w:val="20"/>
        </w:rPr>
      </w:pPr>
      <w:r>
        <w:rPr>
          <w:rFonts w:ascii="Arial;sans-serif" w:hAnsi="Arial;sans-serif"/>
          <w:b w:val="false"/>
          <w:color w:val="000000"/>
          <w:sz w:val="20"/>
        </w:rPr>
        <w:t>The following table reflects revenue from contracts with customers by application:</w:t>
      </w:r>
    </w:p>
    <w:tbl>
      <w:tblPr>
        <w:tblW w:w="8551" w:type="dxa"/>
        <w:jc w:val="left"/>
        <w:tblInd w:w="0" w:type="dxa"/>
        <w:tblLayout w:type="fixed"/>
        <w:tblCellMar>
          <w:top w:w="28" w:type="dxa"/>
          <w:left w:w="28" w:type="dxa"/>
          <w:bottom w:w="28" w:type="dxa"/>
          <w:right w:w="28" w:type="dxa"/>
        </w:tblCellMar>
      </w:tblPr>
      <w:tblGrid>
        <w:gridCol w:w="1168"/>
        <w:gridCol w:w="1021"/>
        <w:gridCol w:w="1036"/>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154"/>
      </w:tblGrid>
      <w:tr>
        <w:trPr/>
        <w:tc>
          <w:tcPr>
            <w:tcW w:w="116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Water Infrastructure</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Transport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Treatment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Applied Water</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Building Solutions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Industrial Water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Measurement and Control Solutions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Smart Metering and 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Analytics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Water Solutions and Services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and 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2,122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6,443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80" w:after="200"/>
        <w:jc w:val="left"/>
        <w:rPr>
          <w:rFonts w:ascii="Arial;sans-serif" w:hAnsi="Arial;sans-serif"/>
          <w:b w:val="false"/>
          <w:color w:val="000000"/>
          <w:sz w:val="20"/>
        </w:rPr>
      </w:pPr>
      <w:r>
        <w:rPr>
          <w:rFonts w:ascii="Arial;sans-serif" w:hAnsi="Arial;sans-serif"/>
          <w:b w:val="false"/>
          <w:color w:val="000000"/>
          <w:sz w:val="20"/>
        </w:rPr>
        <w:t>The following table reflects revenue from contracts with customers by geographical region:</w:t>
      </w:r>
    </w:p>
    <w:tbl>
      <w:tblPr>
        <w:tblW w:w="8333" w:type="dxa"/>
        <w:jc w:val="center"/>
        <w:tblInd w:w="0" w:type="dxa"/>
        <w:tblLayout w:type="fixed"/>
        <w:tblCellMar>
          <w:top w:w="28" w:type="dxa"/>
          <w:left w:w="28" w:type="dxa"/>
          <w:bottom w:w="28" w:type="dxa"/>
          <w:right w:w="28" w:type="dxa"/>
        </w:tblCellMar>
      </w:tblPr>
      <w:tblGrid>
        <w:gridCol w:w="1168"/>
        <w:gridCol w:w="1020"/>
        <w:gridCol w:w="1037"/>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54"/>
      </w:tblGrid>
      <w:tr>
        <w:trPr/>
        <w:tc>
          <w:tcPr>
            <w:tcW w:w="116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Water Infrastructure</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Western Europe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Emerging Markets (a)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Other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Applied Water</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United States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Western Europe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Emerging Markets (a)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Other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Measurement and Control Solutions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United States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Western Europe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Emerging Markets (a)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Other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Water Solutions and Services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Western Europe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Emerging Markets (a)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2,122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6,443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00"/>
        <w:ind w:left="0" w:right="0" w:hanging="360"/>
        <w:jc w:val="left"/>
        <w:rPr>
          <w:rFonts w:ascii="Arial;sans-serif" w:hAnsi="Arial;sans-serif"/>
          <w:b w:val="false"/>
          <w:color w:val="000000"/>
          <w:sz w:val="18"/>
        </w:rPr>
      </w:pPr>
      <w:r>
        <w:rPr>
          <w:rFonts w:ascii="Arial;sans-serif" w:hAnsi="Arial;sans-serif"/>
          <w:b w:val="false"/>
          <w:color w:val="000000"/>
          <w:sz w:val="18"/>
        </w:rPr>
        <w:t>(a)Emerging markets includes results from the following regions: Eastern Europe, the Middle East and Africa, Latin America and Asia Pacific (excluding Japan, Australia and New Zealand, which are presented in "Other")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3"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Contract Balances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We receive payments from customers based on a billing schedule as established in our contracts. Contract assets relate to costs incurred to perform in advance of scheduled billings. Contract liabilities relate to payments received in advance of performance under the contracts. Changes in contract assets and liabilities are due to our performance under the contract. The table below provides contract assets, contract liabilities, and significant changes in contract assets and liabilities: </w:t>
      </w:r>
    </w:p>
    <w:tbl>
      <w:tblPr>
        <w:tblW w:w="7935" w:type="dxa"/>
        <w:jc w:val="center"/>
        <w:tblInd w:w="0" w:type="dxa"/>
        <w:tblLayout w:type="fixed"/>
        <w:tblCellMar>
          <w:top w:w="28" w:type="dxa"/>
          <w:left w:w="28" w:type="dxa"/>
          <w:bottom w:w="28" w:type="dxa"/>
          <w:right w:w="28" w:type="dxa"/>
        </w:tblCellMar>
      </w:tblPr>
      <w:tblGrid>
        <w:gridCol w:w="1430"/>
        <w:gridCol w:w="1251"/>
        <w:gridCol w:w="1264"/>
        <w:gridCol w:w="430"/>
        <w:gridCol w:w="982"/>
        <w:gridCol w:w="222"/>
        <w:gridCol w:w="493"/>
        <w:gridCol w:w="1126"/>
        <w:gridCol w:w="256"/>
        <w:gridCol w:w="109"/>
        <w:gridCol w:w="109"/>
        <w:gridCol w:w="109"/>
        <w:gridCol w:w="154"/>
      </w:tblGrid>
      <w:tr>
        <w:trPr/>
        <w:tc>
          <w:tcPr>
            <w:tcW w:w="1430"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Contract Assets (a)</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Contract Liabilities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January 1, 2026</w:t>
            </w:r>
          </w:p>
        </w:tc>
        <w:tc>
          <w:tcPr>
            <w:tcW w:w="4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510</w:t>
            </w:r>
            <w:r>
              <w:rPr>
                <w:color w:val="000000"/>
              </w:rPr>
              <w:t> </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286</w:t>
            </w:r>
            <w:r>
              <w:rPr>
                <w:color w:val="000000"/>
              </w:rPr>
              <w:t>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Additions, net (b)</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393</w:t>
            </w: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225</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Revenue recognized from opening balance</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(212)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 xml:space="preserve">Billings transferred to accounts receivable </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(232)</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Foreign currency and other</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(21)</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September 30, 2026</w:t>
            </w:r>
          </w:p>
        </w:tc>
        <w:tc>
          <w:tcPr>
            <w:tcW w:w="4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650</w:t>
            </w:r>
            <w:r>
              <w:rPr>
                <w:color w:val="000000"/>
              </w:rPr>
              <w:t> </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297</w:t>
            </w:r>
            <w:r>
              <w:rPr>
                <w:color w:val="000000"/>
              </w:rPr>
              <w:t>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January 1, 2025</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Additions, net</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Revenue recognized from opening balance</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Billings transferred to accounts receivable</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and other</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September 30, 2025</w:t>
            </w:r>
          </w:p>
        </w:tc>
        <w:tc>
          <w:tcPr>
            <w:tcW w:w="4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468 </w:t>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(a)Excludes receivable balances, which are disclosed on the Condensed Consolidated Balance Sheets</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(b)Additions include revenue recorded in the current year of $36 million pertaining to performance obligations that were partially satisfied during previous periods. Such amount relates primarily to changes in scope and price.</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 xml:space="preserve">Performance obligations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Delivery schedules vary from customer to customer based upon their requirements. Typically, large projects require longer lead production cycles and delays can occur from time to time. As of September 30, 2026, the aggregate amount of the transaction price allocated to performance obligations that are unsatisfied or partially unsatisfied for contracts with performance obligations, amount to $3,192 million. The Company elects to apply the practical expedient to exclude from this disclosure revenue related to performance obligations that are part of a contract whose original expected duration is one year or less.</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5. Restructuring and Asset Impairment Charges</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Restructuring</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From time to time, the Company will incur costs related to restructuring actions in order to streamline our organization, optimize our cost base, and strengthen our competitive position and ability to better serve our customers. During the three and nine months ended September 30, 2026, we incurred restructuring charges of $8 million and $50 million, respectively. During the three and nine months ended September 30, 2025, we incurred restructuring charges of $23 million and $62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4"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presents the components of restructuring expense and asset impairment charges:</w:t>
      </w:r>
    </w:p>
    <w:tbl>
      <w:tblPr>
        <w:tblW w:w="8440" w:type="dxa"/>
        <w:jc w:val="left"/>
        <w:tblInd w:w="0" w:type="dxa"/>
        <w:tblLayout w:type="fixed"/>
        <w:tblCellMar>
          <w:top w:w="28" w:type="dxa"/>
          <w:left w:w="28" w:type="dxa"/>
          <w:bottom w:w="28" w:type="dxa"/>
          <w:right w:w="28" w:type="dxa"/>
        </w:tblCellMar>
      </w:tblPr>
      <w:tblGrid>
        <w:gridCol w:w="1586"/>
        <w:gridCol w:w="1390"/>
        <w:gridCol w:w="1404"/>
        <w:gridCol w:w="229"/>
        <w:gridCol w:w="294"/>
        <w:gridCol w:w="118"/>
        <w:gridCol w:w="118"/>
        <w:gridCol w:w="118"/>
        <w:gridCol w:w="118"/>
        <w:gridCol w:w="229"/>
        <w:gridCol w:w="409"/>
        <w:gridCol w:w="118"/>
        <w:gridCol w:w="109"/>
        <w:gridCol w:w="109"/>
        <w:gridCol w:w="109"/>
        <w:gridCol w:w="211"/>
        <w:gridCol w:w="376"/>
        <w:gridCol w:w="109"/>
        <w:gridCol w:w="109"/>
        <w:gridCol w:w="109"/>
        <w:gridCol w:w="109"/>
        <w:gridCol w:w="211"/>
        <w:gridCol w:w="376"/>
        <w:gridCol w:w="109"/>
        <w:gridCol w:w="109"/>
        <w:gridCol w:w="154"/>
      </w:tblGrid>
      <w:tr>
        <w:trPr/>
        <w:tc>
          <w:tcPr>
            <w:tcW w:w="1586"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6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component:</w:t>
            </w:r>
          </w:p>
        </w:tc>
        <w:tc>
          <w:tcPr>
            <w:tcW w:w="6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Severance and other charges</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impairment</w:t>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Reversal of restructuring accruals</w:t>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restructuring costs</w:t>
            </w:r>
          </w:p>
        </w:tc>
        <w:tc>
          <w:tcPr>
            <w:tcW w:w="5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w:t>
            </w: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impairment charges</w:t>
            </w:r>
          </w:p>
        </w:tc>
        <w:tc>
          <w:tcPr>
            <w:tcW w:w="5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restructuring and asset impairment charges</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w:t>
            </w: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segment:</w:t>
            </w:r>
          </w:p>
        </w:tc>
        <w:tc>
          <w:tcPr>
            <w:tcW w:w="6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Water Infrastructure</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Applied Water</w:t>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Measurement and Control Solutions</w:t>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Water Solutions and Services </w:t>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Other</w:t>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displays a roll-forward of the restructuring accruals, presented on our Condensed Consolidated Balance Sheets within "Accrued and other current liabilities" and "Other non-current accrued liabilities," for the nine months ended September 30, 2026 and 2025:</w:t>
      </w:r>
    </w:p>
    <w:tbl>
      <w:tblPr>
        <w:tblW w:w="5556" w:type="dxa"/>
        <w:jc w:val="left"/>
        <w:tblInd w:w="0" w:type="dxa"/>
        <w:tblLayout w:type="fixed"/>
        <w:tblCellMar>
          <w:top w:w="28" w:type="dxa"/>
          <w:left w:w="28" w:type="dxa"/>
          <w:bottom w:w="28" w:type="dxa"/>
          <w:right w:w="28" w:type="dxa"/>
        </w:tblCellMar>
      </w:tblPr>
      <w:tblGrid>
        <w:gridCol w:w="1254"/>
        <w:gridCol w:w="1097"/>
        <w:gridCol w:w="1114"/>
        <w:gridCol w:w="109"/>
        <w:gridCol w:w="109"/>
        <w:gridCol w:w="109"/>
        <w:gridCol w:w="211"/>
        <w:gridCol w:w="376"/>
        <w:gridCol w:w="109"/>
        <w:gridCol w:w="109"/>
        <w:gridCol w:w="109"/>
        <w:gridCol w:w="109"/>
        <w:gridCol w:w="211"/>
        <w:gridCol w:w="376"/>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accruals - January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accruals -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Water Infrastructure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Applied Water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Measurement and Control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Water Solutions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Centralized support facilities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ind w:left="0" w:right="0" w:hanging="360"/>
        <w:jc w:val="left"/>
        <w:rPr>
          <w:rFonts w:ascii="Arial;sans-serif" w:hAnsi="Arial;sans-serif"/>
          <w:b w:val="false"/>
          <w:color w:val="000000"/>
          <w:sz w:val="18"/>
        </w:rPr>
      </w:pPr>
      <w:r>
        <w:rPr>
          <w:rFonts w:ascii="Arial;sans-serif" w:hAnsi="Arial;sans-serif"/>
          <w:b w:val="false"/>
          <w:color w:val="000000"/>
          <w:sz w:val="18"/>
        </w:rPr>
        <w:t>(a)    Centralized support facilities consist primarily of support functions, including selling and marketing organizations, that incurred restructuring expense which was allocated to the segments. However, the liabilities associated with restructuring expense were not allocated to the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5"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following table presents the total costs expected to be incurred, the amount incurred in the period, and the cumulative costs incurred to date for our 2026 and 2025 restructuring actions:</w:t>
      </w:r>
    </w:p>
    <w:tbl>
      <w:tblPr>
        <w:tblW w:w="10205" w:type="dxa"/>
        <w:jc w:val="center"/>
        <w:tblInd w:w="0" w:type="dxa"/>
        <w:tblLayout w:type="fixed"/>
        <w:tblCellMar>
          <w:top w:w="28" w:type="dxa"/>
          <w:left w:w="28" w:type="dxa"/>
          <w:bottom w:w="28" w:type="dxa"/>
          <w:right w:w="28" w:type="dxa"/>
        </w:tblCellMar>
      </w:tblPr>
      <w:tblGrid>
        <w:gridCol w:w="586"/>
        <w:gridCol w:w="514"/>
        <w:gridCol w:w="521"/>
        <w:gridCol w:w="109"/>
        <w:gridCol w:w="109"/>
        <w:gridCol w:w="109"/>
        <w:gridCol w:w="374"/>
        <w:gridCol w:w="721"/>
        <w:gridCol w:w="194"/>
        <w:gridCol w:w="109"/>
        <w:gridCol w:w="109"/>
        <w:gridCol w:w="109"/>
        <w:gridCol w:w="241"/>
        <w:gridCol w:w="464"/>
        <w:gridCol w:w="124"/>
        <w:gridCol w:w="109"/>
        <w:gridCol w:w="109"/>
        <w:gridCol w:w="109"/>
        <w:gridCol w:w="451"/>
        <w:gridCol w:w="867"/>
        <w:gridCol w:w="234"/>
        <w:gridCol w:w="109"/>
        <w:gridCol w:w="109"/>
        <w:gridCol w:w="109"/>
        <w:gridCol w:w="348"/>
        <w:gridCol w:w="670"/>
        <w:gridCol w:w="180"/>
        <w:gridCol w:w="109"/>
        <w:gridCol w:w="109"/>
        <w:gridCol w:w="109"/>
        <w:gridCol w:w="261"/>
        <w:gridCol w:w="503"/>
        <w:gridCol w:w="137"/>
        <w:gridCol w:w="109"/>
        <w:gridCol w:w="109"/>
        <w:gridCol w:w="109"/>
        <w:gridCol w:w="211"/>
        <w:gridCol w:w="481"/>
        <w:gridCol w:w="161"/>
      </w:tblGrid>
      <w:tr>
        <w:trPr/>
        <w:tc>
          <w:tcPr>
            <w:tcW w:w="58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Water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Applied Water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Measurement and Control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Water Solutions and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Actions Commenced in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expected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incurred during Q1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incurred during Q2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incurred during Q3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expected costs remaining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Actions Commenced in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expected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incurred in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incurred during Q1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incurred during Q2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incurred during Q3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expected costs remaining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actions commenced in 2026 consist primarily of severance charges. The actions are expected to continue through the end of 2027.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actions commenced in 2025 consist primarily of severance charges. The actions are expected to continue through the end of 2026.</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During the second quarter of 2026, we also incurred charges of $1 million within the Measurement and Control Solutions segment, related to actions commenced prior to 2024.</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During the first quarter of 2026, we recognized $1 million in fixed asset impairment charges due to restructuring actions within our Measurement and Control Solutions segment.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During the third quarter of 2025, we recognized $3 million in fixed asset impairment charges due to restructuring actions within our Water Infrastructure segment.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During the second quarter of 2025, we recognized $1 million in fixed asset impairment charges due to restructuring actions within our Measurement and Control Solutions segment. </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 xml:space="preserve">Asset Impairment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During the second quarter of 2025, we recognized $4 million of impairment charges for internally developed software and software assets within our Measurement and Control Solutions and Corporate segments.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During the first quarter of 2025, we recognized $4 million of impairment charges for internally developed software within our Water Solutions and Services and Water Infrastructure segments.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Refer to Note 9, "Goodwill and Other Intangible Assets,"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6"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 xml:space="preserve">Note 6. Income Taxes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quarterly provision for income taxes is measured using an estimated annual effective tax rate, adjusted for discrete items within the periods presented. The comparison of our effective tax rate between periods is significantly impacted by the level and mix of earnings and losses by tax jurisdiction and discrete items.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income tax provision for the three months ended September 30, 2026 was $77 million resulting in an effective tax rate of 21.1%, compared to a $71 million expense resulting in an effective tax rate of 23.9% for the same period in 2025. The income tax provision for the nine months ended September 30, 2026 was $235 million resulting in an effective tax rate of 24.2%, compared to a $196 million expense resulting in an effective tax rate of 24.1% for the same period in 2025. The effective tax rate for the three months ended September 30, 2026 was generally consistent with the U.S. federal statutory rate. The effective tax rate for the nine months ended September 30, 2026 was higher than the U.S. federal statutory rate primarily due to the mix of earnings across jurisdictions and the tax impact of the 2026 international metering business divestiture.</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Unrecognized Tax Benefits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During 2019, Xylem’s Swedish subsidiary received a tax assessment from the Swedish Tax Agency (the "STA") for the 2013 tax year related to the tax treatment of an intercompany transfer of certain intellectual property that was made in connection with a reorganization of our European businesses. Xylem filed an appeal with the Administrative Court of Växjö, which rendered a decision adverse to Xylem in June 2022 for SEK837 million (approximately $84 million USD) consisting of the full tax assessment amount plus penalties and interest. Xylem appealed this decision with the intermediate appellate court, the Administrative Court of Appeal, and on May 15, 2024, that court rendered a decision in favor of Xylem and also remanded an issue to the trial court for resolution. In December 2025, the trial court issued a ruling on the remanded issue in Xylem's favor. The STA has appealed this ruling to the Administrative Court of Appeal. An oral hearing before the Administrative Court of Appeal is scheduled for November 2026. Management, in consultation with external legal advisors, continues to believe it is more likely than not that Xylem will prevail on the proposed assessment and will continue to vigorously defend our position through this litigation. There can be no assurance that the final determination by the authorities will not be materially different than our position. As of September 30, 2026, we have not recorded any unrecognized tax benefits related to this uncertain tax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7"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7. Earnings Per Share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is a reconciliation of the shares used in calculating basic and diluted net earnings per share:</w:t>
      </w:r>
    </w:p>
    <w:tbl>
      <w:tblPr>
        <w:tblW w:w="10205" w:type="dxa"/>
        <w:jc w:val="left"/>
        <w:tblInd w:w="0" w:type="dxa"/>
        <w:tblLayout w:type="fixed"/>
        <w:tblCellMar>
          <w:top w:w="28" w:type="dxa"/>
          <w:left w:w="28" w:type="dxa"/>
          <w:bottom w:w="28" w:type="dxa"/>
          <w:right w:w="28" w:type="dxa"/>
        </w:tblCellMar>
      </w:tblPr>
      <w:tblGrid>
        <w:gridCol w:w="1863"/>
        <w:gridCol w:w="1614"/>
        <w:gridCol w:w="1623"/>
        <w:gridCol w:w="240"/>
        <w:gridCol w:w="616"/>
        <w:gridCol w:w="109"/>
        <w:gridCol w:w="109"/>
        <w:gridCol w:w="109"/>
        <w:gridCol w:w="109"/>
        <w:gridCol w:w="240"/>
        <w:gridCol w:w="616"/>
        <w:gridCol w:w="109"/>
        <w:gridCol w:w="109"/>
        <w:gridCol w:w="109"/>
        <w:gridCol w:w="109"/>
        <w:gridCol w:w="240"/>
        <w:gridCol w:w="616"/>
        <w:gridCol w:w="109"/>
        <w:gridCol w:w="109"/>
        <w:gridCol w:w="109"/>
        <w:gridCol w:w="109"/>
        <w:gridCol w:w="240"/>
        <w:gridCol w:w="616"/>
        <w:gridCol w:w="109"/>
        <w:gridCol w:w="109"/>
        <w:gridCol w:w="155"/>
      </w:tblGrid>
      <w:tr>
        <w:trPr/>
        <w:tc>
          <w:tcPr>
            <w:tcW w:w="1863"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264" w:type="dxa"/>
            <w:gridSpan w:val="2"/>
            <w:tcBorders/>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Xylem (in millions)</w:t>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(in thousands):</w:t>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232,702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237,246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 Participating securities (a)</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 — Basic</w:t>
            </w:r>
          </w:p>
        </w:tc>
        <w:tc>
          <w:tcPr>
            <w:tcW w:w="8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232,719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243,454 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237,262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243,319 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Plus incremental shares from assumed conversions: (b)</w:t>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Dilutive effect of stock options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Dilutive effect of restricted stock units and performance share units</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 — Diluted</w:t>
            </w:r>
          </w:p>
        </w:tc>
        <w:tc>
          <w:tcPr>
            <w:tcW w:w="8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233,040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244,091 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237,658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243,910 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earnings per share</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share</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ind w:left="0" w:right="0" w:hanging="360"/>
        <w:jc w:val="left"/>
        <w:rPr>
          <w:rFonts w:ascii="Arial;sans-serif" w:hAnsi="Arial;sans-serif"/>
          <w:b w:val="false"/>
          <w:color w:val="000000"/>
          <w:sz w:val="18"/>
        </w:rPr>
      </w:pPr>
      <w:r>
        <w:rPr>
          <w:rFonts w:ascii="Arial;sans-serif" w:hAnsi="Arial;sans-serif"/>
          <w:b w:val="false"/>
          <w:color w:val="000000"/>
          <w:sz w:val="18"/>
        </w:rPr>
        <w:t>(a)Restricted stock units containing rights to non-forfeitable dividends that participate in undistributed earnings with common stockholders are considered participating securities for purposes of computing earnings per share.</w:t>
      </w:r>
    </w:p>
    <w:p>
      <w:pPr>
        <w:pStyle w:val="TextBody"/>
        <w:bidi w:val="0"/>
        <w:spacing w:lineRule="auto" w:line="288" w:before="120" w:after="120"/>
        <w:ind w:left="0" w:right="0" w:hanging="360"/>
        <w:jc w:val="left"/>
        <w:rPr>
          <w:rFonts w:ascii="Arial;sans-serif" w:hAnsi="Arial;sans-serif"/>
          <w:b w:val="false"/>
          <w:color w:val="000000"/>
          <w:sz w:val="18"/>
        </w:rPr>
      </w:pPr>
      <w:r>
        <w:rPr>
          <w:rFonts w:ascii="Arial;sans-serif" w:hAnsi="Arial;sans-serif"/>
          <w:b w:val="false"/>
          <w:color w:val="000000"/>
          <w:sz w:val="18"/>
        </w:rPr>
        <w:t>(b)Incremental shares from stock options, restricted stock units and performance share units are computed by the treasury stock method. The weighted average shares listed below were not included in the computation of diluted earnings per share because to do so would have been anti-dilutive for the periods presented or were otherwise excluded under the treasury stock method. The treasury stock method calculates dilution assuming the exercise of all in-the-money options and vesting of restricted stock units and performance share units, reduced by the repurchase of shares with the proceeds from the assumed exercises and unrecognized compensation expense for outstanding awards. Performance share units are included in the treasury stock calculation of diluted earnings per share based upon achievement of underlying performance and market conditions at the end of the reporting period. See Note 15, "Share-Based Compensation Plans," to the condensed consolidated financial statements for further detail on the performance share units.</w:t>
      </w:r>
    </w:p>
    <w:tbl>
      <w:tblPr>
        <w:tblW w:w="6885" w:type="dxa"/>
        <w:jc w:val="left"/>
        <w:tblInd w:w="0" w:type="dxa"/>
        <w:tblLayout w:type="fixed"/>
        <w:tblCellMar>
          <w:top w:w="28" w:type="dxa"/>
          <w:left w:w="28" w:type="dxa"/>
          <w:bottom w:w="28" w:type="dxa"/>
          <w:right w:w="28" w:type="dxa"/>
        </w:tblCellMar>
      </w:tblPr>
      <w:tblGrid>
        <w:gridCol w:w="815"/>
        <w:gridCol w:w="716"/>
        <w:gridCol w:w="719"/>
        <w:gridCol w:w="352"/>
        <w:gridCol w:w="294"/>
        <w:gridCol w:w="195"/>
        <w:gridCol w:w="195"/>
        <w:gridCol w:w="195"/>
        <w:gridCol w:w="195"/>
        <w:gridCol w:w="262"/>
        <w:gridCol w:w="219"/>
        <w:gridCol w:w="195"/>
        <w:gridCol w:w="109"/>
        <w:gridCol w:w="109"/>
        <w:gridCol w:w="109"/>
        <w:gridCol w:w="334"/>
        <w:gridCol w:w="312"/>
        <w:gridCol w:w="185"/>
        <w:gridCol w:w="185"/>
        <w:gridCol w:w="185"/>
        <w:gridCol w:w="185"/>
        <w:gridCol w:w="249"/>
        <w:gridCol w:w="232"/>
        <w:gridCol w:w="185"/>
        <w:gridCol w:w="154"/>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154" w:type="dxa"/>
            <w:tcBorders/>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8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1,126</w:t>
            </w:r>
            <w:r>
              <w:rPr>
                <w:color w:val="000000"/>
              </w:rPr>
              <w:t>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903 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1,064</w:t>
            </w:r>
            <w:r>
              <w:rPr>
                <w:color w:val="000000"/>
              </w:rPr>
              <w:t>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925 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428</w:t>
            </w: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395</w:t>
            </w: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Performance share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w:t>
            </w: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8. Inventories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components of total inventories are summarized as follows: </w:t>
      </w:r>
    </w:p>
    <w:tbl>
      <w:tblPr>
        <w:tblW w:w="5112" w:type="dxa"/>
        <w:jc w:val="left"/>
        <w:tblInd w:w="0" w:type="dxa"/>
        <w:tblLayout w:type="fixed"/>
        <w:tblCellMar>
          <w:top w:w="28" w:type="dxa"/>
          <w:left w:w="28" w:type="dxa"/>
          <w:bottom w:w="28" w:type="dxa"/>
          <w:right w:w="28" w:type="dxa"/>
        </w:tblCellMar>
      </w:tblPr>
      <w:tblGrid>
        <w:gridCol w:w="565"/>
        <w:gridCol w:w="495"/>
        <w:gridCol w:w="500"/>
        <w:gridCol w:w="357"/>
        <w:gridCol w:w="1094"/>
        <w:gridCol w:w="184"/>
        <w:gridCol w:w="109"/>
        <w:gridCol w:w="109"/>
        <w:gridCol w:w="109"/>
        <w:gridCol w:w="396"/>
        <w:gridCol w:w="903"/>
        <w:gridCol w:w="291"/>
      </w:tblGrid>
      <w:tr>
        <w:trPr/>
        <w:tc>
          <w:tcPr>
            <w:tcW w:w="56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Finished goods</w:t>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356</w:t>
            </w:r>
            <w:r>
              <w:rPr>
                <w:color w:val="000000"/>
              </w:rPr>
              <w:t>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342 </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Work in process</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108</w:t>
            </w: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Raw materials</w:t>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588</w:t>
            </w: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inventories</w:t>
            </w:r>
          </w:p>
        </w:tc>
        <w:tc>
          <w:tcPr>
            <w:tcW w:w="3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1,052</w:t>
            </w:r>
            <w:r>
              <w:rPr>
                <w:color w:val="000000"/>
              </w:rPr>
              <w:t> </w:t>
            </w:r>
          </w:p>
        </w:tc>
        <w:tc>
          <w:tcPr>
            <w:tcW w:w="1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983 </w:t>
            </w:r>
          </w:p>
        </w:tc>
        <w:tc>
          <w:tcPr>
            <w:tcW w:w="2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18"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Note 9. Goodwill and Other Intangible Assets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Goodwill</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Changes in the carrying value of goodwill by reportable segment for the nine months ended September 30, 2026 are as follows:</w:t>
      </w:r>
    </w:p>
    <w:tbl>
      <w:tblPr>
        <w:tblW w:w="10205" w:type="dxa"/>
        <w:jc w:val="left"/>
        <w:tblInd w:w="0" w:type="dxa"/>
        <w:tblLayout w:type="fixed"/>
        <w:tblCellMar>
          <w:top w:w="28" w:type="dxa"/>
          <w:left w:w="28" w:type="dxa"/>
          <w:bottom w:w="28" w:type="dxa"/>
          <w:right w:w="28" w:type="dxa"/>
        </w:tblCellMar>
      </w:tblPr>
      <w:tblGrid>
        <w:gridCol w:w="996"/>
        <w:gridCol w:w="560"/>
        <w:gridCol w:w="519"/>
        <w:gridCol w:w="259"/>
        <w:gridCol w:w="793"/>
        <w:gridCol w:w="134"/>
        <w:gridCol w:w="109"/>
        <w:gridCol w:w="109"/>
        <w:gridCol w:w="109"/>
        <w:gridCol w:w="320"/>
        <w:gridCol w:w="730"/>
        <w:gridCol w:w="166"/>
        <w:gridCol w:w="109"/>
        <w:gridCol w:w="109"/>
        <w:gridCol w:w="109"/>
        <w:gridCol w:w="408"/>
        <w:gridCol w:w="1253"/>
        <w:gridCol w:w="212"/>
        <w:gridCol w:w="109"/>
        <w:gridCol w:w="109"/>
        <w:gridCol w:w="109"/>
        <w:gridCol w:w="334"/>
        <w:gridCol w:w="1025"/>
        <w:gridCol w:w="172"/>
        <w:gridCol w:w="109"/>
        <w:gridCol w:w="109"/>
        <w:gridCol w:w="109"/>
        <w:gridCol w:w="211"/>
        <w:gridCol w:w="646"/>
        <w:gridCol w:w="159"/>
      </w:tblGrid>
      <w:tr>
        <w:trPr/>
        <w:tc>
          <w:tcPr>
            <w:tcW w:w="99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Water</w:t>
              <w:br/>
              <w:t>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Applied Water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Measurement and Control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Water Solutions and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as of January 1, 2026</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2,264 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905 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2,270 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2,893 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8,332 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Activity in 2026</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Acquisitions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155</w:t>
            </w: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107</w:t>
            </w: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260</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Divestitures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5"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2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(34)</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as of September 30, 2026</w:t>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2,246</w:t>
            </w:r>
            <w:r>
              <w:rPr>
                <w:color w:val="000000"/>
              </w:rPr>
              <w:t> </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897</w:t>
            </w:r>
            <w:r>
              <w:rPr>
                <w:color w:val="000000"/>
              </w:rPr>
              <w:t>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2,386</w:t>
            </w:r>
            <w:r>
              <w:rPr>
                <w:color w:val="000000"/>
              </w:rPr>
              <w:t> </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2,995</w:t>
            </w:r>
            <w:r>
              <w:rPr>
                <w:color w:val="000000"/>
              </w:rPr>
              <w:t> </w:t>
            </w:r>
          </w:p>
        </w:tc>
        <w:tc>
          <w:tcPr>
            <w:tcW w:w="1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8,524</w:t>
            </w:r>
            <w:r>
              <w:rPr>
                <w:color w:val="000000"/>
              </w:rPr>
              <w:t>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jc w:val="left"/>
        <w:rPr>
          <w:rFonts w:ascii="Arial;sans-serif" w:hAnsi="Arial;sans-serif"/>
          <w:b/>
          <w:i/>
          <w:color w:val="000000"/>
          <w:sz w:val="20"/>
        </w:rPr>
      </w:pPr>
      <w:r>
        <w:rPr>
          <w:rFonts w:ascii="Arial;sans-serif" w:hAnsi="Arial;sans-serif"/>
          <w:b/>
          <w:i/>
          <w:color w:val="000000"/>
          <w:sz w:val="20"/>
        </w:rPr>
        <w:t>Other Intangible Assets</w:t>
      </w:r>
    </w:p>
    <w:p>
      <w:pPr>
        <w:pStyle w:val="TextBody"/>
        <w:bidi w:val="0"/>
        <w:spacing w:lineRule="auto" w:line="288" w:before="180" w:after="180"/>
        <w:jc w:val="left"/>
        <w:rPr>
          <w:rFonts w:ascii="Arial;sans-serif" w:hAnsi="Arial;sans-serif"/>
          <w:b w:val="false"/>
          <w:color w:val="000000"/>
          <w:sz w:val="20"/>
        </w:rPr>
      </w:pPr>
      <w:r>
        <w:rPr>
          <w:rFonts w:ascii="Arial;sans-serif" w:hAnsi="Arial;sans-serif"/>
          <w:b w:val="false"/>
          <w:color w:val="000000"/>
          <w:sz w:val="20"/>
        </w:rPr>
        <w:t>Information regarding our other intangible assets is as follows:</w:t>
      </w:r>
    </w:p>
    <w:tbl>
      <w:tblPr>
        <w:tblW w:w="10205" w:type="dxa"/>
        <w:jc w:val="left"/>
        <w:tblInd w:w="0" w:type="dxa"/>
        <w:tblLayout w:type="fixed"/>
        <w:tblCellMar>
          <w:top w:w="28" w:type="dxa"/>
          <w:left w:w="28" w:type="dxa"/>
          <w:bottom w:w="28" w:type="dxa"/>
          <w:right w:w="28" w:type="dxa"/>
        </w:tblCellMar>
      </w:tblPr>
      <w:tblGrid>
        <w:gridCol w:w="929"/>
        <w:gridCol w:w="743"/>
        <w:gridCol w:w="754"/>
        <w:gridCol w:w="211"/>
        <w:gridCol w:w="646"/>
        <w:gridCol w:w="109"/>
        <w:gridCol w:w="109"/>
        <w:gridCol w:w="109"/>
        <w:gridCol w:w="109"/>
        <w:gridCol w:w="252"/>
        <w:gridCol w:w="773"/>
        <w:gridCol w:w="131"/>
        <w:gridCol w:w="109"/>
        <w:gridCol w:w="109"/>
        <w:gridCol w:w="109"/>
        <w:gridCol w:w="216"/>
        <w:gridCol w:w="662"/>
        <w:gridCol w:w="113"/>
        <w:gridCol w:w="109"/>
        <w:gridCol w:w="109"/>
        <w:gridCol w:w="109"/>
        <w:gridCol w:w="211"/>
        <w:gridCol w:w="646"/>
        <w:gridCol w:w="109"/>
        <w:gridCol w:w="109"/>
        <w:gridCol w:w="109"/>
        <w:gridCol w:w="109"/>
        <w:gridCol w:w="229"/>
        <w:gridCol w:w="704"/>
        <w:gridCol w:w="120"/>
        <w:gridCol w:w="109"/>
        <w:gridCol w:w="109"/>
        <w:gridCol w:w="109"/>
        <w:gridCol w:w="211"/>
        <w:gridCol w:w="646"/>
        <w:gridCol w:w="155"/>
      </w:tblGrid>
      <w:tr>
        <w:trPr/>
        <w:tc>
          <w:tcPr>
            <w:tcW w:w="92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r>
      <w:tr>
        <w:trPr/>
        <w:tc>
          <w:tcPr>
            <w:tcW w:w="2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w:t>
              <w:br/>
              <w:t>Intangibles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Net</w:t>
              <w:br/>
              <w:t>Intangibles</w:t>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 and distributor relationships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2,261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(777)</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1,484</w:t>
            </w:r>
            <w:r>
              <w:rPr>
                <w:color w:val="000000"/>
              </w:rPr>
              <w:t>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Proprietary technology and patents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(217)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231</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Trademarks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Software (a)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(435)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196</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87</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Indefinite-lived intangibles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174</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intangibles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3,853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(1,633)</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2,220</w:t>
            </w:r>
            <w:r>
              <w:rPr>
                <w:color w:val="000000"/>
              </w:rPr>
              <w:t>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(1,486)</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2,272 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180"/>
        <w:ind w:left="0" w:right="0" w:hanging="360"/>
        <w:jc w:val="left"/>
        <w:rPr>
          <w:rFonts w:ascii="Arial;sans-serif" w:hAnsi="Arial;sans-serif"/>
          <w:b w:val="false"/>
          <w:color w:val="000000"/>
          <w:sz w:val="18"/>
        </w:rPr>
      </w:pPr>
      <w:r>
        <w:rPr>
          <w:rFonts w:ascii="Arial;sans-serif" w:hAnsi="Arial;sans-serif"/>
          <w:b w:val="false"/>
          <w:color w:val="000000"/>
          <w:sz w:val="18"/>
        </w:rPr>
        <w:t>(a)Includes capitalized software developed as a product or service offered directly to external customers. As of September 30, 2026 and December 31, 2025, we had net capitalized software used in sales and services to external customers of $160 million and $175 million, respectively.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Amortization expense related to finite-lived intangible assets was $72 million and $222 million for the three and nine-month periods ended September 30, 2026, respectively. Amortization expense related to finite-lived intangible assets was $78 million and $231 million for the three and nine-month periods ended September 30, 2025, respectively.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During the second quarter of 2025, we recognized a $2 million impairment charge for internally developed software within our Measurement and Control Solutions segment and a $2 million impairment charge for software within our Corporate segment.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During the first quarter of 2025, we recognized $1 million and $3 million impairment charges for internally developed software within our Water Infrastructure and Water Solutions and Services segments, respectively.</w:t>
      </w:r>
    </w:p>
    <w:p>
      <w:pPr>
        <w:pStyle w:val="TextBody"/>
        <w:bidi w:val="0"/>
        <w:spacing w:before="120" w:after="120"/>
        <w:jc w:val="left"/>
        <w:rPr/>
      </w:pPr>
      <w:r>
        <w:rPr/>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19"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 xml:space="preserve">Note 10. Derivative Financial Instruments </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Risk Management Objective of Using Derivatives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are exposed to certain risks arising from both our business operations and economic conditions, and we principally manage our exposures to these risks through management of our core business activities. Certain of our foreign operations expose us to fluctuations of foreign interest rates and exchange rates that may impact revenue, expenses, cash receipts, cash payments, and the value of our stockholders' equity. We enter into derivative financial instruments to protect the value or fix the amount of certain cash flows in terms of the functional currency of the business unit with that exposure and also reduce the volatility in stockholders' equity.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 addition, we use interest rate swap agreements designated as fair value hedges to manage exposure to changes in benchmark interest rates associated with certain fixed-rate debt obligations.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Cash Flow Hedges of Foreign Exchange Risk</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are exposed to fluctuations in various foreign currencies against our functional currencies. We use foreign currency derivatives, including currency forward agreements, to manage our exposure to fluctuations in the various exchange rates. Currency forward agreements involve fixing the foreign currency exchange rate for delivery of a specified amount of foreign currency on a specified date.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Certain business units with exposure to foreign currency exchange risks have designated certain currency forward agreements as cash flow hedges of forecasted intercompany inventory purchases and sales. Our principal currency exposures for which we enter into cash flow hedges relate to the Euro, Swedish Krona, British Pound, Canadian Dollar, Polish Zloty, and Australian Dollar. We had foreign exchange contracts with purchased notional amounts totaling $138 million and $759 million as of September 30, 2026 and December 31, 2025, respectively. The most significant foreign currency derivatives are as follows:</w:t>
      </w:r>
    </w:p>
    <w:tbl>
      <w:tblPr>
        <w:tblW w:w="5423" w:type="dxa"/>
        <w:jc w:val="left"/>
        <w:tblInd w:w="0" w:type="dxa"/>
        <w:tblLayout w:type="fixed"/>
        <w:tblCellMar>
          <w:top w:w="28" w:type="dxa"/>
          <w:left w:w="28" w:type="dxa"/>
          <w:bottom w:w="28" w:type="dxa"/>
          <w:right w:w="28" w:type="dxa"/>
        </w:tblCellMar>
      </w:tblPr>
      <w:tblGrid>
        <w:gridCol w:w="424"/>
        <w:gridCol w:w="371"/>
        <w:gridCol w:w="375"/>
        <w:gridCol w:w="394"/>
        <w:gridCol w:w="394"/>
        <w:gridCol w:w="396"/>
        <w:gridCol w:w="109"/>
        <w:gridCol w:w="109"/>
        <w:gridCol w:w="109"/>
        <w:gridCol w:w="324"/>
        <w:gridCol w:w="739"/>
        <w:gridCol w:w="167"/>
        <w:gridCol w:w="109"/>
        <w:gridCol w:w="109"/>
        <w:gridCol w:w="109"/>
        <w:gridCol w:w="295"/>
        <w:gridCol w:w="673"/>
        <w:gridCol w:w="217"/>
      </w:tblGrid>
      <w:tr>
        <w:trPr/>
        <w:tc>
          <w:tcPr>
            <w:tcW w:w="424"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Notional Value</w:t>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Sell Currency</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Buy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w:t>
              <w:br/>
              <w:t>2025</w:t>
            </w:r>
          </w:p>
        </w:tc>
      </w:tr>
      <w:tr>
        <w:trPr/>
        <w:tc>
          <w:tcPr>
            <w:tcW w:w="11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USD</w:t>
            </w:r>
          </w:p>
        </w:tc>
        <w:tc>
          <w:tcPr>
            <w:tcW w:w="11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EUR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58</w:t>
            </w:r>
            <w:r>
              <w:rPr>
                <w:color w:val="000000"/>
              </w:rPr>
              <w:t>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EUR</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w:t>
            </w: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GBP</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EUR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w:t>
            </w: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CAD</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EUR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w:t>
            </w: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CAD</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USD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w:t>
            </w: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EUR</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PLN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AUD</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EUR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138</w:t>
            </w:r>
            <w:r>
              <w:rPr>
                <w:color w:val="000000"/>
              </w:rPr>
              <w:t> </w:t>
            </w:r>
          </w:p>
        </w:tc>
        <w:tc>
          <w:tcPr>
            <w:tcW w:w="1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759 </w:t>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Hedges of Net Investments in Foreign Operations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are exposed to changes in foreign currencies impacting our net investments held in foreign subsidiaries.</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Cross-Currency Swaps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We have foreign currency exposure in the Euro-U.S. Dollar and Chinese Yuan (CNY) -U.S. Dollar exchange rates, due to our net investment in foreign operations. We use cross-currency swaps to partially mitigate the impact of the foreign currency rate changes on the Company’s net investments denominated in such foreign currencies. The Company’s cross-currency swaps are designated as net investment hedges.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total notional amount of derivative instruments designated as net investment hedges was $4,404 million and $3,171 million as of September 30, 2026 and December 31, 2025, respectively.</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Fair Value Hedges of Fixed-Rate Debt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During the quarter ended September 30, 2026, the Company entered into interest rate swap agreements with an aggregate notional amount of $600 million and designated the swaps as fair value hedges of benchmark interest rate risk associated with portions of its fixed-rate senior notes due 2036 and 2046.</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Company uses interest rate swap agreements to manage exposure to changes in the fair value of fixed-rate debt resulting from changes in benchmark interest. Under these arrangements, the Company receives fixed-rate interest payments and makes variable-rate payments based on Secured Overnight Financing Rate ("SOFR").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0"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Company accounts for these interest rate swap agreements as fair value hedges using the shortcut method of accounting under which the hedges are assumed to be perfectly effective.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table below provides information regarding the Company's outstanding interest rate derivatives that were used to hedge changes in fair value attributable to interest rate risk:</w:t>
      </w:r>
    </w:p>
    <w:tbl>
      <w:tblPr>
        <w:tblW w:w="9339" w:type="dxa"/>
        <w:jc w:val="left"/>
        <w:tblInd w:w="0" w:type="dxa"/>
        <w:tblLayout w:type="fixed"/>
        <w:tblCellMar>
          <w:top w:w="28" w:type="dxa"/>
          <w:left w:w="28" w:type="dxa"/>
          <w:bottom w:w="28" w:type="dxa"/>
          <w:right w:w="28" w:type="dxa"/>
        </w:tblCellMar>
      </w:tblPr>
      <w:tblGrid>
        <w:gridCol w:w="1979"/>
        <w:gridCol w:w="1732"/>
        <w:gridCol w:w="1749"/>
        <w:gridCol w:w="109"/>
        <w:gridCol w:w="109"/>
        <w:gridCol w:w="109"/>
        <w:gridCol w:w="430"/>
        <w:gridCol w:w="982"/>
        <w:gridCol w:w="223"/>
        <w:gridCol w:w="109"/>
        <w:gridCol w:w="109"/>
        <w:gridCol w:w="109"/>
        <w:gridCol w:w="434"/>
        <w:gridCol w:w="837"/>
        <w:gridCol w:w="319"/>
      </w:tblGrid>
      <w:tr>
        <w:trPr/>
        <w:tc>
          <w:tcPr>
            <w:tcW w:w="1979"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Carrying amount of hedged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565</w:t>
            </w:r>
            <w:r>
              <w:rPr>
                <w:color w:val="000000"/>
              </w:rPr>
              <w:t>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Cumulative hedging adjustments, included in carrying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table below presents the effect of our derivative financial instruments on the Condensed Consolidated Income Statements and Statements of Comprehensive Income. Items in the table below reflect changes in "Other comprehensive income (loss)" ("OCI/L") within the Statements of Comprehensive Income:</w:t>
      </w:r>
    </w:p>
    <w:tbl>
      <w:tblPr>
        <w:tblW w:w="9637" w:type="dxa"/>
        <w:jc w:val="left"/>
        <w:tblInd w:w="0" w:type="dxa"/>
        <w:tblLayout w:type="fixed"/>
        <w:tblCellMar>
          <w:top w:w="28" w:type="dxa"/>
          <w:left w:w="28" w:type="dxa"/>
          <w:bottom w:w="28" w:type="dxa"/>
          <w:right w:w="28" w:type="dxa"/>
        </w:tblCellMar>
      </w:tblPr>
      <w:tblGrid>
        <w:gridCol w:w="1928"/>
        <w:gridCol w:w="1689"/>
        <w:gridCol w:w="1707"/>
        <w:gridCol w:w="211"/>
        <w:gridCol w:w="436"/>
        <w:gridCol w:w="109"/>
        <w:gridCol w:w="109"/>
        <w:gridCol w:w="109"/>
        <w:gridCol w:w="109"/>
        <w:gridCol w:w="211"/>
        <w:gridCol w:w="376"/>
        <w:gridCol w:w="109"/>
        <w:gridCol w:w="109"/>
        <w:gridCol w:w="109"/>
        <w:gridCol w:w="109"/>
        <w:gridCol w:w="211"/>
        <w:gridCol w:w="436"/>
        <w:gridCol w:w="109"/>
        <w:gridCol w:w="109"/>
        <w:gridCol w:w="109"/>
        <w:gridCol w:w="109"/>
        <w:gridCol w:w="211"/>
        <w:gridCol w:w="541"/>
        <w:gridCol w:w="109"/>
        <w:gridCol w:w="109"/>
        <w:gridCol w:w="154"/>
      </w:tblGrid>
      <w:tr>
        <w:trPr/>
        <w:tc>
          <w:tcPr>
            <w:tcW w:w="1928"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Derivatives in Cash Flow Hedges </w:t>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Foreign Exchange Contracts</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 of (loss)/gain recognized in OCI/L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 of loss/(gain) reclassified from OCI/L into Revenue</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 of gain reclassified from OCI/L into Cost of revenue</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Derivatives in Net Investment Hedges</w:t>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Cross-Currency Swaps</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 of (loss)/gain recognized in OCI/L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 of income recognized in Interest expense</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As of September 30, 2026, $8 million of net gain on cash flow hedges are expected to be reclassified into earnings in the next 12 months.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As of September 30, 2026, no gains or losses on the net investment hedges are expected to be reclassified into earnings over their duration.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fair values of our derivative assets and liabilities are measured on a recurring basis using Level 2 inputs and     are determined through the use of models that consider various assumptions including yield curves, time value and other measurements.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1"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fair values of our derivative contracts currently included in our hedging program were as follows:</w:t>
      </w:r>
    </w:p>
    <w:tbl>
      <w:tblPr>
        <w:tblW w:w="8037" w:type="dxa"/>
        <w:jc w:val="left"/>
        <w:tblInd w:w="0" w:type="dxa"/>
        <w:tblLayout w:type="fixed"/>
        <w:tblCellMar>
          <w:top w:w="28" w:type="dxa"/>
          <w:left w:w="28" w:type="dxa"/>
          <w:bottom w:w="28" w:type="dxa"/>
          <w:right w:w="28" w:type="dxa"/>
        </w:tblCellMar>
      </w:tblPr>
      <w:tblGrid>
        <w:gridCol w:w="1621"/>
        <w:gridCol w:w="1421"/>
        <w:gridCol w:w="1443"/>
        <w:gridCol w:w="430"/>
        <w:gridCol w:w="982"/>
        <w:gridCol w:w="223"/>
        <w:gridCol w:w="109"/>
        <w:gridCol w:w="109"/>
        <w:gridCol w:w="109"/>
        <w:gridCol w:w="387"/>
        <w:gridCol w:w="918"/>
        <w:gridCol w:w="285"/>
      </w:tblGrid>
      <w:tr>
        <w:trPr/>
        <w:tc>
          <w:tcPr>
            <w:tcW w:w="1621"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Derivatives designated as hedging instruments</w:t>
            </w:r>
          </w:p>
        </w:tc>
        <w:tc>
          <w:tcPr>
            <w:tcW w:w="16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Cash Flow Hedges</w:t>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and other current assets</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Net Investment Hedges</w:t>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Fair Value Hedges</w:t>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net</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w:t>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Cash Flow Hedges</w:t>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and other current liabilities</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Net Investment Hedges</w:t>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accrued liabilities</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(261)</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Fair Value Hedges</w:t>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accrued liabilities</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2"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11. Current Liabilities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components of total Accrued and other current liabilities are as follows:</w:t>
      </w:r>
    </w:p>
    <w:tbl>
      <w:tblPr>
        <w:tblW w:w="7436" w:type="dxa"/>
        <w:jc w:val="left"/>
        <w:tblInd w:w="0" w:type="dxa"/>
        <w:tblLayout w:type="fixed"/>
        <w:tblCellMar>
          <w:top w:w="28" w:type="dxa"/>
          <w:left w:w="28" w:type="dxa"/>
          <w:bottom w:w="28" w:type="dxa"/>
          <w:right w:w="28" w:type="dxa"/>
        </w:tblCellMar>
      </w:tblPr>
      <w:tblGrid>
        <w:gridCol w:w="1405"/>
        <w:gridCol w:w="1230"/>
        <w:gridCol w:w="1249"/>
        <w:gridCol w:w="357"/>
        <w:gridCol w:w="1094"/>
        <w:gridCol w:w="184"/>
        <w:gridCol w:w="109"/>
        <w:gridCol w:w="109"/>
        <w:gridCol w:w="109"/>
        <w:gridCol w:w="332"/>
        <w:gridCol w:w="1016"/>
        <w:gridCol w:w="242"/>
      </w:tblGrid>
      <w:tr>
        <w:trPr/>
        <w:tc>
          <w:tcPr>
            <w:tcW w:w="1405"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 and other employee-benefits</w:t>
            </w:r>
          </w:p>
        </w:tc>
        <w:tc>
          <w:tcPr>
            <w:tcW w:w="3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303</w:t>
            </w:r>
            <w:r>
              <w:rPr>
                <w:color w:val="000000"/>
              </w:rPr>
              <w:t>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371 </w:t>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Customer-related liabilities</w:t>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400</w:t>
            </w: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taxes</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227</w:t>
            </w: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 liabilities</w:t>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131</w:t>
            </w: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warranty costs</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w:t>
            </w: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commissions</w:t>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w:t>
            </w: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restructuring liabilities</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w:t>
            </w: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accrued liabilities</w:t>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88</w:t>
            </w: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accrued and other current liabilities</w:t>
            </w:r>
          </w:p>
        </w:tc>
        <w:tc>
          <w:tcPr>
            <w:tcW w:w="3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1,257</w:t>
            </w:r>
            <w:r>
              <w:rPr>
                <w:color w:val="000000"/>
              </w:rPr>
              <w:t> </w:t>
            </w:r>
          </w:p>
        </w:tc>
        <w:tc>
          <w:tcPr>
            <w:tcW w:w="1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1,237 </w:t>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Company facilitates the opportunity for suppliers to participate in voluntary supply chain financing programs with third-party financial institutions. Xylem agrees on commercial terms, including payment terms, with suppliers regardless of program participation. The Company does not determine the terms or conditions of the arrangement between suppliers and the third-party financial institutions. Participating suppliers are paid directly by the third-party financial institution. Xylem pays the third-party financial institution the stated amount of confirmed invoices from its designated suppliers at the original invoice amount on the original maturity dates of the invoices, ranging from 45-180 days. Xylem does not pay fees related to these programs. Xylem or the third-party financial institutions may terminate the agreements upon at least 30 days notice. The total outstanding balance presented within "Accounts payable" on our Condensed Consolidated Balance Sheets under these programs is $250 million and $244 million as of September 30, 2026 and December 31, 2025, respectively.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table below provides changes in the confirmed obligations outstanding related to our supplier financing programs over the nine months ended September 30, 2026:</w:t>
      </w:r>
    </w:p>
    <w:tbl>
      <w:tblPr>
        <w:tblW w:w="5454" w:type="dxa"/>
        <w:jc w:val="left"/>
        <w:tblInd w:w="0" w:type="dxa"/>
        <w:tblLayout w:type="fixed"/>
        <w:tblCellMar>
          <w:top w:w="28" w:type="dxa"/>
          <w:left w:w="28" w:type="dxa"/>
          <w:bottom w:w="28" w:type="dxa"/>
          <w:right w:w="28" w:type="dxa"/>
        </w:tblCellMar>
      </w:tblPr>
      <w:tblGrid>
        <w:gridCol w:w="1626"/>
        <w:gridCol w:w="1426"/>
        <w:gridCol w:w="1447"/>
        <w:gridCol w:w="211"/>
        <w:gridCol w:w="481"/>
        <w:gridCol w:w="109"/>
        <w:gridCol w:w="154"/>
      </w:tblGrid>
      <w:tr>
        <w:trPr/>
        <w:tc>
          <w:tcPr>
            <w:tcW w:w="162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0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Confirmed obligations outstanding – January 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20"/>
              </w:rPr>
              <w:t>244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Invoices confirmed</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Confirmed invoices paid</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Foreign currency and other</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Confirmed obligations outstanding – September 30</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before="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3"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 xml:space="preserve">Note 12. Credit Facilities and Debt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Total debt outstanding is summarized as follows:</w:t>
      </w:r>
    </w:p>
    <w:tbl>
      <w:tblPr>
        <w:tblW w:w="9566" w:type="dxa"/>
        <w:jc w:val="left"/>
        <w:tblInd w:w="0" w:type="dxa"/>
        <w:tblLayout w:type="fixed"/>
        <w:tblCellMar>
          <w:top w:w="28" w:type="dxa"/>
          <w:left w:w="28" w:type="dxa"/>
          <w:bottom w:w="28" w:type="dxa"/>
          <w:right w:w="28" w:type="dxa"/>
        </w:tblCellMar>
      </w:tblPr>
      <w:tblGrid>
        <w:gridCol w:w="2180"/>
        <w:gridCol w:w="1907"/>
        <w:gridCol w:w="1927"/>
        <w:gridCol w:w="357"/>
        <w:gridCol w:w="1094"/>
        <w:gridCol w:w="184"/>
        <w:gridCol w:w="109"/>
        <w:gridCol w:w="109"/>
        <w:gridCol w:w="109"/>
        <w:gridCol w:w="332"/>
        <w:gridCol w:w="1016"/>
        <w:gridCol w:w="242"/>
      </w:tblGrid>
      <w:tr>
        <w:trPr/>
        <w:tc>
          <w:tcPr>
            <w:tcW w:w="2180"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3.250% Senior Notes due 2026 (a)</w:t>
            </w:r>
          </w:p>
        </w:tc>
        <w:tc>
          <w:tcPr>
            <w:tcW w:w="3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500</w:t>
            </w:r>
            <w:r>
              <w:rPr>
                <w:color w:val="000000"/>
              </w:rPr>
              <w:t>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1.950% Senior Notes due 2028 (a)</w:t>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500</w:t>
            </w: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2.250% Senior Notes due 2031 (a)</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500</w:t>
            </w: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5.200% Senior Notes due 2033 (a)</w:t>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500</w:t>
            </w: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5.450% Senior Notes due 2036 (a)</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500</w:t>
            </w: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4.375% Senior Notes due 2046 (a)</w:t>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400</w:t>
            </w: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Equipment Financing due 2026 to 2032</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w:t>
            </w: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w:t>
            </w: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issuance costs and unamortized discount (b)</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hedge basis adjustments</w:t>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debt</w:t>
            </w:r>
          </w:p>
        </w:tc>
        <w:tc>
          <w:tcPr>
            <w:tcW w:w="3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2,895</w:t>
            </w:r>
            <w:r>
              <w:rPr>
                <w:color w:val="000000"/>
              </w:rPr>
              <w:t>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1,942 </w:t>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short-term borrowings and current maturities of long-term debt</w:t>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530</w:t>
            </w: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long-term debt</w:t>
            </w:r>
          </w:p>
        </w:tc>
        <w:tc>
          <w:tcPr>
            <w:tcW w:w="3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2,365</w:t>
            </w:r>
            <w:r>
              <w:rPr>
                <w:color w:val="000000"/>
              </w:rPr>
              <w:t> </w:t>
            </w:r>
          </w:p>
        </w:tc>
        <w:tc>
          <w:tcPr>
            <w:tcW w:w="1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1,408 </w:t>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Arial;sans-serif" w:hAnsi="Arial;sans-serif"/>
          <w:b w:val="false"/>
          <w:color w:val="000000"/>
          <w:sz w:val="18"/>
        </w:rPr>
      </w:pPr>
      <w:r>
        <w:rPr>
          <w:rFonts w:ascii="Arial;sans-serif" w:hAnsi="Arial;sans-serif"/>
          <w:b w:val="false"/>
          <w:color w:val="000000"/>
          <w:sz w:val="18"/>
        </w:rPr>
        <w:t>(a)The fair value of our Senior Notes was determined using quoted prices in active markets for identical securities, which are considered Level 1 inputs. The fair value of our Senior Notes due 2026 was $499 million and $497 million as of September 30, 2026 and December 31, 2025, respectively. The fair value of our Senior Notes due 2028 was $480 million and $480 million as of September 30, 2026 and December 31, 2025, respectively. The fair value of our Senior Notes due 2031 was $438 million and $454 million as of September 30, 2026 and December 31, 2025 respectively. The fair value of our Senior Notes due 2033 was $484 million as of September 30, 2026. The fair value of our Senior Notes due 2036 was $483 million as of September 30, 2026. The fair value of our Senior Notes due 2046 was $314 million and $340 million as of September 30, 2026 and December 31, 2025, respectively.</w:t>
      </w:r>
    </w:p>
    <w:p>
      <w:pPr>
        <w:pStyle w:val="TextBody"/>
        <w:bidi w:val="0"/>
        <w:spacing w:lineRule="auto" w:line="288" w:before="120" w:after="120"/>
        <w:ind w:left="0" w:right="0" w:hanging="360"/>
        <w:jc w:val="left"/>
        <w:rPr>
          <w:rFonts w:ascii="Arial;sans-serif" w:hAnsi="Arial;sans-serif"/>
          <w:b w:val="false"/>
          <w:color w:val="000000"/>
          <w:sz w:val="18"/>
        </w:rPr>
      </w:pPr>
      <w:r>
        <w:rPr>
          <w:rFonts w:ascii="Arial;sans-serif" w:hAnsi="Arial;sans-serif"/>
          <w:b w:val="false"/>
          <w:color w:val="000000"/>
          <w:sz w:val="18"/>
        </w:rPr>
        <w:t>(b)The debt issuance costs and unamortized discount are recognized as a reduction in the carrying value of the Senior Notes in the Condensed Consolidated Balance Sheets and is being amortized to interest expense in our Condensed Consolidated Income Statements over the expected remaining terms of the Senior Notes.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Senior Notes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 the fourth quarter of 2026, we issued $500 million aggregate principal amount of 5.250% Senior Notes due September 2029 (the “Senior Notes due 2029”), $500 million aggregate principal amount of 5.450% Senior Notes due January 2032 (the “Senior Notes due 2032”) and $500 million aggregate principal amount of 5.850% Senior Notes due January 2037 (the “Senior Notes due 2037” and, together with the Senior Notes due 2029 and the Senior Notes due 2032, the “September 2026 Notes”). The September 2026 Notes are unsecured and unsubordinated obligations of the Company and rank equally in right of payment with all of our other unsecured and unsubordinated indebtedness. The September 2026 Notes are not guaranteed by any of our subsidiaries.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September 2026 Notes include covenants that restrict our ability, and the ability of our restricted subsidiaries, to incur debt secured by liens on certain property above a threshold, to engage in certain sale and leaseback transactions involving certain property above a threshold, and to consolidate or merge, or convey or transfer all or substantially all of our assets. We may redeem the September 2026 Notes, as applicable, in whole or in part, at any time at a redemption price equal to the principal amount of the Notes to be redeemed, plus a make-whole premium. We may also redeem the September 2026 Notes in certain other circumstances, as set forth in the applicable September 2026 Notes indenture.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If a change of control triggering event (as defined in the indenture) occurs, the Company is required to offer to repurchase the September 2026 Notes at a price equal to 101% of their principal amount plus accrued and unpaid interest. The indenture also contains customary provisions regarding events of default, defeasance, and amendment, including the ability to modify certain terms with the consent of holders of a majority in principal amount of the outstanding September 2026 Notes.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September 2026 Notes are also subject to a special mandatory redemption. If (i) the Company does not complete the acquisition of the Cornell Pump and Roper Pump businesses described in Note 3, “Acquisitions and Divestitures,” on or before August 10, 2027 (or such later date to which the termination date under the definitive agreement for the acquisition may be extended in accordance with its terms), (ii) the definitive agreement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4"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terminated on or before that date, or (iii) the Company notifies the trustee in writing that it will not pursue completion of the acquisition, the Company will be required to redeem all of the September 2026 Notes of each series at a redemption price equal to 101% of their principal amount, plus accrued and unpaid interest to the redemption date.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Interest on the Senior 2029 Notes is payable on March 28 and September 28 of each year, commencing on March 28, 2027. Interest on the Senior 2032 Notes and the Senior 2037 Notes is payable on January 15 and July 15 of each year, commencing on January 15, 2027.</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On May 29, 2026, we issued $500 million aggregate principal amount of 5.200% Senior Notes due June 2033 (the “Senior Notes due 2033”) and $500 million aggregate principal amount of 5.450% Senior Notes due June 2036 (the “Blue Notes due 2036” and, together with the Senior Notes due 2033, the “May 2026 Notes”). The May 2026 Notes are unsecured and unsubordinated obligations of the Company and rank equally in right of payment with all of our other unsecured and unsubordinated indebtedness. The May 2026 Notes are not guaranteed by any of our subsidiaries.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May 2026 Notes include covenants that restrict our ability, and the ability of our restricted subsidiaries, to incur debt secured by liens on certain property above a threshold, to engage in certain sale and leaseback transactions involving certain property above a threshold, and to consolidate or merge, or convey or transfer all or substantially all of our assets. We may redeem the May 2026 Notes, as applicable, in whole or in part, at any time at a redemption price equal to the principal amount of the May 2026 Notes to be redeemed, plus a make-whole premium. We may also redeem the May 2026 Notes in certain other circumstances, as set forth in the applicable May 2026 Notes Indenture.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If a change of control triggering event (as defined in the applicable Senior Notes indenture) occurs, the Company is required to repurchase the May 2026 Notes at a price equal to 101% of their principal amount plus accrued and unpaid interest. The indenture also contains customary provisions regarding events of default, defeasance, and amendment, including the ability to modify certain terms with the consent of holders of a majority in principal amount of the outstanding May 2026 Notes.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Interest on the May 2026 Notes is payable on June 1 and December 1 of each year. As of September 30, 2026, we are in compliance with all covenants for the May 2026 Notes.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On June 26, 2020, we issued 1.950% Senior Notes of $500 million aggregate principal amount due January 2028 (the “Senior Notes due 2028”) and 2.250% Senior Notes of $500 million aggregate principal amount due January 2031 (the “Senior Notes due 2031” and, together with the Senior Notes due 2028, the “Green Bond”).</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Green Bond includes covenants that restrict our ability, and the ability of our restricted subsidiaries, to incur debt secured by liens on certain property above a threshold, to engage in certain sale and leaseback transactions involving certain property above a threshold, and to consolidate or merge, or convey or transfer all or substantially all of our assets. We may redeem the Green Bond at any time, at our option, subject to certain conditions, at specified redemption prices, plus accrued and unpaid interest to the redemption date.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If a change of control triggering event (as defined in the applicable Green Bond indenture) occurs, we will be required to make an offer to purchase the Green Bond notes at a price equal to 101% of their principal amount plus accrued and unpaid interest to the date of repurchase.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Interest on the Green Bond is payable on January 30 and July 30 of each year. As of September 30, 2026, we are in compliance with all covenants for the Green Bond.</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On October 11, 2016, we issued 3.250% Senior Notes of $500 million aggregate principal amount due November 2026 (the "Senior Notes due 2026") and 4.375% Senior Notes of $400 million aggregate principal amount due November 2046 (the "Senior Notes due 2046" and, together with the Senior Notes due 2026, the "October 2016 Notes").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October 2016 Notes include covenants that restrict our ability, and the ability of our restricted subsidiaries, to incur debt secured by liens on certain property above a threshold, to engage in certain sale and leaseback transactions involving certain property above a threshold, and to consolidate or merge, or convey or transfer all or substantially all of our assets. We may redeem the October 2016 Notes, as applicable, in whole or in part, at any time at a redemption price equal to the principal amount of our October 2016 Notes to be redeemed, plus a make-whole premium. We may also redeem the October 2016 Notes in certain other circumstances, as set forth in the applicable October 2016 Notes indenture.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If a change of control triggering event (as defined in the applicable Senior Notes indenture) occurs, we will be required to make an offer to purchase the October 2016 Notes at a price equal to 101% of their principal amount plus accrued and unpaid interest to the date of repurchase.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5"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Interest on the October 2016 Notes due 2026 and the Senior Notes due 2046 is payable on May 1 and November 1 of each year. As of September 30, 2026, we are in compliance with all covenants for the October 2016 Notes.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Credit Facilities</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2023 Five-Year Revolving Credit Facility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On March 1, 2023, Xylem entered into a five-year revolving credit facility (the "2023 Credit Facility") with Citibank, N.A., as Administrative Agent, and a syndicate of lenders. The 2023 Credit Facility provided for an aggregate principal amount of up to $1 billion (available in U.S. Dollars and in Euros), with increases of up to $300 million for a maximum aggregate principal amount of $1.3 billion at the request of Xylem and with the consent of the institutions providing such increased commitments. On September 8, 2026, Xylem terminated the 2023 Credit Facility among the Company, certain lenders and Citibank, N.A. as Administrative Agent as a result of signing the 2026 Five-Year Revolving Credit Facility.</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2026 Five-Year Revolving Credit Facility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On September 8, 2026 Xylem entered into a five-year revolving credit facility (the "2026 Credit Facility") with Citibank, N.A., as Administrative Agent, and a syndicate of lenders. The 2026 Credit Facility provides for an aggregate principal amount of up to $1.5 billion (available in U.S. Dollars and in Euros), with increases of up to $500 million for a maximum aggregate principal amount of $2.0 billion at the request of Xylem and with the consent of the institutions providing such increased commitments.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Interest on all loans under the 2026 Credit Facility is payable either quarterly or at the expiration of any Term SOFR or EURIBOR interest period applicable thereto. Borrowings accrue interest at a rate equal to, at Xylem's election, a base rate or an adjusted Term SOFR or EURIBOR rate plus an applicable margin. The 2026 Credit Facility includes customary provisions for implementation of replacement rates for Term SOFR-based and EURIBOR-based loans. The 2026 Credit Facility also includes a pricing grid that determines the applicable margin based on Xylem's credit rating, with a further adjustment based on Xylem's achievement of certain Environmental, Social and Governance ("ESG") key performance indicators. Xylem will also pay quarterly fees to each lender for such lender's commitment to lend accruing on such commitment at a rate based on Xylem's credit rating, whether such commitment is used or unused, as well as a quarterly letter of credit fee accruing on the letter of credit exposure of such lender during the preceding quarter at a rate based on the credit rating of Xylem with a further adjustment based on Xylem's achievement of certain ESG key performance indicators.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2026 Credit Facility requires that Xylem maintain a consolidated total debt to consolidated EBITDA ratio (or maximum leverage ratio), which will be based on the last four fiscal quarters. In accordance with the terms of the agreement to the 2026 Credit Facility, Xylem may not exceed a maximum leverage ratio of 4.00 to 1.00 for a period of four consecutive fiscal quarters beginning with the fiscal quarter during which a material acquisition is consummated and a maximum leverage ratio of 3.50 to 1.00 thereafter for a minimum of four fiscal quarters before another material acquisition is consummated. In addition, the 2026 Credit Facility contains a number of customary covenants, including limitations on the incurrence of secured debt and debt of subsidiaries, liens, sale and lease-back transactions, mergers, consolidations, liquidations, dissolutions and sales of assets. The 2026 Credit Facility also contains customary events of default. Finally, Xylem has the ability to designate subsidiaries that can borrow under the 2026 Credit Facility, subject to certain requirements and conditions set forth in the 2026 Credit Facility. As of September 30, 2026, the 2026 Credit Facility was undrawn, and we are in compliance with all revolver covenants. The 2026 Credit Facility has availability of $1.5 billion, comprised of the $1.5 billion aggregate principal as of September 30, 2026.</w:t>
      </w:r>
    </w:p>
    <w:p>
      <w:pPr>
        <w:pStyle w:val="TextBody"/>
        <w:bidi w:val="0"/>
        <w:spacing w:before="120" w:after="120"/>
        <w:jc w:val="left"/>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6"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As of September 30, 2026, the future maturities of our debt were as follows:</w:t>
      </w:r>
    </w:p>
    <w:tbl>
      <w:tblPr>
        <w:tblW w:w="5855" w:type="dxa"/>
        <w:jc w:val="left"/>
        <w:tblInd w:w="0" w:type="dxa"/>
        <w:tblLayout w:type="fixed"/>
        <w:tblCellMar>
          <w:top w:w="28" w:type="dxa"/>
          <w:left w:w="28" w:type="dxa"/>
          <w:bottom w:w="28" w:type="dxa"/>
          <w:right w:w="28" w:type="dxa"/>
        </w:tblCellMar>
      </w:tblPr>
      <w:tblGrid>
        <w:gridCol w:w="1754"/>
        <w:gridCol w:w="1536"/>
        <w:gridCol w:w="1554"/>
        <w:gridCol w:w="211"/>
        <w:gridCol w:w="646"/>
        <w:gridCol w:w="154"/>
      </w:tblGrid>
      <w:tr>
        <w:trPr/>
        <w:tc>
          <w:tcPr>
            <w:tcW w:w="1754"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Maturity</w:t>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From September 30, 2026 through December 31,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2030</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Future Maturities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issuance costs and unamortized discount (a)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hedge basis adjustments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Arial;sans-serif" w:hAnsi="Arial;sans-serif"/>
          <w:b w:val="false"/>
          <w:color w:val="000000"/>
          <w:sz w:val="18"/>
        </w:rPr>
      </w:pPr>
      <w:r>
        <w:rPr>
          <w:rFonts w:ascii="Arial;sans-serif" w:hAnsi="Arial;sans-serif"/>
          <w:b w:val="false"/>
          <w:color w:val="000000"/>
          <w:sz w:val="18"/>
        </w:rPr>
        <w:t>(a)The debt issuance costs and unamortized discount is recognized as a reduction in the carrying value of the Senior Notes in the Consolidated Balance Sheets and is being amortized to interest expense in our Consolidated Income Statements over the expected remaining terms of the Senior Notes.</w:t>
      </w:r>
    </w:p>
    <w:p>
      <w:pPr>
        <w:pStyle w:val="TextBody"/>
        <w:bidi w:val="0"/>
        <w:spacing w:lineRule="auto" w:line="288" w:before="100" w:after="100"/>
        <w:jc w:val="left"/>
        <w:rPr>
          <w:rFonts w:ascii="Arial;sans-serif" w:hAnsi="Arial;sans-serif"/>
          <w:b/>
          <w:i/>
          <w:color w:val="000000"/>
          <w:sz w:val="20"/>
        </w:rPr>
      </w:pPr>
      <w:r>
        <w:rPr>
          <w:rFonts w:ascii="Arial;sans-serif" w:hAnsi="Arial;sans-serif"/>
          <w:b/>
          <w:i/>
          <w:color w:val="000000"/>
          <w:sz w:val="20"/>
        </w:rPr>
        <w:t>Commercial Paper</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U.S. Dollar Commercial Paper Program</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U.S. Dollar commercial paper program generally serves as a means of short-term funding with a $600 million maximum issuing balance and a combined limit of $1.5 billion inclusive of the 2026 Credit Facility. As of September 30, 2026 and December 31, 2025, none of the Company's $600 million U.S. Dollar commercial paper program was outstanding, respectively.</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Euro Commercial Paper Program</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On June 3, 2019, Xylem entered into a Euro commercial paper program with ING Bank N.V., as administrative agent, and a syndicate of dealers. The Euro commercial paper program provides for a maximum issuing balance of up to €500 million (approximately $569 million) which may be denominated in a variety of currencies. The maximum issuing balance may be increased in accordance with the Dealer Agreement. As of September 30, 2026 and December 31, 2025, none of the Company's Euro commercial paper program was outstanding. We have the ability to continue borrowing under this program going forward in future periods.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7"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13. Post-retirement Benefit Plans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components of net periodic benefit cost for our defined benefit pension plans are as follows:</w:t>
      </w:r>
    </w:p>
    <w:tbl>
      <w:tblPr>
        <w:tblW w:w="8230" w:type="dxa"/>
        <w:jc w:val="left"/>
        <w:tblInd w:w="0" w:type="dxa"/>
        <w:tblLayout w:type="fixed"/>
        <w:tblCellMar>
          <w:top w:w="28" w:type="dxa"/>
          <w:left w:w="28" w:type="dxa"/>
          <w:bottom w:w="28" w:type="dxa"/>
          <w:right w:w="28" w:type="dxa"/>
        </w:tblCellMar>
      </w:tblPr>
      <w:tblGrid>
        <w:gridCol w:w="1506"/>
        <w:gridCol w:w="1321"/>
        <w:gridCol w:w="1342"/>
        <w:gridCol w:w="225"/>
        <w:gridCol w:w="433"/>
        <w:gridCol w:w="116"/>
        <w:gridCol w:w="116"/>
        <w:gridCol w:w="116"/>
        <w:gridCol w:w="116"/>
        <w:gridCol w:w="225"/>
        <w:gridCol w:w="289"/>
        <w:gridCol w:w="116"/>
        <w:gridCol w:w="109"/>
        <w:gridCol w:w="109"/>
        <w:gridCol w:w="109"/>
        <w:gridCol w:w="211"/>
        <w:gridCol w:w="376"/>
        <w:gridCol w:w="109"/>
        <w:gridCol w:w="109"/>
        <w:gridCol w:w="109"/>
        <w:gridCol w:w="109"/>
        <w:gridCol w:w="211"/>
        <w:gridCol w:w="376"/>
        <w:gridCol w:w="109"/>
        <w:gridCol w:w="109"/>
        <w:gridCol w:w="154"/>
      </w:tblGrid>
      <w:tr>
        <w:trPr/>
        <w:tc>
          <w:tcPr>
            <w:tcW w:w="150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7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Domestic defined benefit pension plans:</w:t>
            </w:r>
          </w:p>
        </w:tc>
        <w:tc>
          <w:tcPr>
            <w:tcW w:w="7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w:t>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return on plan assets</w:t>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net actuarial loss</w:t>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benefit cost</w:t>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International defined benefit pension plans:</w:t>
            </w:r>
          </w:p>
        </w:tc>
        <w:tc>
          <w:tcPr>
            <w:tcW w:w="7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w:t>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return on plan assets</w:t>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net actuarial gain</w:t>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benefit cost</w:t>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net periodic benefit cost</w:t>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components of net periodic benefit cost, other than the service cost component, are included in the line item Other non-operating income, net in the Condensed Consolidated Income Statements.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total net periodic benefit cost for other post-retirement employee benefit plans was $1 million and $2 million for the three and nine months ended September 30, 2026, respectively, and $1 million for both the three and nine months ended September 30, 2025. The cost includes net credits recognized into "Other comprehensive income (loss)" of less than $1 million, for each of the three and nine months ended September 30, 2026 and 2025, respectively.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contributed $20 million and $18 million to our defined benefit plans for the nine months ended September 30, 2026 and 2025, respectively. Additional contributions ranging between approximately $3 million and $7 million are expected to be made during the remainder of 2026.</w:t>
      </w:r>
    </w:p>
    <w:p>
      <w:pPr>
        <w:pStyle w:val="TextBody"/>
        <w:bidi w:val="0"/>
        <w:spacing w:before="0" w:after="0"/>
        <w:jc w:val="left"/>
        <w:rPr/>
      </w:pPr>
      <w:r>
        <w:rPr/>
      </w:r>
    </w:p>
    <w:p>
      <w:pPr>
        <w:pStyle w:val="TextBody"/>
        <w:bidi w:val="0"/>
        <w:spacing w:before="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28"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14. Equity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shows the changes in stockholders' equity for the nine months ended September 30, 2026:</w:t>
      </w:r>
    </w:p>
    <w:tbl>
      <w:tblPr>
        <w:tblW w:w="11215" w:type="dxa"/>
        <w:jc w:val="left"/>
        <w:tblInd w:w="0" w:type="dxa"/>
        <w:tblLayout w:type="fixed"/>
        <w:tblCellMar>
          <w:top w:w="28" w:type="dxa"/>
          <w:left w:w="28" w:type="dxa"/>
          <w:bottom w:w="28" w:type="dxa"/>
          <w:right w:w="28" w:type="dxa"/>
        </w:tblCellMar>
      </w:tblPr>
      <w:tblGrid>
        <w:gridCol w:w="914"/>
        <w:gridCol w:w="263"/>
        <w:gridCol w:w="264"/>
        <w:gridCol w:w="316"/>
        <w:gridCol w:w="406"/>
        <w:gridCol w:w="164"/>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387"/>
        <w:gridCol w:w="883"/>
        <w:gridCol w:w="201"/>
        <w:gridCol w:w="109"/>
        <w:gridCol w:w="109"/>
        <w:gridCol w:w="109"/>
        <w:gridCol w:w="514"/>
        <w:gridCol w:w="660"/>
        <w:gridCol w:w="267"/>
        <w:gridCol w:w="109"/>
        <w:gridCol w:w="109"/>
        <w:gridCol w:w="109"/>
        <w:gridCol w:w="211"/>
        <w:gridCol w:w="751"/>
        <w:gridCol w:w="154"/>
      </w:tblGrid>
      <w:tr>
        <w:trPr/>
        <w:tc>
          <w:tcPr>
            <w:tcW w:w="91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Capital in Excess of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Non-Controlling Interest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January 1, 2026</w:t>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8,759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3,706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(768)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(220)</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w:t>
            </w:r>
            <w:r>
              <w:rPr>
                <w:color w:val="000000"/>
              </w:rPr>
              <w:t> </w:t>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11,491</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Xylem</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 net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Dividends declared ($0.43 per share)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incentive plan activity</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Distribution to minority shareholders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of common stock</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2026</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8,772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3,794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(1,368)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(229)</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w:t>
            </w:r>
            <w:r>
              <w:rPr>
                <w:color w:val="000000"/>
              </w:rPr>
              <w:t> </w:t>
            </w:r>
          </w:p>
        </w:tc>
        <w:tc>
          <w:tcPr>
            <w:tcW w:w="2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10,980</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Xylem</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 income, net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Divestiture of non-controlling interest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Dividends declared ($0.43 per share)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non-controlling interests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incentive plan activity</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of common stock</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June 30, 2026</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8,787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3,956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(2,023)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(302)</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2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10,424</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Xylem</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 net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Dividends declared ($0.43 per share)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incentive plan activity</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of common stock</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September 30, 2026</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8,801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4,147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(2,375)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(307)</w:t>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2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10,272</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29"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shows the changes in stockholders' equity for the nine months ended September 30, 2025:</w:t>
      </w:r>
    </w:p>
    <w:tbl>
      <w:tblPr>
        <w:tblW w:w="11165" w:type="dxa"/>
        <w:jc w:val="left"/>
        <w:tblInd w:w="0" w:type="dxa"/>
        <w:tblLayout w:type="fixed"/>
        <w:tblCellMar>
          <w:top w:w="28" w:type="dxa"/>
          <w:left w:w="28" w:type="dxa"/>
          <w:bottom w:w="28" w:type="dxa"/>
          <w:right w:w="28" w:type="dxa"/>
        </w:tblCellMar>
      </w:tblPr>
      <w:tblGrid>
        <w:gridCol w:w="944"/>
        <w:gridCol w:w="263"/>
        <w:gridCol w:w="264"/>
        <w:gridCol w:w="316"/>
        <w:gridCol w:w="406"/>
        <w:gridCol w:w="164"/>
        <w:gridCol w:w="109"/>
        <w:gridCol w:w="109"/>
        <w:gridCol w:w="109"/>
        <w:gridCol w:w="211"/>
        <w:gridCol w:w="646"/>
        <w:gridCol w:w="109"/>
        <w:gridCol w:w="109"/>
        <w:gridCol w:w="109"/>
        <w:gridCol w:w="109"/>
        <w:gridCol w:w="211"/>
        <w:gridCol w:w="646"/>
        <w:gridCol w:w="109"/>
        <w:gridCol w:w="109"/>
        <w:gridCol w:w="109"/>
        <w:gridCol w:w="109"/>
        <w:gridCol w:w="233"/>
        <w:gridCol w:w="532"/>
        <w:gridCol w:w="121"/>
        <w:gridCol w:w="109"/>
        <w:gridCol w:w="109"/>
        <w:gridCol w:w="109"/>
        <w:gridCol w:w="387"/>
        <w:gridCol w:w="883"/>
        <w:gridCol w:w="201"/>
        <w:gridCol w:w="109"/>
        <w:gridCol w:w="109"/>
        <w:gridCol w:w="109"/>
        <w:gridCol w:w="436"/>
        <w:gridCol w:w="778"/>
        <w:gridCol w:w="227"/>
        <w:gridCol w:w="109"/>
        <w:gridCol w:w="109"/>
        <w:gridCol w:w="109"/>
        <w:gridCol w:w="211"/>
        <w:gridCol w:w="751"/>
        <w:gridCol w:w="154"/>
      </w:tblGrid>
      <w:tr>
        <w:trPr/>
        <w:tc>
          <w:tcPr>
            <w:tcW w:w="94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Arial;sans-serif" w:hAnsi="Arial;sans-serif"/>
                <w:b/>
                <w:sz w:val="18"/>
              </w:rPr>
              <w:br/>
            </w:r>
            <w:r>
              <w:rPr>
                <w:rFonts w:ascii="Arial;sans-serif" w:hAnsi="Arial;sans-serif"/>
                <w:b/>
                <w:color w:val="000000"/>
                <w:sz w:val="18"/>
              </w:rPr>
              <w:t>Capital in Excess of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Other</w:t>
              <w:br/>
              <w:t>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January 1, 2025</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(753)</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10,647 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Xylem</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Dividends declared ($0.40 per share)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non-controlling interests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incentive plan activity</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2025</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10,822 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Xylem</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activity</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Dividends declared ($0.40 per share)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Distribution to minority shareholders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non-controlling interests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incentive plan activity</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June 30, 2025</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11,081 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Xylem</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 net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Activity</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Dividends declared ($0.40 per share)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non-controlling interests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incentive plan activity</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September 30, 2025</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8,735 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w:t>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11,219 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0"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15. Share-Based Compensation Plans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Share-based compensation expense was $14 million and $39 million during the three and nine months ended September 30, 2026, respectively, and $12 million and $37 million during the three and nine months ended September 30, 2025, respectively. The unrecognized compensation expense related to our stock options, restricted stock units and performance share units was $13 million, $46 million and $24 million, respectively, at September 30, 2026 and is expected to be recognized over a weighted average period of 1.9, 2.0 and 1.9 years, respectively. The amount of cash received from the exercise of stock options was $3 million and $11 million for the nine months ended September 30, 2026 and 2025, respectively.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As of September 30, 2026, there were 4.2 million shares of common stock available for future awards.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Stock Option Grants</w:t>
      </w:r>
    </w:p>
    <w:p>
      <w:pPr>
        <w:pStyle w:val="TextBody"/>
        <w:bidi w:val="0"/>
        <w:spacing w:lineRule="auto" w:line="288" w:before="120" w:after="120"/>
        <w:jc w:val="left"/>
        <w:rPr/>
      </w:pPr>
      <w:r>
        <w:rPr>
          <w:rFonts w:ascii="Arial;sans-serif" w:hAnsi="Arial;sans-serif"/>
          <w:b w:val="false"/>
          <w:color w:val="000000"/>
          <w:sz w:val="20"/>
        </w:rPr>
        <w:t>The following is a summary of the changes in outstanding stock options for the nine months ended September 30, 2026</w:t>
      </w:r>
      <w:r>
        <w:rPr>
          <w:rFonts w:ascii="Arial;sans-serif" w:hAnsi="Arial;sans-serif"/>
          <w:b w:val="false"/>
          <w:color w:val="000000"/>
          <w:sz w:val="18"/>
        </w:rPr>
        <w:t>:</w:t>
      </w:r>
    </w:p>
    <w:tbl>
      <w:tblPr>
        <w:tblW w:w="10205" w:type="dxa"/>
        <w:jc w:val="left"/>
        <w:tblInd w:w="0" w:type="dxa"/>
        <w:tblLayout w:type="fixed"/>
        <w:tblCellMar>
          <w:top w:w="28" w:type="dxa"/>
          <w:left w:w="28" w:type="dxa"/>
          <w:bottom w:w="28" w:type="dxa"/>
          <w:right w:w="28" w:type="dxa"/>
        </w:tblCellMar>
      </w:tblPr>
      <w:tblGrid>
        <w:gridCol w:w="1449"/>
        <w:gridCol w:w="1238"/>
        <w:gridCol w:w="1242"/>
        <w:gridCol w:w="371"/>
        <w:gridCol w:w="341"/>
        <w:gridCol w:w="342"/>
        <w:gridCol w:w="109"/>
        <w:gridCol w:w="109"/>
        <w:gridCol w:w="109"/>
        <w:gridCol w:w="212"/>
        <w:gridCol w:w="758"/>
        <w:gridCol w:w="111"/>
        <w:gridCol w:w="109"/>
        <w:gridCol w:w="109"/>
        <w:gridCol w:w="109"/>
        <w:gridCol w:w="515"/>
        <w:gridCol w:w="515"/>
        <w:gridCol w:w="516"/>
        <w:gridCol w:w="109"/>
        <w:gridCol w:w="109"/>
        <w:gridCol w:w="109"/>
        <w:gridCol w:w="457"/>
        <w:gridCol w:w="816"/>
        <w:gridCol w:w="341"/>
      </w:tblGrid>
      <w:tr>
        <w:trPr/>
        <w:tc>
          <w:tcPr>
            <w:tcW w:w="1449"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Share units</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Exercise</w:t>
              <w:br/>
              <w:t>Price /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w:t>
              <w:br/>
              <w:t>Remaining</w:t>
              <w:br/>
              <w:t>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Aggregate Intrinsic Value</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January 1, 2026</w:t>
            </w:r>
          </w:p>
        </w:tc>
        <w:tc>
          <w:tcPr>
            <w:tcW w:w="7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1,142 </w:t>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95.75 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127.64 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72.30 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 and expired</w:t>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129.67 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Outstanding at September 30, 2026</w:t>
            </w:r>
          </w:p>
        </w:tc>
        <w:tc>
          <w:tcPr>
            <w:tcW w:w="7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1,326</w:t>
            </w:r>
            <w:r>
              <w:rPr>
                <w:color w:val="000000"/>
              </w:rPr>
              <w:t> </w:t>
            </w:r>
          </w:p>
        </w:tc>
        <w:tc>
          <w:tcPr>
            <w:tcW w:w="3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101.94</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w:t>
            </w:r>
            <w:r>
              <w:rPr>
                <w:color w:val="000000"/>
              </w:rPr>
              <w:t> </w:t>
            </w:r>
          </w:p>
        </w:tc>
        <w:tc>
          <w:tcPr>
            <w:tcW w:w="3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Options exercisable at September 30, 2026</w:t>
            </w:r>
          </w:p>
        </w:tc>
        <w:tc>
          <w:tcPr>
            <w:tcW w:w="7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849</w:t>
            </w:r>
            <w:r>
              <w:rPr>
                <w:color w:val="000000"/>
              </w:rPr>
              <w:t> </w:t>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87.04</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w:t>
            </w:r>
            <w:r>
              <w:rPr>
                <w:color w:val="000000"/>
              </w:rPr>
              <w:t> </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Vested and non-vested expected to vest as of September 30, 2026</w:t>
            </w:r>
          </w:p>
        </w:tc>
        <w:tc>
          <w:tcPr>
            <w:tcW w:w="712"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1,293</w:t>
            </w:r>
            <w:r>
              <w:rPr>
                <w:color w:val="000000"/>
              </w:rPr>
              <w:t> </w:t>
            </w:r>
          </w:p>
        </w:tc>
        <w:tc>
          <w:tcPr>
            <w:tcW w:w="34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101.28</w:t>
            </w:r>
            <w:r>
              <w:rPr>
                <w:color w:val="000000"/>
              </w:rPr>
              <w:t> </w:t>
            </w:r>
          </w:p>
        </w:tc>
        <w:tc>
          <w:tcPr>
            <w:tcW w:w="1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w:t>
            </w:r>
            <w:r>
              <w:rPr>
                <w:color w:val="000000"/>
              </w:rPr>
              <w:t> </w:t>
            </w:r>
          </w:p>
        </w:tc>
        <w:tc>
          <w:tcPr>
            <w:tcW w:w="34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total intrinsic value of options exercised (which is the amount by which the stock price exceeded the exercise price of the options on the date of exercise) during the nine months ended September 30, 2026 was $2 million.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fair value of each option grant was estimated on the date of grant using the binomial lattice pricing model which incorporates multiple and variable assumptions over time, including employee exercise patterns, stock price volatility and changes in dividends. The following are weighted-average assumptions used for 2026 grants:</w:t>
      </w:r>
    </w:p>
    <w:tbl>
      <w:tblPr>
        <w:tblW w:w="4638" w:type="dxa"/>
        <w:jc w:val="left"/>
        <w:tblInd w:w="0" w:type="dxa"/>
        <w:tblLayout w:type="fixed"/>
        <w:tblCellMar>
          <w:top w:w="28" w:type="dxa"/>
          <w:left w:w="28" w:type="dxa"/>
          <w:bottom w:w="28" w:type="dxa"/>
          <w:right w:w="28" w:type="dxa"/>
        </w:tblCellMar>
      </w:tblPr>
      <w:tblGrid>
        <w:gridCol w:w="1249"/>
        <w:gridCol w:w="1097"/>
        <w:gridCol w:w="1104"/>
        <w:gridCol w:w="211"/>
        <w:gridCol w:w="646"/>
        <w:gridCol w:w="331"/>
      </w:tblGrid>
      <w:tr>
        <w:trPr/>
        <w:tc>
          <w:tcPr>
            <w:tcW w:w="124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 yield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1.33</w:t>
            </w: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Volatility</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27.10</w:t>
            </w: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3.68</w:t>
            </w: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term (in years)</w:t>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5.6</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fair value per option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36.19</w:t>
            </w: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Expected volatility is calculated based on an analysis of historic volatility measures for Xylem. We use historical data to estimate option exercise and employee termination behavior within the valuation model. Employee groups and option characteristics are considered separately for valuation purposes. The expected term represents an estimate of the period of time options are expected to remain outstanding. The risk-free rate is based on the U.S. Treasury yield curve in effect at the time of option grant.</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Restricted Stock Unit Grants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Restricted stock units awarded to employees typically vest over a three-year period. Prior to the time a restricted stock unit becomes fully vested, the awardees cannot transfer, pledge or encumber such units. Prior to the time a restricted stock unit is fully vested, the awardees are not granted certain rights of a stockholder, such as the right to vote and receive dividends; however, dividends accrue during the vesting period and are paid upon vesting. If an employee leaves prior to vesting, whether through resignation or termination for cause, the restricted stock unit and related accrued dividends are forfeited. If an employee retires prior to vesting, a portion or the entirety of the restricted stock unit will vest in accordance with the terms of the applicable grant agreements. Restricted stock units awarded to members of our Board become fully vested upon the day prior to the next annual meeting. The fair value of the restricted stock unit awards is determined using the closing price of our common stock on date of grant.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1"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pPr>
      <w:r>
        <w:rPr>
          <w:rFonts w:ascii="Arial;sans-serif" w:hAnsi="Arial;sans-serif"/>
          <w:b w:val="false"/>
          <w:color w:val="000000"/>
          <w:sz w:val="20"/>
        </w:rPr>
        <w:t>The following is a summary of restricted stock unit activity for the nine months ended September 30, 2026</w:t>
      </w:r>
      <w:r>
        <w:rPr>
          <w:rFonts w:ascii="Arial;sans-serif" w:hAnsi="Arial;sans-serif"/>
          <w:b w:val="false"/>
          <w:color w:val="000000"/>
          <w:sz w:val="18"/>
        </w:rPr>
        <w:t>:</w:t>
      </w:r>
    </w:p>
    <w:tbl>
      <w:tblPr>
        <w:tblW w:w="6432" w:type="dxa"/>
        <w:jc w:val="left"/>
        <w:tblInd w:w="0" w:type="dxa"/>
        <w:tblLayout w:type="fixed"/>
        <w:tblCellMar>
          <w:top w:w="28" w:type="dxa"/>
          <w:left w:w="28" w:type="dxa"/>
          <w:bottom w:w="28" w:type="dxa"/>
          <w:right w:w="28" w:type="dxa"/>
        </w:tblCellMar>
      </w:tblPr>
      <w:tblGrid>
        <w:gridCol w:w="1217"/>
        <w:gridCol w:w="1070"/>
        <w:gridCol w:w="1073"/>
        <w:gridCol w:w="384"/>
        <w:gridCol w:w="384"/>
        <w:gridCol w:w="386"/>
        <w:gridCol w:w="109"/>
        <w:gridCol w:w="109"/>
        <w:gridCol w:w="109"/>
        <w:gridCol w:w="300"/>
        <w:gridCol w:w="1070"/>
        <w:gridCol w:w="221"/>
      </w:tblGrid>
      <w:tr>
        <w:trPr/>
        <w:tc>
          <w:tcPr>
            <w:tcW w:w="1217"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Share Units</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w:t>
              <w:br/>
              <w:t>Grant Date Fair</w:t>
              <w:br/>
              <w:t>Value / Share</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January 1, 2026</w:t>
            </w:r>
          </w:p>
        </w:tc>
        <w:tc>
          <w:tcPr>
            <w:tcW w:w="7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506 </w:t>
            </w:r>
          </w:p>
        </w:tc>
        <w:tc>
          <w:tcPr>
            <w:tcW w:w="3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123.27 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126.81 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119.14 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122.81 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123.27 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Outstanding at September 30, 2026</w:t>
            </w:r>
          </w:p>
        </w:tc>
        <w:tc>
          <w:tcPr>
            <w:tcW w:w="76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516</w:t>
            </w:r>
            <w:r>
              <w:rPr>
                <w:color w:val="000000"/>
              </w:rPr>
              <w:t> </w:t>
            </w:r>
          </w:p>
        </w:tc>
        <w:tc>
          <w:tcPr>
            <w:tcW w:w="3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127.40</w:t>
            </w:r>
            <w:r>
              <w:rPr>
                <w:color w:val="000000"/>
              </w:rPr>
              <w:t> </w:t>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left"/>
        <w:rPr>
          <w:rFonts w:ascii="Arial;sans-serif" w:hAnsi="Arial;sans-serif"/>
          <w:b/>
          <w:i/>
          <w:color w:val="000000"/>
          <w:sz w:val="20"/>
        </w:rPr>
      </w:pPr>
      <w:r>
        <w:rPr>
          <w:rFonts w:ascii="Arial;sans-serif" w:hAnsi="Arial;sans-serif"/>
          <w:b/>
          <w:i/>
          <w:color w:val="000000"/>
          <w:sz w:val="20"/>
        </w:rPr>
        <w:t>Performance Share Units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Performance share units awarded under the long-term incentive plan vest based upon performance by the Company over a three-year period against targets approved by the Leadership Development &amp; Compensation Committee of the Company's Board of Directors prior to the grant date. The performance share units were each awarded at a target of 100% with actual payout for each type of grant contingent upon the achievement of performance targets as follows: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EBITDA performance share units — a third-year adjusted EBITDA performance target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TSR performance share units — a relative TSR performance target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Revenue performance share units — a pre-set third year revenue target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EPS performance share units — a cumulative three-year EPS performance target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calculated compensation cost for EBITDA, Revenue and EPS performance share units is adjusted based on an estimate of awards ultimately expected to vest and our assessment of the probable outcome of the performance condition. </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Adjusted EBITDA Performance Share Unit Grants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fair value of the adjusted EBITDA performance share unit awards is determined using the closing price of the grant.</w:t>
      </w:r>
    </w:p>
    <w:p>
      <w:pPr>
        <w:pStyle w:val="TextBody"/>
        <w:bidi w:val="0"/>
        <w:spacing w:lineRule="auto" w:line="288" w:before="120" w:after="120"/>
        <w:jc w:val="left"/>
        <w:rPr/>
      </w:pPr>
      <w:r>
        <w:rPr>
          <w:rFonts w:ascii="Arial;sans-serif" w:hAnsi="Arial;sans-serif"/>
          <w:b w:val="false"/>
          <w:color w:val="000000"/>
          <w:sz w:val="20"/>
        </w:rPr>
        <w:t>The following is a summary of our adjusted EBITDA grants for the nine months ended September 30, 2026</w:t>
      </w:r>
      <w:r>
        <w:rPr>
          <w:rFonts w:ascii="Arial;sans-serif" w:hAnsi="Arial;sans-serif"/>
          <w:b w:val="false"/>
          <w:color w:val="000000"/>
          <w:sz w:val="18"/>
        </w:rPr>
        <w:t>:</w:t>
      </w:r>
    </w:p>
    <w:tbl>
      <w:tblPr>
        <w:tblW w:w="7661" w:type="dxa"/>
        <w:jc w:val="left"/>
        <w:tblInd w:w="0" w:type="dxa"/>
        <w:tblLayout w:type="fixed"/>
        <w:tblCellMar>
          <w:top w:w="28" w:type="dxa"/>
          <w:left w:w="28" w:type="dxa"/>
          <w:bottom w:w="28" w:type="dxa"/>
          <w:right w:w="28" w:type="dxa"/>
        </w:tblCellMar>
      </w:tblPr>
      <w:tblGrid>
        <w:gridCol w:w="1662"/>
        <w:gridCol w:w="1462"/>
        <w:gridCol w:w="1465"/>
        <w:gridCol w:w="384"/>
        <w:gridCol w:w="384"/>
        <w:gridCol w:w="386"/>
        <w:gridCol w:w="109"/>
        <w:gridCol w:w="109"/>
        <w:gridCol w:w="109"/>
        <w:gridCol w:w="300"/>
        <w:gridCol w:w="1070"/>
        <w:gridCol w:w="221"/>
      </w:tblGrid>
      <w:tr>
        <w:trPr/>
        <w:tc>
          <w:tcPr>
            <w:tcW w:w="1662"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Share units</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w:t>
              <w:br/>
              <w:t>Grant Date Fair</w:t>
              <w:br/>
              <w:t>Value / Share</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January 1, 2026</w:t>
            </w:r>
          </w:p>
        </w:tc>
        <w:tc>
          <w:tcPr>
            <w:tcW w:w="7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3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113.89 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 for Performance Condition Achieved (a)</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100.50 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100.50 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127.03 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Outstanding at September 30, 2026</w:t>
            </w:r>
          </w:p>
        </w:tc>
        <w:tc>
          <w:tcPr>
            <w:tcW w:w="76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w:t>
            </w:r>
            <w:r>
              <w:rPr>
                <w:color w:val="000000"/>
              </w:rPr>
              <w:t> </w:t>
            </w:r>
          </w:p>
        </w:tc>
        <w:tc>
          <w:tcPr>
            <w:tcW w:w="3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127.94</w:t>
            </w:r>
            <w:r>
              <w:rPr>
                <w:color w:val="000000"/>
              </w:rPr>
              <w:t> </w:t>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Arial;sans-serif" w:hAnsi="Arial;sans-serif"/>
          <w:b w:val="false"/>
          <w:color w:val="000000"/>
          <w:sz w:val="18"/>
        </w:rPr>
      </w:pPr>
      <w:r>
        <w:rPr>
          <w:rFonts w:ascii="Arial;sans-serif" w:hAnsi="Arial;sans-serif"/>
          <w:b w:val="false"/>
          <w:color w:val="000000"/>
          <w:sz w:val="18"/>
        </w:rPr>
        <w:t>(a) Represents an increase in the number of original EBITDA performance share units awarded based on the final performance condition achievement at the end of the performance period of such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2"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TSR Performance Share Unit Grants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is a summary of the changes in outstanding TSR performance share units for nine months ended September 30, 2026:</w:t>
      </w:r>
    </w:p>
    <w:tbl>
      <w:tblPr>
        <w:tblW w:w="7661" w:type="dxa"/>
        <w:jc w:val="left"/>
        <w:tblInd w:w="0" w:type="dxa"/>
        <w:tblLayout w:type="fixed"/>
        <w:tblCellMar>
          <w:top w:w="28" w:type="dxa"/>
          <w:left w:w="28" w:type="dxa"/>
          <w:bottom w:w="28" w:type="dxa"/>
          <w:right w:w="28" w:type="dxa"/>
        </w:tblCellMar>
      </w:tblPr>
      <w:tblGrid>
        <w:gridCol w:w="1662"/>
        <w:gridCol w:w="1462"/>
        <w:gridCol w:w="1465"/>
        <w:gridCol w:w="384"/>
        <w:gridCol w:w="384"/>
        <w:gridCol w:w="386"/>
        <w:gridCol w:w="109"/>
        <w:gridCol w:w="109"/>
        <w:gridCol w:w="109"/>
        <w:gridCol w:w="300"/>
        <w:gridCol w:w="1070"/>
        <w:gridCol w:w="221"/>
      </w:tblGrid>
      <w:tr>
        <w:trPr/>
        <w:tc>
          <w:tcPr>
            <w:tcW w:w="1662"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Share units</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w:t>
              <w:br/>
              <w:t>Grant Date Fair</w:t>
              <w:br/>
              <w:t>Value / Share</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January 1, 2026</w:t>
            </w:r>
          </w:p>
        </w:tc>
        <w:tc>
          <w:tcPr>
            <w:tcW w:w="7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3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157.41 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108.51 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 for Performance Condition Achieved (a)</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109.04 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109.04 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159.01 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Outstanding at September 30, 2026</w:t>
            </w:r>
          </w:p>
        </w:tc>
        <w:tc>
          <w:tcPr>
            <w:tcW w:w="76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142</w:t>
            </w:r>
            <w:r>
              <w:rPr>
                <w:color w:val="000000"/>
              </w:rPr>
              <w:t> </w:t>
            </w:r>
          </w:p>
        </w:tc>
        <w:tc>
          <w:tcPr>
            <w:tcW w:w="3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151.00</w:t>
            </w:r>
            <w:r>
              <w:rPr>
                <w:color w:val="000000"/>
              </w:rPr>
              <w:t> </w:t>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Arial;sans-serif" w:hAnsi="Arial;sans-serif"/>
          <w:b w:val="false"/>
          <w:color w:val="000000"/>
          <w:sz w:val="18"/>
        </w:rPr>
      </w:pPr>
      <w:r>
        <w:rPr>
          <w:rFonts w:ascii="Arial;sans-serif" w:hAnsi="Arial;sans-serif"/>
          <w:b w:val="false"/>
          <w:color w:val="000000"/>
          <w:sz w:val="18"/>
        </w:rPr>
        <w:t xml:space="preserve">(a)Represents an increase in the number of original TSR performance share units awarded based on the final market condition achievement at the end of the performance period of such awards.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fair value of TSR performance share units were calculated on the date of grant using a Monte Carlo simulation model utilizing several key assumptions, including expected Company and peer company share price volatility, correlation coefficients between peers, the risk-free rate of return, the expected dividend yield and other award design features. The following are weighted-average key assumptions for 2026 grants.</w:t>
      </w:r>
    </w:p>
    <w:tbl>
      <w:tblPr>
        <w:tblW w:w="2866" w:type="dxa"/>
        <w:jc w:val="right"/>
        <w:tblInd w:w="0" w:type="dxa"/>
        <w:tblLayout w:type="fixed"/>
        <w:tblCellMar>
          <w:top w:w="28" w:type="dxa"/>
          <w:left w:w="28" w:type="dxa"/>
          <w:bottom w:w="28" w:type="dxa"/>
          <w:right w:w="28" w:type="dxa"/>
        </w:tblCellMar>
      </w:tblPr>
      <w:tblGrid>
        <w:gridCol w:w="719"/>
        <w:gridCol w:w="633"/>
        <w:gridCol w:w="642"/>
        <w:gridCol w:w="270"/>
        <w:gridCol w:w="271"/>
        <w:gridCol w:w="331"/>
      </w:tblGrid>
      <w:tr>
        <w:trPr/>
        <w:tc>
          <w:tcPr>
            <w:tcW w:w="71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Volatility</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22.9</w:t>
            </w: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3.49</w:t>
            </w: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Revenue Performance Share Unit Grants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fair value of the Revenue performance share unit awards is determined using the closing price of our common stock on date of grant.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is a summary of our Revenue performance share unit grants for the nine months ended September 30, 2026:</w:t>
      </w:r>
    </w:p>
    <w:tbl>
      <w:tblPr>
        <w:tblW w:w="8082" w:type="dxa"/>
        <w:jc w:val="left"/>
        <w:tblInd w:w="0" w:type="dxa"/>
        <w:tblLayout w:type="fixed"/>
        <w:tblCellMar>
          <w:top w:w="28" w:type="dxa"/>
          <w:left w:w="28" w:type="dxa"/>
          <w:bottom w:w="28" w:type="dxa"/>
          <w:right w:w="28" w:type="dxa"/>
        </w:tblCellMar>
      </w:tblPr>
      <w:tblGrid>
        <w:gridCol w:w="1662"/>
        <w:gridCol w:w="1462"/>
        <w:gridCol w:w="1465"/>
        <w:gridCol w:w="404"/>
        <w:gridCol w:w="404"/>
        <w:gridCol w:w="406"/>
        <w:gridCol w:w="109"/>
        <w:gridCol w:w="109"/>
        <w:gridCol w:w="109"/>
        <w:gridCol w:w="109"/>
        <w:gridCol w:w="109"/>
        <w:gridCol w:w="109"/>
        <w:gridCol w:w="109"/>
        <w:gridCol w:w="286"/>
        <w:gridCol w:w="1020"/>
        <w:gridCol w:w="210"/>
      </w:tblGrid>
      <w:tr>
        <w:trPr/>
        <w:tc>
          <w:tcPr>
            <w:tcW w:w="1662"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Share units</w:t>
            </w:r>
          </w:p>
          <w:p>
            <w:pPr>
              <w:pStyle w:val="TableContents"/>
              <w:bidi w:val="0"/>
              <w:spacing w:lineRule="auto" w:line="240" w:before="0" w:after="0"/>
              <w:jc w:val="center"/>
              <w:rPr/>
            </w:pPr>
            <w:r>
              <w:rPr>
                <w:color w:val="000000"/>
              </w:rPr>
              <w:t> </w:t>
            </w:r>
            <w:r>
              <w:rPr>
                <w:rFonts w:ascii="Arial;sans-serif" w:hAnsi="Arial;sans-serif"/>
                <w:b w:val="false"/>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Grant Date</w:t>
              <w:br/>
              <w:t>Fair Value / Share</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January 1, 2026</w:t>
            </w:r>
          </w:p>
        </w:tc>
        <w:tc>
          <w:tcPr>
            <w:tcW w:w="8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113.89 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 for Performance Condition Achieved (a)</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100.50 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100.50 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127.03 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Outstanding at September 30, 2026</w:t>
            </w:r>
          </w:p>
        </w:tc>
        <w:tc>
          <w:tcPr>
            <w:tcW w:w="80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w:t>
            </w:r>
            <w:r>
              <w:rPr>
                <w:color w:val="000000"/>
              </w:rPr>
              <w:t> </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127.94</w:t>
            </w:r>
            <w:r>
              <w:rPr>
                <w:color w:val="000000"/>
              </w:rPr>
              <w:t> </w:t>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Arial;sans-serif" w:hAnsi="Arial;sans-serif"/>
          <w:b w:val="false"/>
          <w:color w:val="000000"/>
          <w:sz w:val="18"/>
        </w:rPr>
      </w:pPr>
      <w:r>
        <w:rPr>
          <w:rFonts w:ascii="Arial;sans-serif" w:hAnsi="Arial;sans-serif"/>
          <w:b w:val="false"/>
          <w:color w:val="000000"/>
          <w:sz w:val="18"/>
        </w:rPr>
        <w:t>(a)Represents an increase in the number of original revenue performance share units awarded based on the final performance condition achievement at the end of the performance period of such awards.</w:t>
      </w:r>
    </w:p>
    <w:p>
      <w:pPr>
        <w:pStyle w:val="TextBody"/>
        <w:bidi w:val="0"/>
        <w:spacing w:lineRule="auto" w:line="288" w:before="220" w:after="120"/>
        <w:jc w:val="left"/>
        <w:rPr>
          <w:rFonts w:ascii="Arial;sans-serif" w:hAnsi="Arial;sans-serif"/>
          <w:b w:val="false"/>
          <w:i/>
          <w:color w:val="000000"/>
          <w:sz w:val="20"/>
        </w:rPr>
      </w:pPr>
      <w:r>
        <w:rPr>
          <w:rFonts w:ascii="Arial;sans-serif" w:hAnsi="Arial;sans-serif"/>
          <w:b w:val="false"/>
          <w:i/>
          <w:color w:val="000000"/>
          <w:sz w:val="20"/>
        </w:rPr>
        <w:t>EPS Performance Share Unit Grants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fair value of the earnings per share ("EPS") performance share unit awards is determined using the closing price of our common stock on date of grant.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is a summary of the changes in outstanding EPS performance share units for nine months ended September 30, 2026:</w:t>
      </w:r>
    </w:p>
    <w:tbl>
      <w:tblPr>
        <w:tblW w:w="6432" w:type="dxa"/>
        <w:jc w:val="left"/>
        <w:tblInd w:w="0" w:type="dxa"/>
        <w:tblLayout w:type="fixed"/>
        <w:tblCellMar>
          <w:top w:w="28" w:type="dxa"/>
          <w:left w:w="28" w:type="dxa"/>
          <w:bottom w:w="28" w:type="dxa"/>
          <w:right w:w="28" w:type="dxa"/>
        </w:tblCellMar>
      </w:tblPr>
      <w:tblGrid>
        <w:gridCol w:w="1217"/>
        <w:gridCol w:w="1070"/>
        <w:gridCol w:w="1073"/>
        <w:gridCol w:w="384"/>
        <w:gridCol w:w="384"/>
        <w:gridCol w:w="386"/>
        <w:gridCol w:w="109"/>
        <w:gridCol w:w="109"/>
        <w:gridCol w:w="109"/>
        <w:gridCol w:w="300"/>
        <w:gridCol w:w="1070"/>
        <w:gridCol w:w="221"/>
      </w:tblGrid>
      <w:tr>
        <w:trPr/>
        <w:tc>
          <w:tcPr>
            <w:tcW w:w="1217"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Share units</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w:t>
              <w:br/>
              <w:t>Grant Date Fair</w:t>
              <w:br/>
              <w:t>Value / Share</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January 1, 2026</w:t>
            </w:r>
          </w:p>
        </w:tc>
        <w:tc>
          <w:tcPr>
            <w:tcW w:w="7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3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129.82 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130.72 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130.70 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Outstanding at September 30, 2026</w:t>
            </w:r>
          </w:p>
        </w:tc>
        <w:tc>
          <w:tcPr>
            <w:tcW w:w="76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103</w:t>
            </w:r>
            <w:r>
              <w:rPr>
                <w:color w:val="000000"/>
              </w:rPr>
              <w:t> </w:t>
            </w:r>
          </w:p>
        </w:tc>
        <w:tc>
          <w:tcPr>
            <w:tcW w:w="3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130.27</w:t>
            </w:r>
            <w:r>
              <w:rPr>
                <w:color w:val="000000"/>
              </w:rPr>
              <w:t> </w:t>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3"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Employee Stock Purchase Plan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Effective May 18, 2026, we adopted an Employee Stock Purchase Plan ("ESPP"). The ESPP allows eligible employees to contribute up to 15% of their base compensation to purchase shares of our common stock at 85% of the lesser of the closing market price on the first or last day of the offering period. There are 4.0 million shares authorized for sale in connection with the ESPP, which may include treasury or newly issued shares.</w:t>
      </w:r>
    </w:p>
    <w:p>
      <w:pPr>
        <w:pStyle w:val="TextBody"/>
        <w:bidi w:val="0"/>
        <w:spacing w:lineRule="auto" w:line="288" w:before="120" w:after="120"/>
        <w:jc w:val="left"/>
        <w:rPr/>
      </w:pPr>
      <w:r>
        <w:rPr>
          <w:rFonts w:ascii="Arial;sans-serif" w:hAnsi="Arial;sans-serif"/>
          <w:b w:val="false"/>
          <w:color w:val="000000"/>
          <w:sz w:val="20"/>
        </w:rPr>
        <w:t>The initial offering period under the ESPP began on June 1, 2026 and will close on November 30, 2026. For the three and nine months ended September 30,</w:t>
      </w:r>
      <w:r>
        <w:rPr>
          <w:color w:val="000000"/>
        </w:rPr>
        <w:t xml:space="preserve"> </w:t>
      </w:r>
      <w:r>
        <w:rPr>
          <w:rFonts w:ascii="Arial;sans-serif" w:hAnsi="Arial;sans-serif"/>
          <w:b w:val="false"/>
          <w:color w:val="000000"/>
          <w:sz w:val="20"/>
        </w:rPr>
        <w:t>2026, no shares have been sold under the ESPP. We accrued less than $1 million of expense for the three and nine months ended September 30, 2026 associated with the ESPP.</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16. Capital Stock</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For the three and nine months ended September 30, 2026 the Company repurchased 3.2 million shares of common stock for $349 million and 13.7 million shares of common stock for $1,592 million, respectively. For the three and nine months ended September 30, 2025, the Company repurchased less than 0.1 million shares of common stock for $1 million and 0.1 million shares of common stock for $14 million, respectively. Repurchases may include share repurchase programs approved by the Board of Directors and repurchases in relation to settlement of employee tax withholding obligations due as a result of the vesting of restricted stock units. The detail of repurchases by each program are as follows: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On August 24, 2015, our Board of Directors authorized the repurchase of up to $500 million in shares with no expiration date. The program's objective is to deploy our capital in a manner that benefits our shareholders and maintains our focus on growth. During the first quarter of 2026, the Company repurchased 1.4 million shares of common stock for $182 million under this program. As of September 30, 2026 there is no additional capacity for share repurchases under this program.</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On February 25, 2026, our Board of Directors authorized the repurchase of up to $1.5 billion in shares with no expiration date. The program's objective is to deploy our capital in a manner that benefits our shareholders and maintains our focus on growth. For the three and nine months ended September 30, 2026, the Company repurchased 3.2 million shares and 12.2 million shares of common stock for $349 million and $1,396 million, respectively, under this program, of which $337 million and $1,384 million, respectively, was paid in cash, and $12 million was accrued as of September 30, 2026. As of September 30, 2026 there are $105 million in additional shares that may still be repurchased under this program.</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 relation to the aforementioned share repurchase programs, the Company has accrued a total $15 million in excise taxes as of September 30, 2026. There were no excise taxes accrued related to share repurchase programs as of December 31, 2025.</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Aside from the aforementioned repurchase programs, we repurchased less than 0.1 million shares and 0.1 million shares for $0.2 million and $14 million for the three and nine months ended September 30, 2026, respectively and less than 0.1 million shares and 0.1 million shares for $1 million and $14 million for the three and nine months ended September 30, 2025, respectively, in relation to settlement of employee tax withholding obligations due as a result of the vesting of restricted stock units.</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4"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17. Accumulated Other Comprehensive Loss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provides the components of accumulated other comprehensive loss ("AOCL") for the nine months ended September 30, 2026:</w:t>
      </w:r>
    </w:p>
    <w:tbl>
      <w:tblPr>
        <w:tblW w:w="10205" w:type="dxa"/>
        <w:jc w:val="left"/>
        <w:tblInd w:w="0" w:type="dxa"/>
        <w:tblLayout w:type="fixed"/>
        <w:tblCellMar>
          <w:top w:w="28" w:type="dxa"/>
          <w:left w:w="28" w:type="dxa"/>
          <w:bottom w:w="28" w:type="dxa"/>
          <w:right w:w="28" w:type="dxa"/>
        </w:tblCellMar>
      </w:tblPr>
      <w:tblGrid>
        <w:gridCol w:w="1671"/>
        <w:gridCol w:w="1052"/>
        <w:gridCol w:w="1029"/>
        <w:gridCol w:w="375"/>
        <w:gridCol w:w="855"/>
        <w:gridCol w:w="193"/>
        <w:gridCol w:w="109"/>
        <w:gridCol w:w="109"/>
        <w:gridCol w:w="109"/>
        <w:gridCol w:w="502"/>
        <w:gridCol w:w="894"/>
        <w:gridCol w:w="260"/>
        <w:gridCol w:w="109"/>
        <w:gridCol w:w="109"/>
        <w:gridCol w:w="109"/>
        <w:gridCol w:w="396"/>
        <w:gridCol w:w="705"/>
        <w:gridCol w:w="206"/>
        <w:gridCol w:w="109"/>
        <w:gridCol w:w="109"/>
        <w:gridCol w:w="109"/>
        <w:gridCol w:w="211"/>
        <w:gridCol w:w="498"/>
        <w:gridCol w:w="109"/>
        <w:gridCol w:w="109"/>
        <w:gridCol w:w="159"/>
      </w:tblGrid>
      <w:tr>
        <w:trPr/>
        <w:tc>
          <w:tcPr>
            <w:tcW w:w="1671"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4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Foreign Currency Translation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Post-retirement Benefit Plans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Derivative Instruments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January 1, 2026</w:t>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(191)</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(39)</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w:t>
            </w:r>
            <w:r>
              <w:rPr>
                <w:color w:val="000000"/>
              </w:rPr>
              <w:t>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(220)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w:t>
            </w:r>
          </w:p>
        </w:tc>
        <w:tc>
          <w:tcPr>
            <w:tcW w:w="123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w:t>
            </w:r>
            <w:r>
              <w:rPr>
                <w:color w:val="000000"/>
              </w:rPr>
              <w:t> </w:t>
            </w:r>
          </w:p>
        </w:tc>
        <w:tc>
          <w:tcPr>
            <w:tcW w:w="19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w:t>
            </w: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 of currency translation adjustment relating to divestiture of foreign subsidiaries reclassified into net income</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w:t>
            </w: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on foreign currency translation adjustment</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actuarial gain on post-retirement benefit plans into other non-operating income, net</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 on derivative hedge agreements</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on unrealized gain on derivative hedge agreements</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w:t>
            </w: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Reclassification of unrealized gain on foreign exchange agreements into revenue</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Reclassification of unrealized gain on foreign exchange agreements into cost of revenue</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March 31, 2026</w:t>
            </w:r>
          </w:p>
        </w:tc>
        <w:tc>
          <w:tcPr>
            <w:tcW w:w="3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(188)</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(40)</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(229)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w:t>
            </w:r>
          </w:p>
        </w:tc>
        <w:tc>
          <w:tcPr>
            <w:tcW w:w="123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(53)</w:t>
            </w:r>
          </w:p>
        </w:tc>
        <w:tc>
          <w:tcPr>
            <w:tcW w:w="19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(53)</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 of gain recognized relating to divestiture of foreign subsidiaries reclassified into net income</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 of currency translation adjustment relating to divestiture of foreign subsidiaries reclassified into net income</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on foreign currency translation adjustment</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actuarial loss on post-retirement plans into other non-operating income, net</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w:t>
            </w: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 for post-retirement benefit plans</w:t>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w:t>
            </w: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 on derivative hedge agreements</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Tax on unrealized loss on derivative hedge agreements </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w:t>
            </w: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Reclassification of unrealized loss on foreign exchange agreements into revenue</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w:t>
            </w: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Reclassification of unrealized gain on foreign exchange agreements into cost of revenue</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June 30, 2026</w:t>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(257)</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(40)</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(302)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 of currency translation adjustment relating to divestiture of foreign subsidiaries reclassified into net income</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w:t>
            </w: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on foreign currency translation adjustment</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w:t>
            </w: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 for post-retirement benefit plans</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w:t>
            </w: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 on derivative hedge agreements</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Reclassification of unrealized loss on foreign exchange agreements into revenue</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w:t>
            </w: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Reclassification of unrealized gain on foreign exchange agreements into cost of revenue</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September 30, 2026</w:t>
            </w:r>
          </w:p>
        </w:tc>
        <w:tc>
          <w:tcPr>
            <w:tcW w:w="3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(263)</w:t>
            </w:r>
          </w:p>
        </w:tc>
        <w:tc>
          <w:tcPr>
            <w:tcW w:w="1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(39)</w:t>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w:t>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(307)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5"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The following table provides the components of AOCL for the nine months ended September 30, 2025:</w:t>
      </w:r>
    </w:p>
    <w:tbl>
      <w:tblPr>
        <w:tblW w:w="10205" w:type="dxa"/>
        <w:jc w:val="left"/>
        <w:tblInd w:w="0" w:type="dxa"/>
        <w:tblLayout w:type="fixed"/>
        <w:tblCellMar>
          <w:top w:w="28" w:type="dxa"/>
          <w:left w:w="28" w:type="dxa"/>
          <w:bottom w:w="28" w:type="dxa"/>
          <w:right w:w="28" w:type="dxa"/>
        </w:tblCellMar>
      </w:tblPr>
      <w:tblGrid>
        <w:gridCol w:w="1630"/>
        <w:gridCol w:w="1015"/>
        <w:gridCol w:w="1019"/>
        <w:gridCol w:w="394"/>
        <w:gridCol w:w="901"/>
        <w:gridCol w:w="205"/>
        <w:gridCol w:w="109"/>
        <w:gridCol w:w="109"/>
        <w:gridCol w:w="109"/>
        <w:gridCol w:w="542"/>
        <w:gridCol w:w="966"/>
        <w:gridCol w:w="281"/>
        <w:gridCol w:w="109"/>
        <w:gridCol w:w="109"/>
        <w:gridCol w:w="109"/>
        <w:gridCol w:w="424"/>
        <w:gridCol w:w="757"/>
        <w:gridCol w:w="221"/>
        <w:gridCol w:w="109"/>
        <w:gridCol w:w="109"/>
        <w:gridCol w:w="109"/>
        <w:gridCol w:w="211"/>
        <w:gridCol w:w="497"/>
        <w:gridCol w:w="161"/>
      </w:tblGrid>
      <w:tr>
        <w:trPr/>
        <w:tc>
          <w:tcPr>
            <w:tcW w:w="163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 millions)</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Post-retirement Benefit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January 1, 2025</w:t>
            </w:r>
          </w:p>
        </w:tc>
        <w:tc>
          <w:tcPr>
            <w:tcW w:w="3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 of currency translation adjustment relating to divestiture of foreign subsidiaries reclassified into net income</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on foreign currency translation adjustment</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66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66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66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66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66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66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66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66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 for post-retirement benefit plans</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on derivative hedge agreements</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 on unrealized gain on derivative hedge agreements</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Reclassification of unrealized loss on foreign exchange agreements into revenue</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Reclassification of unrealized gain on foreign exchange agreements into cost of revenue</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March 31, 2025</w:t>
            </w:r>
          </w:p>
        </w:tc>
        <w:tc>
          <w:tcPr>
            <w:tcW w:w="3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w:t>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2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w:t>
            </w:r>
          </w:p>
        </w:tc>
        <w:tc>
          <w:tcPr>
            <w:tcW w:w="1295"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20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6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on foreign currency translation adjustment</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66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actuarial loss on post-retirement benefit plans into other non-operating income, net</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 for post-retirement benefit plans</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66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66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66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66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on derivative hedge agreements</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 on unrealized gain on derivative hedge agreements</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Reclassification of unrealized loss on foreign exchange agreements into revenue</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Reclassification of unrealized gain on foreign exchange agreements into cost of revenue</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June 30, 2025</w:t>
            </w:r>
          </w:p>
        </w:tc>
        <w:tc>
          <w:tcPr>
            <w:tcW w:w="3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w:t>
            </w:r>
          </w:p>
        </w:tc>
        <w:tc>
          <w:tcPr>
            <w:tcW w:w="129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20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6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on foreign currency translation adjustment</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 for post-retirement benefit plans</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66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66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66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on derivative hedge agreements</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impact on unrealized gain on derivative hedge agreements</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Reclassification of unrealized gain on foreign exchange agreements into revenue</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Reclassification of unrealized gain on foreign exchange agreements into cost of revenue</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September 30, 2025</w:t>
            </w:r>
          </w:p>
        </w:tc>
        <w:tc>
          <w:tcPr>
            <w:tcW w:w="3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w:t>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2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6"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18. Commitments and Contingencies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Legal Proceedings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From time to time, we are involved in legal and regulatory proceedings that are incidental to the operation of our businesses (or the business operations of previously owned entities). These proceedings may seek remedies relating to matters including environmental, tax, intellectual property, acquisitions or divestitures, product liability, property damage, personal injury, privacy, employment, labor and pension, government investigations or contract issues and commercial or contractual disputes.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See Note 6, "Income Taxes" of our condensed consolidated financial statements for a description of a pending tax litigation matter.</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Although the ultimate outcome of any legal matter cannot be predicted with certainty, based on present information, including our assessment of the merits of the particular claims, we do not believe it is reasonably possible that any asserted or unasserted legal claims or proceedings, individually or in aggregate, will have a material effect on the Company's financial position, results of operations, or cash flows.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have estimated and accrued $6 million and $4 million as of September 30, 2026 and December 31, 2025, respectively, for these general legal matters.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Guarantees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obtain certain stand-by letters of credit, bank guarantees, surety bonds and insurance letters of credit from third-party financial institutions in the ordinary course of business when required under contracts or to satisfy insurance-related requirements. As of September 30, 2026 and December 31, 2025, the amount of surety bonds, bank guarantees, insurance letters of credit and stand-by letters of credit was $870 million and $822 million, respectively.</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Environmental</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 the ordinary course of business, we are subject to federal, state, local, and foreign environmental laws and regulations. We are responsible, or are alleged to be responsible, for ongoing environmental investigation and remediation of sites in various countries. Our accrued environmental liabilities represent our best estimates related to the investigation and remediation of environmental media such as water, soil, soil vapor, air and structures at these sites, as well as related legal fees. Liabilities for these environmental expenditures are recorded on an undiscounted basis. We have estimated and accrued $3 million and $4 million as of September 30, 2026 and December 31, 2025, respectively, for environmental matters.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Given the complexities and uncertainties involved in on-going and future investigation and remediation projects, the process to estimate environmental remediation liabilities requires judgment. We believe the total amount accrued is reasonable based on existing facts and circumstances.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Warranties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warrant numerous products, the terms of which vary widely. In general, we warrant products against defects and specific non-performance. The table below provides changes in the combined current and non-current product warranty accruals over each period.</w:t>
      </w:r>
    </w:p>
    <w:tbl>
      <w:tblPr>
        <w:tblW w:w="6212" w:type="dxa"/>
        <w:jc w:val="left"/>
        <w:tblInd w:w="0" w:type="dxa"/>
        <w:tblLayout w:type="fixed"/>
        <w:tblCellMar>
          <w:top w:w="28" w:type="dxa"/>
          <w:left w:w="28" w:type="dxa"/>
          <w:bottom w:w="28" w:type="dxa"/>
          <w:right w:w="28" w:type="dxa"/>
        </w:tblCellMar>
      </w:tblPr>
      <w:tblGrid>
        <w:gridCol w:w="1530"/>
        <w:gridCol w:w="1341"/>
        <w:gridCol w:w="1359"/>
        <w:gridCol w:w="211"/>
        <w:gridCol w:w="376"/>
        <w:gridCol w:w="109"/>
        <w:gridCol w:w="109"/>
        <w:gridCol w:w="109"/>
        <w:gridCol w:w="109"/>
        <w:gridCol w:w="211"/>
        <w:gridCol w:w="376"/>
        <w:gridCol w:w="109"/>
        <w:gridCol w:w="109"/>
        <w:gridCol w:w="154"/>
      </w:tblGrid>
      <w:tr>
        <w:trPr/>
        <w:tc>
          <w:tcPr>
            <w:tcW w:w="1530"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Warranty accrual – January 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charges for product warranties in the period</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 of warranty claims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and other</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Warranty accrual – September 30</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7"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Note 19. Segment Information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Our business has four reportable segments: Water Infrastructure, Applied Water, Measurement and Control Solutions and Water Solutions and Services.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Water Infrastructure segment focuses on the transportation and treatment of water, offering a range of products including water, wastewater and storm water pumps, controls and systems; treatment equipment: filtration and separation, disinfection, wastewater solutions for municipal and industrial applications.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Applied Water segment serves many of the primary uses of water and focuses on the residential, commercial and industrial markets. The Applied Water segment's major products include pumps, valves, heat exchangers, controls and dispensing equipment.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Measurement and Control Solutions segment focuses on developing advanced technology solutions that enable intelligent use and conservation of critical water and energy resources as well as analytical instrumentation used in the testing of water. The Measurement and Control Solutions segment's major products include smart metering, networked communications, measurement and control technologies, critical infrastructure technologies, software and services including cloud-based analytics, and remote monitoring and data management.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Water Solutions and Services segment provides tailored services and solutions, in collaboration with customers, including on</w:t>
        <w:noBreakHyphen/>
        <w:t>demand water, outsourced water, recycle/reuse, pipeline services, specialty dewatering and emergency response service alternatives to improve operational reliability, performance and environmental compliance. Key offerings within this segment also include equipment systems for industrial needs (influent water, boiler feed water, ultrahigh purity, process water, wastewater treatment, and recycle/reuse), full-scale outsourcing of operations and maintenance, and municipal services, including odor and corrosion control services, as well as leak detection, condition assessment and asset management and pressure monitoring solutions.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Corporate and other consists of corporate office expenses including compensation, benefits, occupancy, depreciation, and other administrative costs, as well as charges related to certain matters that are managed at a corporate level and are not included in the business segments in evaluating performance or allocating resources. The accounting policies of each segment are the same as those described in the "Summary of Significant Accounting Policies" section of Note 1 in the 2025 Annual Report.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chief operating decision maker (“CODM”) for the Company is our President and Chief Executive Officer. The CODM uses segment operating income/(loss) as a primary factor in allocating resources to the segments. The CODM considers budget-to-actual variances on a quarterly basis for the profit measure to assess segment performance. Disaggregated asset information by segment is not provided to the CODM for review, therefore, such information is not presented.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38"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tables contain financial information provided to the CODM for each reportable segment:</w:t>
      </w:r>
    </w:p>
    <w:tbl>
      <w:tblPr>
        <w:tblW w:w="10205" w:type="dxa"/>
        <w:jc w:val="left"/>
        <w:tblInd w:w="0" w:type="dxa"/>
        <w:tblLayout w:type="fixed"/>
        <w:tblCellMar>
          <w:top w:w="28" w:type="dxa"/>
          <w:left w:w="28" w:type="dxa"/>
          <w:bottom w:w="28" w:type="dxa"/>
          <w:right w:w="28" w:type="dxa"/>
        </w:tblCellMar>
      </w:tblPr>
      <w:tblGrid>
        <w:gridCol w:w="1087"/>
        <w:gridCol w:w="749"/>
        <w:gridCol w:w="760"/>
        <w:gridCol w:w="350"/>
        <w:gridCol w:w="800"/>
        <w:gridCol w:w="181"/>
        <w:gridCol w:w="109"/>
        <w:gridCol w:w="109"/>
        <w:gridCol w:w="109"/>
        <w:gridCol w:w="243"/>
        <w:gridCol w:w="554"/>
        <w:gridCol w:w="125"/>
        <w:gridCol w:w="109"/>
        <w:gridCol w:w="109"/>
        <w:gridCol w:w="109"/>
        <w:gridCol w:w="448"/>
        <w:gridCol w:w="1023"/>
        <w:gridCol w:w="232"/>
        <w:gridCol w:w="109"/>
        <w:gridCol w:w="109"/>
        <w:gridCol w:w="109"/>
        <w:gridCol w:w="349"/>
        <w:gridCol w:w="797"/>
        <w:gridCol w:w="181"/>
        <w:gridCol w:w="109"/>
        <w:gridCol w:w="109"/>
        <w:gridCol w:w="109"/>
        <w:gridCol w:w="211"/>
        <w:gridCol w:w="646"/>
        <w:gridCol w:w="161"/>
      </w:tblGrid>
      <w:tr>
        <w:trPr/>
        <w:tc>
          <w:tcPr>
            <w:tcW w:w="108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Water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Applied Water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Measurement and Control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Water Solutions and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5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for the three months ended September 30, 2026</w:t>
            </w:r>
          </w:p>
        </w:tc>
        <w:tc>
          <w:tcPr>
            <w:tcW w:w="13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2,201</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w:t>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cost of revenue (a)</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operating expenses (a)</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segment items (b)</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3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2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405</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segment operating income</w:t>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other loss</w:t>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2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non-operating income, net</w:t>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sale of businesses</w:t>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365</w:t>
            </w:r>
            <w:r>
              <w:rPr>
                <w:color w:val="000000"/>
              </w:rPr>
              <w:t>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87"/>
        <w:gridCol w:w="749"/>
        <w:gridCol w:w="760"/>
        <w:gridCol w:w="350"/>
        <w:gridCol w:w="800"/>
        <w:gridCol w:w="181"/>
        <w:gridCol w:w="109"/>
        <w:gridCol w:w="109"/>
        <w:gridCol w:w="109"/>
        <w:gridCol w:w="243"/>
        <w:gridCol w:w="554"/>
        <w:gridCol w:w="125"/>
        <w:gridCol w:w="109"/>
        <w:gridCol w:w="109"/>
        <w:gridCol w:w="109"/>
        <w:gridCol w:w="448"/>
        <w:gridCol w:w="1023"/>
        <w:gridCol w:w="232"/>
        <w:gridCol w:w="109"/>
        <w:gridCol w:w="109"/>
        <w:gridCol w:w="109"/>
        <w:gridCol w:w="349"/>
        <w:gridCol w:w="797"/>
        <w:gridCol w:w="181"/>
        <w:gridCol w:w="109"/>
        <w:gridCol w:w="109"/>
        <w:gridCol w:w="109"/>
        <w:gridCol w:w="211"/>
        <w:gridCol w:w="646"/>
        <w:gridCol w:w="161"/>
      </w:tblGrid>
      <w:tr>
        <w:trPr/>
        <w:tc>
          <w:tcPr>
            <w:tcW w:w="108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Water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Applied Water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Measurement and Control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Water Solutions and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5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for the three months ended September 30, 2025</w:t>
            </w:r>
          </w:p>
        </w:tc>
        <w:tc>
          <w:tcPr>
            <w:tcW w:w="13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2,268</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w:t>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cost of revenue (a)</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operating expenses (a)</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segment items (b)</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3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2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360</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segment operating income</w:t>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other loss</w:t>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2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non-operating income, net</w:t>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sale of businesses</w:t>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297</w:t>
            </w:r>
            <w:r>
              <w:rPr>
                <w:color w:val="000000"/>
              </w:rPr>
              <w:t>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39"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56"/>
        <w:gridCol w:w="716"/>
        <w:gridCol w:w="726"/>
        <w:gridCol w:w="288"/>
        <w:gridCol w:w="883"/>
        <w:gridCol w:w="149"/>
        <w:gridCol w:w="109"/>
        <w:gridCol w:w="109"/>
        <w:gridCol w:w="109"/>
        <w:gridCol w:w="225"/>
        <w:gridCol w:w="691"/>
        <w:gridCol w:w="116"/>
        <w:gridCol w:w="109"/>
        <w:gridCol w:w="109"/>
        <w:gridCol w:w="109"/>
        <w:gridCol w:w="362"/>
        <w:gridCol w:w="1113"/>
        <w:gridCol w:w="189"/>
        <w:gridCol w:w="109"/>
        <w:gridCol w:w="109"/>
        <w:gridCol w:w="109"/>
        <w:gridCol w:w="297"/>
        <w:gridCol w:w="912"/>
        <w:gridCol w:w="153"/>
        <w:gridCol w:w="109"/>
        <w:gridCol w:w="109"/>
        <w:gridCol w:w="109"/>
        <w:gridCol w:w="211"/>
        <w:gridCol w:w="646"/>
        <w:gridCol w:w="164"/>
      </w:tblGrid>
      <w:tr>
        <w:trPr/>
        <w:tc>
          <w:tcPr>
            <w:tcW w:w="105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Water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Applied Water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Measurement and Control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Water Solutions and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for the nine months ended September 30, 2026</w:t>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6,662</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w:t>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cost of revenue (a)</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operating expenses (a)</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segment items (b)</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2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239 </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1,083</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segment operating income</w:t>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other loss</w:t>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8"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2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non-operating income, net</w:t>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sale of businesses</w:t>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973</w:t>
            </w:r>
            <w:r>
              <w:rPr>
                <w:color w:val="000000"/>
              </w:rPr>
              <w:t> </w:t>
            </w:r>
          </w:p>
        </w:tc>
        <w:tc>
          <w:tcPr>
            <w:tcW w:w="1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35"/>
        <w:gridCol w:w="701"/>
        <w:gridCol w:w="711"/>
        <w:gridCol w:w="290"/>
        <w:gridCol w:w="888"/>
        <w:gridCol w:w="149"/>
        <w:gridCol w:w="109"/>
        <w:gridCol w:w="109"/>
        <w:gridCol w:w="109"/>
        <w:gridCol w:w="226"/>
        <w:gridCol w:w="694"/>
        <w:gridCol w:w="117"/>
        <w:gridCol w:w="109"/>
        <w:gridCol w:w="109"/>
        <w:gridCol w:w="109"/>
        <w:gridCol w:w="367"/>
        <w:gridCol w:w="1129"/>
        <w:gridCol w:w="191"/>
        <w:gridCol w:w="109"/>
        <w:gridCol w:w="109"/>
        <w:gridCol w:w="109"/>
        <w:gridCol w:w="301"/>
        <w:gridCol w:w="924"/>
        <w:gridCol w:w="155"/>
        <w:gridCol w:w="109"/>
        <w:gridCol w:w="109"/>
        <w:gridCol w:w="109"/>
        <w:gridCol w:w="211"/>
        <w:gridCol w:w="646"/>
        <w:gridCol w:w="162"/>
      </w:tblGrid>
      <w:tr>
        <w:trPr/>
        <w:tc>
          <w:tcPr>
            <w:tcW w:w="103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Water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Applied Water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Measurement and Control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Water Solutions and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4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for nine months ended September 30, 2025</w:t>
            </w:r>
          </w:p>
        </w:tc>
        <w:tc>
          <w:tcPr>
            <w:tcW w:w="1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6,638 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w:t>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cost of revenue (a)</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operating expenses (a)</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segment items (b)</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2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188 </w:t>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segment operating income</w:t>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other loss</w:t>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non-operating income, net</w:t>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sale of businesses</w:t>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813 </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Arial;sans-serif" w:hAnsi="Arial;sans-serif"/>
          <w:b w:val="false"/>
          <w:color w:val="000000"/>
          <w:sz w:val="18"/>
        </w:rPr>
      </w:pPr>
      <w:r>
        <w:rPr>
          <w:rFonts w:ascii="Arial;sans-serif" w:hAnsi="Arial;sans-serif"/>
          <w:b w:val="false"/>
          <w:color w:val="000000"/>
          <w:sz w:val="18"/>
        </w:rPr>
        <w:t xml:space="preserve">(a)Adjusted cost of revenue and adjusted operating expenses represent segment-level information that are regularly provided to the CODM. These balances represent cost of revenue and operating expenses, respectively, adjusted to exclude purchase accounting intangible amortization, restructuring and realignment expenses and special charges. </w:t>
      </w:r>
    </w:p>
    <w:p>
      <w:pPr>
        <w:pStyle w:val="TextBody"/>
        <w:bidi w:val="0"/>
        <w:spacing w:lineRule="auto" w:line="288" w:before="120" w:after="120"/>
        <w:ind w:left="0" w:right="0" w:hanging="360"/>
        <w:jc w:val="left"/>
        <w:rPr>
          <w:rFonts w:ascii="Arial;sans-serif" w:hAnsi="Arial;sans-serif"/>
          <w:b w:val="false"/>
          <w:color w:val="000000"/>
          <w:sz w:val="18"/>
        </w:rPr>
      </w:pPr>
      <w:r>
        <w:rPr>
          <w:rFonts w:ascii="Arial;sans-serif" w:hAnsi="Arial;sans-serif"/>
          <w:b w:val="false"/>
          <w:color w:val="000000"/>
          <w:sz w:val="18"/>
        </w:rPr>
        <w:t>(b)Other segment items for each segment represents purchase accounting intangible amortization, restructuring and realignment expenses and special charges, which are excluded from the above significant expense categories regularly provided to the CODM in line with our adjusted measures as outlined in Item 7 "Management's Discussion and Analysis of Financial Condition and Results of Operations" in our 2025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40"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7454" w:type="dxa"/>
        <w:jc w:val="left"/>
        <w:tblInd w:w="0" w:type="dxa"/>
        <w:tblLayout w:type="fixed"/>
        <w:tblCellMar>
          <w:top w:w="28" w:type="dxa"/>
          <w:left w:w="28" w:type="dxa"/>
          <w:bottom w:w="28" w:type="dxa"/>
          <w:right w:w="28" w:type="dxa"/>
        </w:tblCellMar>
      </w:tblPr>
      <w:tblGrid>
        <w:gridCol w:w="1167"/>
        <w:gridCol w:w="1021"/>
        <w:gridCol w:w="1036"/>
        <w:gridCol w:w="211"/>
        <w:gridCol w:w="481"/>
        <w:gridCol w:w="109"/>
        <w:gridCol w:w="109"/>
        <w:gridCol w:w="109"/>
        <w:gridCol w:w="109"/>
        <w:gridCol w:w="211"/>
        <w:gridCol w:w="481"/>
        <w:gridCol w:w="109"/>
        <w:gridCol w:w="109"/>
        <w:gridCol w:w="109"/>
        <w:gridCol w:w="109"/>
        <w:gridCol w:w="211"/>
        <w:gridCol w:w="481"/>
        <w:gridCol w:w="109"/>
        <w:gridCol w:w="109"/>
        <w:gridCol w:w="109"/>
        <w:gridCol w:w="109"/>
        <w:gridCol w:w="211"/>
        <w:gridCol w:w="481"/>
        <w:gridCol w:w="154"/>
      </w:tblGrid>
      <w:tr>
        <w:trPr/>
        <w:tc>
          <w:tcPr>
            <w:tcW w:w="116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Depreciation and amortization:</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Water Infrastructure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Applied Water</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Measurement and Control Solutions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Water Solutions and Services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other</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Capital expenditures:</w:t>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Water Infrastructure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Applied Water</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Measurement and Control Solutions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Water Solutions and Services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Centralized support facilities (a)</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other</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268</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Arial;sans-serif" w:hAnsi="Arial;sans-serif"/>
          <w:b w:val="false"/>
          <w:color w:val="000000"/>
          <w:sz w:val="18"/>
        </w:rPr>
      </w:pPr>
      <w:r>
        <w:rPr>
          <w:rFonts w:ascii="Arial;sans-serif" w:hAnsi="Arial;sans-serif"/>
          <w:b w:val="false"/>
          <w:color w:val="000000"/>
          <w:sz w:val="18"/>
        </w:rPr>
        <w:t>(a)    Represents capital expenditures incurred by the centralized support facilities that are not allocated to the segments.</w:t>
      </w:r>
    </w:p>
    <w:p>
      <w:pPr>
        <w:pStyle w:val="TextBody"/>
        <w:bidi w:val="0"/>
        <w:spacing w:before="18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Note 20. Redeemable Non-controlling Interests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holders of the non-controlling interest in Idrica, a consolidated subsidiary of the Company, have a right to sell the remaining equity interest in Idrica to the Company for cash (the “Put Right”). The Put Right is exercisable after December 10, 2027 and has a fixed strike price of €168 million during the first two years after it is exercisable. Beginning in the third year of exercisability, the Put Right is exercisable at the fair market value of underlying equity interests. Redeemable non-controlling interest is reflected in the consolidated balance sheets at the greater of the carrying value or the redemption value. As of September 30, 2026, the Redeemable Non-Controlling Interest is reflected in the consolidated balance sheet at its carrying value.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shows the changes in the redeemable non-controlling interest for the nine months ended September 30, 2026 and September 30, 2025:</w:t>
      </w:r>
    </w:p>
    <w:tbl>
      <w:tblPr>
        <w:tblW w:w="7266" w:type="dxa"/>
        <w:jc w:val="left"/>
        <w:tblInd w:w="0" w:type="dxa"/>
        <w:tblLayout w:type="fixed"/>
        <w:tblCellMar>
          <w:top w:w="28" w:type="dxa"/>
          <w:left w:w="28" w:type="dxa"/>
          <w:bottom w:w="28" w:type="dxa"/>
          <w:right w:w="28" w:type="dxa"/>
        </w:tblCellMar>
      </w:tblPr>
      <w:tblGrid>
        <w:gridCol w:w="1797"/>
        <w:gridCol w:w="1574"/>
        <w:gridCol w:w="1594"/>
        <w:gridCol w:w="109"/>
        <w:gridCol w:w="109"/>
        <w:gridCol w:w="109"/>
        <w:gridCol w:w="211"/>
        <w:gridCol w:w="481"/>
        <w:gridCol w:w="109"/>
        <w:gridCol w:w="109"/>
        <w:gridCol w:w="109"/>
        <w:gridCol w:w="109"/>
        <w:gridCol w:w="211"/>
        <w:gridCol w:w="481"/>
        <w:gridCol w:w="154"/>
      </w:tblGrid>
      <w:tr>
        <w:trPr/>
        <w:tc>
          <w:tcPr>
            <w:tcW w:w="1797"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Redeemable non-controlling interest - January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Cumulative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Redeemable non-controlling interest -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Cumulative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Redeemable non-controlling interest -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Cumulative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Redeemable non-controlling interest -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41"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 xml:space="preserve">ITEM 2.     MANAGEMENT’S DISCUSSION AND ANALYSIS OF FINANCIAL CONDITION AND RESULTS OF OPERATIONS </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 xml:space="preserve">The following discussion should be read in conjunction with the condensed consolidated financial statements, including the notes, included elsewhere in this report on Form 10-Q (this "Report"). </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This Report contains “forward-looking statements" within the meaning of Section 27A of the Securities Act of 1933, as amended, and Section 21E of the Securities Exchange Act of 1934, as amended. Generally, the words “anticipate,” “estimate,” “expect,” “project,” “intend,” “plan,” "contemplate," "predict," “forecast,” “likely,” “believe,” “target,” "goal," "objective," “will,” “could,” “would,” “should,” "potential," "may" and similar expressions or their negative, may, but are not necessarily to, identify forward-looking statements. By their nature, forward-looking statements address uncertain matters and include any statements that: are not historical, such as statements about our strategy, financial plans, outlook, objectives, plans, intentions or goals (including those related to our social, environmental and other sustainability goals); or address possible or future results of operations or financial performance, including statements relating to orders, revenues, operating margins and earnings per share growth.</w:t>
      </w:r>
    </w:p>
    <w:p>
      <w:pPr>
        <w:pStyle w:val="TextBody"/>
        <w:bidi w:val="0"/>
        <w:spacing w:lineRule="auto" w:line="288" w:before="120" w:after="120"/>
        <w:jc w:val="left"/>
        <w:rPr/>
      </w:pPr>
      <w:r>
        <w:rPr>
          <w:rFonts w:ascii="Arial;sans-serif" w:hAnsi="Arial;sans-serif"/>
          <w:b w:val="false"/>
          <w:i/>
          <w:color w:val="000000"/>
          <w:sz w:val="20"/>
        </w:rPr>
        <w:t xml:space="preserve">Although we believe that the expectations reflected in any of our forward-looking statements are reasonable, actual results could differ materially from those projected or assumed in any of our forward-looking statements. Our future financial condition and results of operations, as well as any forward-looking statements, are subject to change and to inherent risks and uncertainties, many of which are beyond our control. Important factors that could cause our actual results, performance and achievements, or industry results to differ materially from estimates or projections contained in or implied by our forward-looking statements include, among others, the following: the impact of overall industry and general economic conditions, including industrial, governmental, and public and private sector demand and spending, interest rates, availability of funding to our customers, timing of our customers' capital spending and project deployments, inflation and governments' related monetary policy in response, and the strength of the real estate markets, on economic activity and our operations; geopolitical matters, including nationalism, protectionism and anti-global sentiment, volatility involving the U.S. and other governments, ongoing, escalation or outbreak of international conflicts, and regulatory, trade protection, economic and other risks associated with our global sales and operations; manufacturing and operating cost increases due to macroeconomic conditions, including inflation, energy supply, supply chain shortages, logistics challenges, labor shortages, trade agreements, tariffs, and other trade protection measures, and other factors; demand for our products, disruption, competition or pricing pressures in the markets we serve; cybersecurity incidents, data breaches, or other disruptions of information technology systems on which we or our customers rely, or involving our connected products and services; lack of availability or delays in receiving parts and raw materials from our supply chain, including semiconductors or other key components; operational disruptions at our facilities or that of third parties upon which we rely; safe and compliant treatment and handling of water, wastewater and hazardous materials; failure to successfully execute large projects, including as respects performance guarantees and customers’ budgets, timelines and safety requirements; our ability to retain, compete for, and attract leadership, other key talent and labor; defects, security, warranty and liability claims, and recalls related to our products; uncertainty around productivity, simplification, restructuring and realignment actions and related costs and savings; our ability to execute strategic investments for growth and portfolio optimization actions, including acquisitions and divestitures; availability, regulation or interference with radio spectrum used by certain of our products; volatility in served markets or impacts on our business and operations due to weather conditions, volatile weather events, or changing climate patterns; risks related to our sustainability efforts and related disclosures; fluctuations in foreign currency exchange rates; our level of indebtedness, including debt incurred to finance the pending Cornell Pump and Roper Pump acquisition, difficulty predicting our financial results; risk of future impairments to goodwill and other intangible assets; changes in our effective tax rates or tax expenses; failure to comply with, or changes in, laws or regulations, pertaining to our business conduct, operations, products and services, including anti-corruption, artificial intelligence, data privacy and security, trade, competition, the environment, and health and safety; legal, governmental or regulatory claims, investigations or proceedings and associated contingent liabilities; matters related to intellectual property infringement or expiration of rights; and other factors set forth under “Item 1A. Risk Factors” in our Annual Report on Form 10-K for the year ended December 31, </w:t>
      </w:r>
      <w:r>
        <w:rPr>
          <w:rFonts w:ascii="Arial;sans-serif" w:hAnsi="Arial;sans-serif"/>
          <w:b w:val="false"/>
          <w:color w:val="000000"/>
          <w:sz w:val="20"/>
        </w:rPr>
        <w:t>2025</w:t>
      </w:r>
      <w:r>
        <w:rPr>
          <w:color w:val="000000"/>
        </w:rPr>
        <w:t xml:space="preserve"> </w:t>
      </w:r>
      <w:r>
        <w:rPr>
          <w:rFonts w:ascii="Arial;sans-serif" w:hAnsi="Arial;sans-serif"/>
          <w:b w:val="false"/>
          <w:i/>
          <w:color w:val="000000"/>
          <w:sz w:val="20"/>
        </w:rPr>
        <w:t>(" 2025 Annual Report") and in subsequent filings we make with the Securities and Exchange Commission (“SEC”).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2"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Xylem is a leading global water technology company. We design, manufacture and service highly engineered products and solutions ranging across a wide variety of critical applications in utility, industrial, residential and commercial building services settings. Our broad portfolio of solutions addresses customer needs across the water cycle, from the delivery, measurement and use of drinking water to the collection, test, treatment and analysis of wastewater, to the return of water to the environment. Our product and service offerings are organized into four reportable segments that are aligned around the critical market applications they provide: Water Infrastructure, Applied Water, Measurement and Control Solutions and Water Solutions and Services.</w:t>
      </w:r>
    </w:p>
    <w:p>
      <w:pPr>
        <w:pStyle w:val="TextBody"/>
        <w:bidi w:val="0"/>
        <w:spacing w:lineRule="auto" w:line="288" w:before="120" w:after="120"/>
        <w:ind w:left="0" w:right="0" w:hanging="360"/>
        <w:jc w:val="left"/>
        <w:rPr/>
      </w:pPr>
      <w:r>
        <w:rPr>
          <w:color w:val="000000"/>
        </w:rPr>
        <w:t>•</w:t>
      </w:r>
      <w:r>
        <w:rPr>
          <w:rFonts w:ascii="Arial;sans-serif" w:hAnsi="Arial;sans-serif"/>
          <w:b w:val="false"/>
          <w:i/>
          <w:color w:val="000000"/>
          <w:sz w:val="20"/>
        </w:rPr>
        <w:t>Water Infrastructure</w:t>
      </w:r>
      <w:r>
        <w:rPr>
          <w:color w:val="000000"/>
        </w:rPr>
        <w:t xml:space="preserve"> </w:t>
      </w:r>
      <w:r>
        <w:rPr>
          <w:rFonts w:ascii="Arial;sans-serif" w:hAnsi="Arial;sans-serif"/>
          <w:b w:val="false"/>
          <w:color w:val="000000"/>
          <w:sz w:val="20"/>
        </w:rPr>
        <w:t xml:space="preserve">serves the water infrastructure sector with pump systems that transport water from aquifers, lakes, rivers and seas; with filtration, ultraviolet and ozone systems that provide treatment, making the water fit to use; and pumping solutions that move the wastewater and storm water to treatment facilities where our mixers, biological treatment, monitoring and control systems provide the primary functions in the treatment process. </w:t>
      </w:r>
    </w:p>
    <w:p>
      <w:pPr>
        <w:pStyle w:val="TextBody"/>
        <w:bidi w:val="0"/>
        <w:spacing w:lineRule="auto" w:line="288" w:before="120" w:after="120"/>
        <w:ind w:left="0" w:right="0" w:hanging="360"/>
        <w:jc w:val="left"/>
        <w:rPr/>
      </w:pPr>
      <w:r>
        <w:rPr>
          <w:color w:val="000000"/>
        </w:rPr>
        <w:t>•</w:t>
      </w:r>
      <w:r>
        <w:rPr>
          <w:rFonts w:ascii="Arial;sans-serif" w:hAnsi="Arial;sans-serif"/>
          <w:b w:val="false"/>
          <w:i/>
          <w:color w:val="000000"/>
          <w:sz w:val="20"/>
        </w:rPr>
        <w:t>Applied Water</w:t>
      </w:r>
      <w:r>
        <w:rPr>
          <w:color w:val="000000"/>
        </w:rPr>
        <w:t xml:space="preserve"> </w:t>
      </w:r>
      <w:r>
        <w:rPr>
          <w:rFonts w:ascii="Arial;sans-serif" w:hAnsi="Arial;sans-serif"/>
          <w:b w:val="false"/>
          <w:color w:val="000000"/>
          <w:sz w:val="20"/>
        </w:rPr>
        <w:t xml:space="preserve">serves the water usage applications sector with water pressure boosting systems for heating, ventilation and air conditioning, and for fire protection systems to the residential and commercial building solutions markets. </w:t>
      </w:r>
    </w:p>
    <w:p>
      <w:pPr>
        <w:pStyle w:val="TextBody"/>
        <w:bidi w:val="0"/>
        <w:spacing w:lineRule="auto" w:line="288" w:before="120" w:after="120"/>
        <w:ind w:left="0" w:right="0" w:hanging="360"/>
        <w:jc w:val="left"/>
        <w:rPr/>
      </w:pPr>
      <w:r>
        <w:rPr>
          <w:color w:val="000000"/>
        </w:rPr>
        <w:t>•</w:t>
      </w:r>
      <w:r>
        <w:rPr>
          <w:rFonts w:ascii="Arial;sans-serif" w:hAnsi="Arial;sans-serif"/>
          <w:b w:val="false"/>
          <w:i/>
          <w:color w:val="000000"/>
          <w:sz w:val="20"/>
        </w:rPr>
        <w:t>Measurement and Control Solutions</w:t>
      </w:r>
      <w:r>
        <w:rPr>
          <w:color w:val="000000"/>
        </w:rPr>
        <w:t xml:space="preserve"> </w:t>
      </w:r>
      <w:r>
        <w:rPr>
          <w:rFonts w:ascii="Arial;sans-serif" w:hAnsi="Arial;sans-serif"/>
          <w:b w:val="false"/>
          <w:color w:val="000000"/>
          <w:sz w:val="20"/>
        </w:rPr>
        <w:t xml:space="preserve">primarily serves the utility infrastructure solutions and services sector by delivering communications, smart metering, measurement and control capabilities and critical infrastructure technologies that allow customers to more effectively use their distribution networks for the delivery, monitoring and control of critical resources such as water, electricity and natural gas. We also provide analytical instrumentation used to measure and analyze water quality, flow and level in clean water, wastewater and outdoor water environments. </w:t>
      </w:r>
    </w:p>
    <w:p>
      <w:pPr>
        <w:pStyle w:val="TextBody"/>
        <w:bidi w:val="0"/>
        <w:spacing w:lineRule="auto" w:line="288" w:before="120" w:after="120"/>
        <w:ind w:left="0" w:right="0" w:hanging="360"/>
        <w:jc w:val="left"/>
        <w:rPr/>
      </w:pPr>
      <w:r>
        <w:rPr>
          <w:color w:val="000000"/>
        </w:rPr>
        <w:t>•</w:t>
      </w:r>
      <w:r>
        <w:rPr>
          <w:rFonts w:ascii="Arial;sans-serif" w:hAnsi="Arial;sans-serif"/>
          <w:b w:val="false"/>
          <w:i/>
          <w:color w:val="000000"/>
          <w:sz w:val="20"/>
        </w:rPr>
        <w:t>Water Solutions and Services</w:t>
      </w:r>
      <w:r>
        <w:rPr>
          <w:color w:val="000000"/>
        </w:rPr>
        <w:t xml:space="preserve"> </w:t>
      </w:r>
      <w:r>
        <w:rPr>
          <w:rFonts w:ascii="Arial;sans-serif" w:hAnsi="Arial;sans-serif"/>
          <w:b w:val="false"/>
          <w:color w:val="000000"/>
          <w:sz w:val="20"/>
        </w:rPr>
        <w:t>provides tailored services and solutions, in collaboration with customers, including on</w:t>
        <w:noBreakHyphen/>
        <w:t>demand water, outsourced water, recycle/reuse, pipeline assessment services, specialty dewatering and emergency response service alternatives to improve operational reliability, performance and environmental compliance.</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 xml:space="preserve">Executive Summary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Xylem reported revenue for the third quarter of 2026 of $2,201 million, a decrease of 3.0% compared to $2,268 million reported in the third quarter of 2025. The revenue decreases consisted of the net impact of $80 million of revenue loss from divestitures and $17 million of additional revenue from acquisitions, organic declines of $7 million, or 0.3%, partially offset by favorable foreign currency impacts of $3 million.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Additional financial highlights for the quarter ended September 30, 2026 include the following:</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Orders of $2,331 million, up 6.9% from $2,181 million in the prior year period, and up 9.9% on an organic basis.</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Earnings per share of $1.25, up 34.4% compared to prior year ($1.44, up 5.1% versus prior year, on an adjusted basis).</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Net income attributable to Xylem as a percent of revenue of 13.2%, up 320 basis points compared to 10.0% in the prior year. Adjusted EBITDA margin of 23.9%, up 70 basis points when compared to 23.2% in the prior year.</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Key Performance Indicators and Non-GAAP Measures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Management reviews key performance indicators including revenue, gross margins, segment operating income and margins, orders growth, working capital and backlog, among others. In addition, we consider certain non-GAAP (or "adjusted") measures to be useful to management and investors evaluating our operating performance for the periods presented, and to provide a tool for evaluating our ongoing operations, liquidity and management of assets. This information can assist investors in assessing our financial performance and measures our ability to generate capital for deployment among competing strategic alternatives and initiatives, including, but not limited to, dividends, acquisitions, share repurchases and debt repayment. Excluding revenue, Xylem provides guidance only on a non-GAAP basis due to the inherent difficulty in forecasting certain amounts that would be included in GAAP earnings, such as discrete tax items, without unreasonable effort. These adjusted metrics are consistent with how management views our business and are used to make financial, operating and planning decisions. These metrics, however, are not measures of financial performance under GAAP and should not be considered a substitute for revenue, operating income, net income, earnings per share (basic and diluted) or net cash from operating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3"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as determined in accordance with GAAP. We consider the following non-GAAP measures to be key performance indicators, as well as the related reconciling items to the most directly comparable measure calculated and presented in accordance with GAAP. The non-GAAP measures may not be comparable to similarly titled measures reported by other companies.</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"organic revenue" and "organic orders" defined as revenue and orders, respectively, excluding the impact of fluctuations in foreign currency translation and contributions from acquisitions and divestitures. Divestitures include sales or discontinuance of insignificant portions of our business that did not meet the criteria for classification as a discontinued operation. The period-over-period change resulting from foreign currency translation impacts is determined by translating current period and prior period activity using the same currency conversion rate.</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 xml:space="preserve">"adjusted net income" and "adjusted earnings per share" defined as net income attributable to Xylem and corresponding earnings per share, respectively, adjusted to exclude restructuring and realignment costs, amortization of acquired intangible assets, gain or loss from sale of businesses, special charges and tax-related special items, as applicable. A reconciliation of adjusted net income and adjusted earnings per share is provided below. </w:t>
      </w:r>
    </w:p>
    <w:tbl>
      <w:tblPr>
        <w:tblW w:w="10258" w:type="dxa"/>
        <w:jc w:val="left"/>
        <w:tblInd w:w="0" w:type="dxa"/>
        <w:tblLayout w:type="fixed"/>
        <w:tblCellMar>
          <w:top w:w="28" w:type="dxa"/>
          <w:left w:w="28" w:type="dxa"/>
          <w:bottom w:w="28" w:type="dxa"/>
          <w:right w:w="28" w:type="dxa"/>
        </w:tblCellMar>
      </w:tblPr>
      <w:tblGrid>
        <w:gridCol w:w="835"/>
        <w:gridCol w:w="220"/>
        <w:gridCol w:w="221"/>
        <w:gridCol w:w="211"/>
        <w:gridCol w:w="481"/>
        <w:gridCol w:w="109"/>
        <w:gridCol w:w="109"/>
        <w:gridCol w:w="109"/>
        <w:gridCol w:w="109"/>
        <w:gridCol w:w="211"/>
        <w:gridCol w:w="541"/>
        <w:gridCol w:w="109"/>
        <w:gridCol w:w="109"/>
        <w:gridCol w:w="109"/>
        <w:gridCol w:w="109"/>
        <w:gridCol w:w="211"/>
        <w:gridCol w:w="481"/>
        <w:gridCol w:w="109"/>
        <w:gridCol w:w="109"/>
        <w:gridCol w:w="109"/>
        <w:gridCol w:w="109"/>
        <w:gridCol w:w="211"/>
        <w:gridCol w:w="541"/>
        <w:gridCol w:w="109"/>
        <w:gridCol w:w="109"/>
        <w:gridCol w:w="109"/>
        <w:gridCol w:w="109"/>
        <w:gridCol w:w="211"/>
        <w:gridCol w:w="481"/>
        <w:gridCol w:w="109"/>
        <w:gridCol w:w="109"/>
        <w:gridCol w:w="109"/>
        <w:gridCol w:w="109"/>
        <w:gridCol w:w="211"/>
        <w:gridCol w:w="541"/>
        <w:gridCol w:w="109"/>
        <w:gridCol w:w="109"/>
        <w:gridCol w:w="109"/>
        <w:gridCol w:w="109"/>
        <w:gridCol w:w="211"/>
        <w:gridCol w:w="481"/>
        <w:gridCol w:w="109"/>
        <w:gridCol w:w="109"/>
        <w:gridCol w:w="109"/>
        <w:gridCol w:w="109"/>
        <w:gridCol w:w="211"/>
        <w:gridCol w:w="541"/>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per share data)</w:t>
            </w:r>
          </w:p>
        </w:tc>
        <w:tc>
          <w:tcPr>
            <w:tcW w:w="198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attributable to Xylem &amp; Earnings per share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and realignment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Acquired intangible amortization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Special charges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Tax-related special items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sale of businesses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effects of adjustments (a)</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net income &amp; Adjusted earnings per share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953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Weighted average number of shares - diluted</w:t>
            </w:r>
          </w:p>
        </w:tc>
        <w:tc>
          <w:tcPr>
            <w:tcW w:w="80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233.0</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244.1</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237.7</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243.9</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62"/>
        <w:gridCol w:w="2871"/>
        <w:gridCol w:w="4072"/>
      </w:tblGrid>
      <w:tr>
        <w:trPr/>
        <w:tc>
          <w:tcPr>
            <w:tcW w:w="3262"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(a) The tax effects of adjustments are calculated using the statutory tax rate, taking into consideration the nature of the item and the relevant taxing jurisdiction.</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"adjusted operating income" defined as operating income, adjusted to exclude restructuring and realignment costs, amortization of acquired intangible assets, gain or loss from sale of businesses, special charges and tax-related special items, as applicable, and "adjusted operating margin" defined as adjusted operating income divided by total revenue.</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EBITDA” defined as earnings before interest, taxes, depreciation and amortization expense, "EBITDA margin" defined as EBITDA divided by total revenue, "adjusted EBITDA" reflects the adjustments to EBITDA to exclude share-based compensation charges, restructuring and realignment costs, gain or loss from sale of businesses and special charges, and "adjusted EBITDA margin" defined as adjusted EBITDA divided by total revenue.</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realignment costs” defined as costs not included in restructuring costs that are incurred as part of actions taken to reposition our business, including items such as professional fees, severance, relocation, travel, facility set-up and other costs.</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special charges" defined as non-recurring costs incurred by the Company, such as those related to acquisitions and integrations, divestitures, non-cash impairment charges and other special charges. In 2026, these charges include reductions of expense related to the refunds of certain tariffs previously imposed under the International Emergency Economic Powers Act (“IEEPA”).</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"tax-related special items" defined as tax items, such as tax return versus tax provision adjustments, tax exam impacts, tax law change impacts, excess tax benefits/losses and other discrete tax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4"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 xml:space="preserve">"free cash flow" defined as net cash from operating activities, less capital expenditures, as reported in the Statement of Cash Flows. Our definition of "free cash flow" does not consider certain non-discretionary cash payments, such as debt. The following table provides a reconciliation of free cash flow. </w:t>
      </w:r>
    </w:p>
    <w:tbl>
      <w:tblPr>
        <w:tblW w:w="6553" w:type="dxa"/>
        <w:jc w:val="left"/>
        <w:tblInd w:w="0" w:type="dxa"/>
        <w:tblLayout w:type="fixed"/>
        <w:tblCellMar>
          <w:top w:w="28" w:type="dxa"/>
          <w:left w:w="28" w:type="dxa"/>
          <w:bottom w:w="28" w:type="dxa"/>
          <w:right w:w="28" w:type="dxa"/>
        </w:tblCellMar>
      </w:tblPr>
      <w:tblGrid>
        <w:gridCol w:w="1416"/>
        <w:gridCol w:w="1241"/>
        <w:gridCol w:w="1257"/>
        <w:gridCol w:w="109"/>
        <w:gridCol w:w="109"/>
        <w:gridCol w:w="109"/>
        <w:gridCol w:w="211"/>
        <w:gridCol w:w="541"/>
        <w:gridCol w:w="109"/>
        <w:gridCol w:w="109"/>
        <w:gridCol w:w="109"/>
        <w:gridCol w:w="109"/>
        <w:gridCol w:w="211"/>
        <w:gridCol w:w="541"/>
        <w:gridCol w:w="109"/>
        <w:gridCol w:w="109"/>
        <w:gridCol w:w="154"/>
      </w:tblGrid>
      <w:tr>
        <w:trPr/>
        <w:tc>
          <w:tcPr>
            <w:tcW w:w="1416"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(554)</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Results of Operations</w:t>
      </w:r>
    </w:p>
    <w:tbl>
      <w:tblPr>
        <w:tblW w:w="10205" w:type="dxa"/>
        <w:jc w:val="left"/>
        <w:tblInd w:w="0" w:type="dxa"/>
        <w:tblLayout w:type="fixed"/>
        <w:tblCellMar>
          <w:top w:w="28" w:type="dxa"/>
          <w:left w:w="28" w:type="dxa"/>
          <w:bottom w:w="28" w:type="dxa"/>
          <w:right w:w="28" w:type="dxa"/>
        </w:tblCellMar>
      </w:tblPr>
      <w:tblGrid>
        <w:gridCol w:w="1033"/>
        <w:gridCol w:w="603"/>
        <w:gridCol w:w="579"/>
        <w:gridCol w:w="211"/>
        <w:gridCol w:w="646"/>
        <w:gridCol w:w="286"/>
        <w:gridCol w:w="109"/>
        <w:gridCol w:w="109"/>
        <w:gridCol w:w="109"/>
        <w:gridCol w:w="211"/>
        <w:gridCol w:w="481"/>
        <w:gridCol w:w="286"/>
        <w:gridCol w:w="109"/>
        <w:gridCol w:w="109"/>
        <w:gridCol w:w="109"/>
        <w:gridCol w:w="322"/>
        <w:gridCol w:w="324"/>
        <w:gridCol w:w="384"/>
        <w:gridCol w:w="109"/>
        <w:gridCol w:w="109"/>
        <w:gridCol w:w="109"/>
        <w:gridCol w:w="211"/>
        <w:gridCol w:w="646"/>
        <w:gridCol w:w="286"/>
        <w:gridCol w:w="109"/>
        <w:gridCol w:w="109"/>
        <w:gridCol w:w="109"/>
        <w:gridCol w:w="211"/>
        <w:gridCol w:w="481"/>
        <w:gridCol w:w="286"/>
        <w:gridCol w:w="109"/>
        <w:gridCol w:w="109"/>
        <w:gridCol w:w="109"/>
        <w:gridCol w:w="322"/>
        <w:gridCol w:w="324"/>
        <w:gridCol w:w="437"/>
      </w:tblGrid>
      <w:tr>
        <w:trPr/>
        <w:tc>
          <w:tcPr>
            <w:tcW w:w="103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2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r>
      <w:tr>
        <w:trPr/>
        <w:tc>
          <w:tcPr>
            <w:tcW w:w="2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2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2,201</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3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6,662</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4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907</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2,673</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Gross margin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41.2</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 bp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40.1</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 bp</w:t>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522</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w:t>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1,654</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Expense to revenue ratio</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23.7</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bp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24.8</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bp</w:t>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385</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1,019</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Operating margin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17.5</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 bp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15.3</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 bp</w:t>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other non-operating expense,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190.0 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sale of businesses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(86.5)</w:t>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Tax rate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21.1</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 bp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24.2</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bp</w:t>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288</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27.4 </w:t>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738</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attributable to non-controlling interest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200.0 </w:t>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Xylem</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28.2 </w:t>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747</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80" w:after="180"/>
        <w:jc w:val="left"/>
        <w:rPr>
          <w:rFonts w:ascii="Arial;sans-serif" w:hAnsi="Arial;sans-serif"/>
          <w:b w:val="false"/>
          <w:color w:val="000000"/>
          <w:sz w:val="18"/>
        </w:rPr>
      </w:pPr>
      <w:r>
        <w:rPr>
          <w:rFonts w:ascii="Arial;sans-serif" w:hAnsi="Arial;sans-serif"/>
          <w:b w:val="false"/>
          <w:color w:val="000000"/>
          <w:sz w:val="18"/>
        </w:rPr>
        <w:t>NM     Not Meaningful</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 xml:space="preserve">Revenue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Revenue generated during the three and nine months ended September 30, 2026 was $2,201 million and $6,662 million, respectively, reflecting a decrease of $67 million, or 3.0%, and an increase of $24 million, or 0.4% compared to the prior year. Organic revenue decreased $7 million, or 0.3%, and increased $14 million, or 0.2% for the three and nine months ended September 30, 2026, respectively. Foreign currency translation had a favorable impact on revenue of $3 million and $97 million for the three and nine months ended September 30, 2026. The loss of revenue from divestitures of $80 million was partially offset by a corresponding increase in revenue from acquisitions of $17 million for the three months ended September 30, 2026. For the nine months ended September 30, 2026 the loss of revenue from divestitures of $116 million was partially offset by a corresponding increase in revenue from acquisitions of $29 million. The decrease in organic revenue for the three months ended September 30, 2026 is primarily due to reduced sales volume in U.S. metering in our Measurement and Control Solutions segment and service and rental volume in our Water Solutions and Services segment, mostly offset by strong growth in our Applied Water segment. The increase in organic revenue for the nine months ended September 30, 2026 is primarily due to strong price realization and backlog execution in the U.S. in our Applied Water segment and increased sales volume in the U.S. in our Water Infrastructure segment.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tables illustrate the impact from organic growth, recent acquisitions and divestitures, and foreign currency translation in relation to revenue during the three and nine months ended September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5"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1311" w:type="dxa"/>
        <w:jc w:val="center"/>
        <w:tblInd w:w="0" w:type="dxa"/>
        <w:tblLayout w:type="fixed"/>
        <w:tblCellMar>
          <w:top w:w="28" w:type="dxa"/>
          <w:left w:w="28" w:type="dxa"/>
          <w:bottom w:w="28" w:type="dxa"/>
          <w:right w:w="28" w:type="dxa"/>
        </w:tblCellMar>
      </w:tblPr>
      <w:tblGrid>
        <w:gridCol w:w="532"/>
        <w:gridCol w:w="400"/>
        <w:gridCol w:w="254"/>
        <w:gridCol w:w="221"/>
        <w:gridCol w:w="481"/>
        <w:gridCol w:w="109"/>
        <w:gridCol w:w="243"/>
        <w:gridCol w:w="193"/>
        <w:gridCol w:w="495"/>
        <w:gridCol w:w="109"/>
        <w:gridCol w:w="109"/>
        <w:gridCol w:w="109"/>
        <w:gridCol w:w="213"/>
        <w:gridCol w:w="487"/>
        <w:gridCol w:w="111"/>
        <w:gridCol w:w="243"/>
        <w:gridCol w:w="193"/>
        <w:gridCol w:w="495"/>
        <w:gridCol w:w="109"/>
        <w:gridCol w:w="109"/>
        <w:gridCol w:w="109"/>
        <w:gridCol w:w="221"/>
        <w:gridCol w:w="481"/>
        <w:gridCol w:w="109"/>
        <w:gridCol w:w="270"/>
        <w:gridCol w:w="271"/>
        <w:gridCol w:w="343"/>
        <w:gridCol w:w="109"/>
        <w:gridCol w:w="109"/>
        <w:gridCol w:w="109"/>
        <w:gridCol w:w="221"/>
        <w:gridCol w:w="481"/>
        <w:gridCol w:w="109"/>
        <w:gridCol w:w="219"/>
        <w:gridCol w:w="219"/>
        <w:gridCol w:w="433"/>
        <w:gridCol w:w="109"/>
        <w:gridCol w:w="109"/>
        <w:gridCol w:w="109"/>
        <w:gridCol w:w="211"/>
        <w:gridCol w:w="646"/>
        <w:gridCol w:w="109"/>
        <w:gridCol w:w="231"/>
        <w:gridCol w:w="205"/>
        <w:gridCol w:w="554"/>
      </w:tblGrid>
      <w:tr>
        <w:trPr/>
        <w:tc>
          <w:tcPr>
            <w:tcW w:w="53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Water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Applied Water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Measurement and Control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Water Solutions and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Xylem</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8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9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 (b)</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 Revenue</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Organic Growth</w:t>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Acquisitions</w:t>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Divestitures</w:t>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w:t>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change in revenue</w:t>
            </w:r>
          </w:p>
        </w:tc>
        <w:tc>
          <w:tcPr>
            <w:tcW w:w="7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4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5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2026 Revenue</w:t>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489</w:t>
            </w:r>
            <w:r>
              <w:rPr>
                <w:color w:val="000000"/>
              </w:rPr>
              <w:t>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436</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2,201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Arial;sans-serif" w:hAnsi="Arial;sans-serif"/>
          <w:b w:val="false"/>
          <w:color w:val="000000"/>
          <w:sz w:val="18"/>
        </w:rPr>
      </w:pPr>
      <w:r>
        <w:rPr>
          <w:rFonts w:ascii="Arial;sans-serif" w:hAnsi="Arial;sans-serif"/>
          <w:b w:val="false"/>
          <w:color w:val="000000"/>
          <w:sz w:val="18"/>
        </w:rPr>
        <w:t>(a)Foreign currency translation impact for the year primarily due to the strengthening in value of various currencies against the U.S. Dollar, the largest being the Australian Dollar and the Chinese Yuan, offset by the weakening in the Euro.</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(b)Percentages may not foot due to differences in computational basis.</w:t>
      </w:r>
    </w:p>
    <w:p>
      <w:pPr>
        <w:pStyle w:val="TextBody"/>
        <w:bidi w:val="0"/>
        <w:spacing w:before="120" w:after="120"/>
        <w:jc w:val="left"/>
        <w:rPr/>
      </w:pPr>
      <w:r>
        <w:rPr/>
      </w:r>
    </w:p>
    <w:tbl>
      <w:tblPr>
        <w:tblW w:w="11966" w:type="dxa"/>
        <w:jc w:val="left"/>
        <w:tblInd w:w="0" w:type="dxa"/>
        <w:tblLayout w:type="fixed"/>
        <w:tblCellMar>
          <w:top w:w="28" w:type="dxa"/>
          <w:left w:w="28" w:type="dxa"/>
          <w:bottom w:w="28" w:type="dxa"/>
          <w:right w:w="28" w:type="dxa"/>
        </w:tblCellMar>
      </w:tblPr>
      <w:tblGrid>
        <w:gridCol w:w="532"/>
        <w:gridCol w:w="400"/>
        <w:gridCol w:w="254"/>
        <w:gridCol w:w="211"/>
        <w:gridCol w:w="646"/>
        <w:gridCol w:w="109"/>
        <w:gridCol w:w="243"/>
        <w:gridCol w:w="193"/>
        <w:gridCol w:w="495"/>
        <w:gridCol w:w="109"/>
        <w:gridCol w:w="109"/>
        <w:gridCol w:w="109"/>
        <w:gridCol w:w="211"/>
        <w:gridCol w:w="646"/>
        <w:gridCol w:w="109"/>
        <w:gridCol w:w="243"/>
        <w:gridCol w:w="193"/>
        <w:gridCol w:w="495"/>
        <w:gridCol w:w="109"/>
        <w:gridCol w:w="109"/>
        <w:gridCol w:w="109"/>
        <w:gridCol w:w="211"/>
        <w:gridCol w:w="646"/>
        <w:gridCol w:w="109"/>
        <w:gridCol w:w="234"/>
        <w:gridCol w:w="234"/>
        <w:gridCol w:w="403"/>
        <w:gridCol w:w="109"/>
        <w:gridCol w:w="109"/>
        <w:gridCol w:w="109"/>
        <w:gridCol w:w="211"/>
        <w:gridCol w:w="646"/>
        <w:gridCol w:w="109"/>
        <w:gridCol w:w="242"/>
        <w:gridCol w:w="194"/>
        <w:gridCol w:w="483"/>
        <w:gridCol w:w="109"/>
        <w:gridCol w:w="109"/>
        <w:gridCol w:w="109"/>
        <w:gridCol w:w="211"/>
        <w:gridCol w:w="646"/>
        <w:gridCol w:w="109"/>
        <w:gridCol w:w="231"/>
        <w:gridCol w:w="205"/>
        <w:gridCol w:w="554"/>
      </w:tblGrid>
      <w:tr>
        <w:trPr/>
        <w:tc>
          <w:tcPr>
            <w:tcW w:w="53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Water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Applied Water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Measurement and Control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Water Solutions and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Xylem</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9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9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 (b)</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 Revenue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Organic Growth</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Divestitures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w:t>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change in revenue</w:t>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w:t>
            </w:r>
          </w:p>
        </w:tc>
        <w:tc>
          <w:tcPr>
            <w:tcW w:w="4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5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2026 Revenue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1,931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1,438</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1,452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1,841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6,662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Arial;sans-serif" w:hAnsi="Arial;sans-serif"/>
          <w:b w:val="false"/>
          <w:color w:val="000000"/>
          <w:sz w:val="18"/>
        </w:rPr>
      </w:pPr>
      <w:r>
        <w:rPr>
          <w:rFonts w:ascii="Arial;sans-serif" w:hAnsi="Arial;sans-serif"/>
          <w:b w:val="false"/>
          <w:color w:val="000000"/>
          <w:sz w:val="18"/>
        </w:rPr>
        <w:t>(a)Foreign currency translation impact for the year primarily due to the strengthening in value of various currencies against the U.S. Dollar, the largest being the Euro, Australian Dollar, Hungarian Forint, Chinese Yuan, British Pound, Norwegian Krone, and the Swedish Krona.</w:t>
      </w:r>
    </w:p>
    <w:p>
      <w:pPr>
        <w:pStyle w:val="TextBody"/>
        <w:bidi w:val="0"/>
        <w:spacing w:lineRule="auto" w:line="288" w:before="120" w:after="120"/>
        <w:ind w:left="0" w:right="0" w:hanging="360"/>
        <w:jc w:val="left"/>
        <w:rPr>
          <w:rFonts w:ascii="Arial;sans-serif" w:hAnsi="Arial;sans-serif"/>
          <w:b w:val="false"/>
          <w:color w:val="000000"/>
          <w:sz w:val="18"/>
        </w:rPr>
      </w:pPr>
      <w:r>
        <w:rPr>
          <w:rFonts w:ascii="Arial;sans-serif" w:hAnsi="Arial;sans-serif"/>
          <w:b w:val="false"/>
          <w:color w:val="000000"/>
          <w:sz w:val="18"/>
        </w:rPr>
        <w:t>(b)Percentages may not foot due to differences in computational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6"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 xml:space="preserve">Water Infrastructure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Water Infrastructure revenue decreased $11 million, or 1.7%, for the third quarter of 2026 as compared to the prior year. Revenue declines for the quarter included decreased organic revenue of $8 million, or 1.2%, the impact of $6 million of lost revenue from divestitures and $1 million of increased revenue from acquisitions, and $2 million of favorable impacts from foreign currency translation. Revenue in the treatment application declined $19 million organically due to timing of revenue recognition in western Europe, market softness in China, and targeted exits on non-strategic capital revenue and market softness in emerging markets. The decreased organic revenue was partially offset by organic revenue growth in the transport application of $8 million due to strong backlog execution in the U.S., partially offset by reduced backlog execution and project timing in the emerging markets.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Water Infrastructure revenue increased $44 million, or 2.3%, for the nine months ended September 30, 2026 as compared to the prior year. Revenue growth for the period included $45 million of favorable impacts from foreign currency translation, an increase of $8 million of revenue from acquisitions, organic revenue growth of $4 million, or 0.2% and a loss of revenue of $13 million from divestitures. Organic revenue growth was driven by $42 million of organic growth in the transport application due to increased sales volume and strong backlog execution in the U.S. partially offset by market softness and reduced backlog execution in the emerging markets. Revenue in the treatment application declined by $38 million organically, driven by targeted exits on non-strategic capital revenue, market softness in China and reduced sales volume and capital project revenue in western Europe, partially offset by favorable capital project revenue in the U.S. </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Applied Water</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Applied Water revenue increased $33 million, or 7.2% for the third quarter of 2026 as compared to the prior year. Revenue growth for the quarter included organic revenue growth of $39 million, or 8.7%, and $6 million of lost revenue from divestitures. Revenue from the industrial application grew $24 million organically, due primarily to increased data center project revenue and backlog execution in the emerging markets and U.S. Building solutions revenue grew $15 million organically due to strong backlog execution and price realization in the U.S. commercial market, partially offset by declines in the residential market across all major geographies.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Applied Water revenue increased $64 million, or 4.7% for the nine months ended September 30, 2026 as compared to the prior year. Revenue growth for the period included $51 million, or 3.7%, of organic revenue growth, $19 million of favorable foreign currency translation and $6 million of lost revenue from divestitures. Building solutions revenue grew $36 million organically, due primarily to commercial backlog execution and price in the U.S., partially offset by residential declines in the emerging markets and western Europe. Revenue from the industrial application grew by $15 million organically due primarily to increased data center project revenue and backlog execution in the U.S. and emerging markets, partially offset by reduced demand in western Europe driven by geopolitical uncertainty.</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 xml:space="preserve">Measurement and Control Solutions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Measurement and Control Solutions revenue decreased $86 million, or 16.5%, for the third quarter of 2026 as compared to the prior year. The decrease in revenue was primarily due to the net impact of $68 million of lost revenue from divestitures and $6 million of additional revenue from acquisitions. The decline in revenue also included a $23 million, or 5.1%, decrease in organic revenue and $1 million of unfavorable foreign currency translation. Organic revenue declines were driven by $16 million from the smart metering and other applications, driven by reduced electric metering sales volume in the U.S. Organic revenue decline by $7 million in the analytics application due primarily to lapping of prior year project revenue in western Europe and reduced sales volume in the U.S.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Measurement and Control Solutions revenue decreased $100 million, or 6.4%, for the nine months ended September 30, 2026 as compared to the prior year. The decrease in revenue was primarily due to the net effect of $97 million of lost revenue from divestitures and $6 million of additional revenue from acquisitions. Revenue declines also included organic revenue declines of $23 million, or 1.6%, partially offset by $14 million of favorable foreign currency translation. Organic revenue declines were driven by $16 million from the smart metering and other applications, driven by reduced sales volume in water metering, partially offset by energy metering due to lower shippable backlog coming into the year in the U.S. Organic revenue declined by $7 million in the analytics application due primarily to reduced sales volume in the emerging markets and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7"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Water Solutions and Services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Water Solutions and Services revenue decreased $3 million, or 0.5%, for the third quarter of 2026 as compared to the prior year. The decrease in revenue was primarily driven by $15 million, or 2.4%, of organic declines, mostly offset by $10 million of revenue from acquisitions, and $2 million of favorable impacts from foreign currency translation. Organic revenue declines were driven by $9 million of organic declines in the service application, driven by unfavorable service and rental volume in the U.S. Organic revenue for the capital application declined by $6 million as compared to the prior year, driven by capital project revenue in North America, partially offset by lapping of prior year capital project revenue in the emerging markets.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Water Solutions and Services revenue increased $16 million, or 0.9%, for the nine months ended September 30, 2026 as compared to the prior year. The revenue growth was primarily driven by $19 million of favorable impacts from foreign currency and $15 million of revenue from acquisitions, offset by $18 million, or 1.0%, of organic declines. Revenue in the capital and other applications declined by $12 million organically, primarily due to lower sales volume, in the U.S. and lapping of prior year capital project revenue in the emerging markets, partially offset by increased capital project revenue recognized in North America as the result of a contract modification and favorable sales volume in the emerging markets and western Europe. Organic revenue from the service application declined by $6 million driven by unfavorable service project timing in the U.S., partially offset by favorable service and rental volume in the emerging markets.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 xml:space="preserve">Orders/Backlog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An order represents a legally enforceable, written document that includes the scope of work or services to be performed or equipment to be supplied to a customer, the corresponding price and the expected delivery date for the applicable products or services to be provided. An order often takes the form of a customer purchase order or a signed quote from a Xylem business.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illustrates the impact from organic growth, recent acquisitions and divestitures, and foreign currency translation in relation to orders during 2026:</w:t>
      </w:r>
    </w:p>
    <w:tbl>
      <w:tblPr>
        <w:tblW w:w="10813" w:type="dxa"/>
        <w:jc w:val="left"/>
        <w:tblInd w:w="0" w:type="dxa"/>
        <w:tblLayout w:type="fixed"/>
        <w:tblCellMar>
          <w:top w:w="28" w:type="dxa"/>
          <w:left w:w="28" w:type="dxa"/>
          <w:bottom w:w="28" w:type="dxa"/>
          <w:right w:w="28" w:type="dxa"/>
        </w:tblCellMar>
      </w:tblPr>
      <w:tblGrid>
        <w:gridCol w:w="527"/>
        <w:gridCol w:w="452"/>
        <w:gridCol w:w="207"/>
        <w:gridCol w:w="211"/>
        <w:gridCol w:w="481"/>
        <w:gridCol w:w="109"/>
        <w:gridCol w:w="218"/>
        <w:gridCol w:w="218"/>
        <w:gridCol w:w="368"/>
        <w:gridCol w:w="109"/>
        <w:gridCol w:w="109"/>
        <w:gridCol w:w="109"/>
        <w:gridCol w:w="211"/>
        <w:gridCol w:w="481"/>
        <w:gridCol w:w="109"/>
        <w:gridCol w:w="270"/>
        <w:gridCol w:w="271"/>
        <w:gridCol w:w="384"/>
        <w:gridCol w:w="109"/>
        <w:gridCol w:w="109"/>
        <w:gridCol w:w="109"/>
        <w:gridCol w:w="211"/>
        <w:gridCol w:w="481"/>
        <w:gridCol w:w="109"/>
        <w:gridCol w:w="366"/>
        <w:gridCol w:w="175"/>
        <w:gridCol w:w="286"/>
        <w:gridCol w:w="109"/>
        <w:gridCol w:w="109"/>
        <w:gridCol w:w="109"/>
        <w:gridCol w:w="211"/>
        <w:gridCol w:w="481"/>
        <w:gridCol w:w="109"/>
        <w:gridCol w:w="219"/>
        <w:gridCol w:w="217"/>
        <w:gridCol w:w="286"/>
        <w:gridCol w:w="109"/>
        <w:gridCol w:w="109"/>
        <w:gridCol w:w="109"/>
        <w:gridCol w:w="211"/>
        <w:gridCol w:w="646"/>
        <w:gridCol w:w="109"/>
        <w:gridCol w:w="218"/>
        <w:gridCol w:w="218"/>
        <w:gridCol w:w="435"/>
      </w:tblGrid>
      <w:tr>
        <w:trPr/>
        <w:tc>
          <w:tcPr>
            <w:tcW w:w="52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Water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Applied Water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Measurement and Control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Water Solutions and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Xylem</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w:t>
              <w:br/>
              <w:t>Change</w:t>
            </w:r>
          </w:p>
        </w:tc>
        <w:tc>
          <w:tcPr>
            <w:tcW w:w="8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w:t>
              <w:br/>
              <w:t>Change</w:t>
            </w:r>
          </w:p>
        </w:tc>
        <w:tc>
          <w:tcPr>
            <w:tcW w:w="9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w:t>
              <w:br/>
              <w:t>Change</w:t>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w:t>
              <w:br/>
              <w:t>Change</w:t>
            </w:r>
          </w:p>
        </w:tc>
        <w:tc>
          <w:tcPr>
            <w:tcW w:w="7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w:t>
              <w:br/>
              <w:t>Change</w:t>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w:t>
              <w:br/>
              <w:t>Change</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 Orders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Organic Impact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Divestitures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change in orders</w:t>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3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4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2026 Orders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675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650</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2,331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Arial;sans-serif" w:hAnsi="Arial;sans-serif"/>
          <w:b w:val="false"/>
          <w:color w:val="000000"/>
          <w:sz w:val="18"/>
        </w:rPr>
      </w:pPr>
      <w:r>
        <w:rPr>
          <w:rFonts w:ascii="Arial;sans-serif" w:hAnsi="Arial;sans-serif"/>
          <w:b w:val="false"/>
          <w:color w:val="000000"/>
          <w:sz w:val="18"/>
        </w:rPr>
        <w:t>(a)Foreign currency translation impact for the year primarily due to the strengthening in value of various currencies against the U.S. Dollar, the largest being the Australian Dollar and the Chinese Yuan, offset by the weakening in the Euro.</w:t>
      </w:r>
    </w:p>
    <w:p>
      <w:pPr>
        <w:pStyle w:val="TextBody"/>
        <w:bidi w:val="0"/>
        <w:spacing w:lineRule="auto" w:line="288" w:before="120" w:after="120"/>
        <w:ind w:left="0" w:right="0" w:hanging="360"/>
        <w:jc w:val="left"/>
        <w:rPr>
          <w:rFonts w:ascii="Arial;sans-serif" w:hAnsi="Arial;sans-serif"/>
          <w:b w:val="false"/>
          <w:color w:val="000000"/>
          <w:sz w:val="18"/>
        </w:rPr>
      </w:pPr>
      <w:r>
        <w:rPr>
          <w:rFonts w:ascii="Arial;sans-serif" w:hAnsi="Arial;sans-serif"/>
          <w:b w:val="false"/>
          <w:color w:val="000000"/>
          <w:sz w:val="18"/>
        </w:rPr>
        <w:t>(b)Percentages may not foot due to differences in computational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48"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1596" w:type="dxa"/>
        <w:jc w:val="left"/>
        <w:tblInd w:w="0" w:type="dxa"/>
        <w:tblLayout w:type="fixed"/>
        <w:tblCellMar>
          <w:top w:w="28" w:type="dxa"/>
          <w:left w:w="28" w:type="dxa"/>
          <w:bottom w:w="28" w:type="dxa"/>
          <w:right w:w="28" w:type="dxa"/>
        </w:tblCellMar>
      </w:tblPr>
      <w:tblGrid>
        <w:gridCol w:w="527"/>
        <w:gridCol w:w="452"/>
        <w:gridCol w:w="207"/>
        <w:gridCol w:w="211"/>
        <w:gridCol w:w="646"/>
        <w:gridCol w:w="109"/>
        <w:gridCol w:w="218"/>
        <w:gridCol w:w="218"/>
        <w:gridCol w:w="384"/>
        <w:gridCol w:w="109"/>
        <w:gridCol w:w="109"/>
        <w:gridCol w:w="109"/>
        <w:gridCol w:w="211"/>
        <w:gridCol w:w="646"/>
        <w:gridCol w:w="109"/>
        <w:gridCol w:w="218"/>
        <w:gridCol w:w="218"/>
        <w:gridCol w:w="384"/>
        <w:gridCol w:w="109"/>
        <w:gridCol w:w="109"/>
        <w:gridCol w:w="109"/>
        <w:gridCol w:w="211"/>
        <w:gridCol w:w="646"/>
        <w:gridCol w:w="109"/>
        <w:gridCol w:w="324"/>
        <w:gridCol w:w="217"/>
        <w:gridCol w:w="286"/>
        <w:gridCol w:w="109"/>
        <w:gridCol w:w="109"/>
        <w:gridCol w:w="109"/>
        <w:gridCol w:w="211"/>
        <w:gridCol w:w="646"/>
        <w:gridCol w:w="109"/>
        <w:gridCol w:w="270"/>
        <w:gridCol w:w="271"/>
        <w:gridCol w:w="288"/>
        <w:gridCol w:w="109"/>
        <w:gridCol w:w="109"/>
        <w:gridCol w:w="109"/>
        <w:gridCol w:w="211"/>
        <w:gridCol w:w="646"/>
        <w:gridCol w:w="109"/>
        <w:gridCol w:w="270"/>
        <w:gridCol w:w="271"/>
        <w:gridCol w:w="435"/>
      </w:tblGrid>
      <w:tr>
        <w:trPr/>
        <w:tc>
          <w:tcPr>
            <w:tcW w:w="52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Water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Applied Water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Measurement and Control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Water Solutions and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Xylem</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w:t>
              <w:br/>
              <w:t>Change</w:t>
            </w:r>
          </w:p>
        </w:tc>
        <w:tc>
          <w:tcPr>
            <w:tcW w:w="8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w:t>
              <w:br/>
              <w:t>Change</w:t>
            </w:r>
          </w:p>
        </w:tc>
        <w:tc>
          <w:tcPr>
            <w:tcW w:w="8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w:t>
              <w:br/>
              <w:t>Change</w:t>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w:t>
              <w:br/>
              <w:t>Change</w:t>
            </w:r>
          </w:p>
        </w:tc>
        <w:tc>
          <w:tcPr>
            <w:tcW w:w="8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w:t>
              <w:br/>
              <w:t>Change</w:t>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w:t>
              <w:br/>
              <w:t>Change</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 Orders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Organic Impact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43.3 </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16.9 </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Divestitures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change in orders</w:t>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3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3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45.8 </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17.4 </w:t>
            </w:r>
          </w:p>
        </w:tc>
        <w:tc>
          <w:tcPr>
            <w:tcW w:w="4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2026 Orders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2,019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1,552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1,409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2,665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7,645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Arial;sans-serif" w:hAnsi="Arial;sans-serif"/>
          <w:b w:val="false"/>
          <w:color w:val="000000"/>
          <w:sz w:val="18"/>
        </w:rPr>
      </w:pPr>
      <w:r>
        <w:rPr>
          <w:rFonts w:ascii="Arial;sans-serif" w:hAnsi="Arial;sans-serif"/>
          <w:b w:val="false"/>
          <w:color w:val="000000"/>
          <w:sz w:val="18"/>
        </w:rPr>
        <w:t>(a)Foreign currency translation impact for the year primarily due to the strengthening in value of various currencies against the U.S. Dollar, the largest being the Euro, Australian Dollar, Hungarian Forint, Chinese Yuan, British Pound, Norwegian Krone, and the Swedish Krona.</w:t>
      </w:r>
    </w:p>
    <w:p>
      <w:pPr>
        <w:pStyle w:val="TextBody"/>
        <w:bidi w:val="0"/>
        <w:spacing w:lineRule="auto" w:line="288" w:before="120" w:after="283"/>
        <w:ind w:left="0" w:right="0" w:hanging="360"/>
        <w:jc w:val="left"/>
        <w:rPr>
          <w:rFonts w:ascii="Arial;sans-serif" w:hAnsi="Arial;sans-serif"/>
          <w:b w:val="false"/>
          <w:color w:val="000000"/>
          <w:sz w:val="18"/>
        </w:rPr>
      </w:pPr>
      <w:r>
        <w:rPr>
          <w:rFonts w:ascii="Arial;sans-serif" w:hAnsi="Arial;sans-serif"/>
          <w:b w:val="false"/>
          <w:color w:val="000000"/>
          <w:sz w:val="18"/>
        </w:rPr>
        <w:t>(b)Percentages may not foot due to differences in computational basis.</w:t>
      </w:r>
    </w:p>
    <w:p>
      <w:pPr>
        <w:pStyle w:val="TextBody"/>
        <w:bidi w:val="0"/>
        <w:spacing w:before="120" w:after="120"/>
        <w:jc w:val="left"/>
        <w:rPr/>
      </w:pPr>
      <w:r>
        <w:rPr/>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 xml:space="preserve">Backlog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Backlog includes orders on hand as well as contractual customer agreements at the end of the period. Delivery schedules vary from customer to customer based on their requirements. Annual or multi-year contracts are subject to rescheduling and cancellation by customers due to the long-term nature of the contracts. As such, beginning total backlog, plus orders, minus revenues, will not equal ending total backlog due to contract adjustments, foreign currency fluctuations, and other factors. Typically, capital projects require longer lead production cycles and deployment schedules and delays occur from time to time. Total backlog was $5,466 million at September 30, 2026, an increase of $647 million, or 13.4%, as compared to September 30, 2025 backlog of $4,819 million. The backlog increase was due to strong order intake in the Water Solutions and Services and Applied Water segments, including the securing of a significant contract in Water Solutions and Services during the nine months ended September 30, 2026. The backlog increase was partially offset by backlog declines in the Measurement and Control Solutions due to the net impact of divestiture and acquisition activity, and Water Infrastructure segments primarily due to revenue outpacing orders and contract wins. Backlog increased $851 million, or 18.4%, at September 30, 2026, as compared to December 31, 2025 backlog of $4,615 million. The increase in backlog as compared to December 31, 2025 was driven primarily by strong order intake across all segments, including the securing of a significant contract in the Water Solutions and Services segment, partially offset by the divestiture of the international metering business in the Measurement and Control Solutions segment. We anticipate that approximately 20% of the backlog as of September 30, 2026 will be recognized as revenue in the remainder of 2026. There were no significant order cancellations during the quarter.</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Gross Margin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Gross margin as a percentage of revenue increased 230 basis points to 41.2% for the three months ended September 30, 2026, as compared to 38.9% for the three months ended September 30, 2025. The gross margin increase included net favorable impacts of 160 basis points from IEEPA tariff refunds in special charges, and decreased realignments costs, and acquired intangible amortization as compared to the prior year. Gross margin expansion also included 420 basis points of favorable operational impacts, driven by 220 basis points of productivity savings and 140 basis points of price realization. These increases in gross margin were partially offset by 350 basis points of unfavorable operational impacts driven by 150 basis points of inflation, 80 basis points of unfavorable foreign currency impacts and 70 basis points of unfavorable mix.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Gross margin as a percentage of revenue increased 180 basis points to 40.1% for the nine months ended September 30, 2026, as compared to 38.3% for the nine months ended September 30, 2025. The gross margin increase included net favorable impacts of 80 basis points from IEEPA tariff refunds in special charges and acquired intangible amortization, partially offset by realignment costs as compared to the prior year. Gross margin expansion also included 430 basis points of favorable operational impacts, led by 250 basis points of productivity savings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49"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150 basis points of price realization. These increases in gross margin were partially offset by 330 basis points of unfavorable operational impacts driven by 210 basis points of inflation and 40 basis points of decreased volume.</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Operating Expenses</w:t>
      </w:r>
    </w:p>
    <w:tbl>
      <w:tblPr>
        <w:tblW w:w="10205" w:type="dxa"/>
        <w:jc w:val="left"/>
        <w:tblInd w:w="0" w:type="dxa"/>
        <w:tblLayout w:type="fixed"/>
        <w:tblCellMar>
          <w:top w:w="28" w:type="dxa"/>
          <w:left w:w="28" w:type="dxa"/>
          <w:bottom w:w="28" w:type="dxa"/>
          <w:right w:w="28" w:type="dxa"/>
        </w:tblCellMar>
      </w:tblPr>
      <w:tblGrid>
        <w:gridCol w:w="848"/>
        <w:gridCol w:w="743"/>
        <w:gridCol w:w="755"/>
        <w:gridCol w:w="211"/>
        <w:gridCol w:w="481"/>
        <w:gridCol w:w="286"/>
        <w:gridCol w:w="109"/>
        <w:gridCol w:w="109"/>
        <w:gridCol w:w="109"/>
        <w:gridCol w:w="211"/>
        <w:gridCol w:w="481"/>
        <w:gridCol w:w="286"/>
        <w:gridCol w:w="109"/>
        <w:gridCol w:w="109"/>
        <w:gridCol w:w="109"/>
        <w:gridCol w:w="280"/>
        <w:gridCol w:w="282"/>
        <w:gridCol w:w="402"/>
        <w:gridCol w:w="109"/>
        <w:gridCol w:w="109"/>
        <w:gridCol w:w="109"/>
        <w:gridCol w:w="211"/>
        <w:gridCol w:w="646"/>
        <w:gridCol w:w="286"/>
        <w:gridCol w:w="109"/>
        <w:gridCol w:w="109"/>
        <w:gridCol w:w="109"/>
        <w:gridCol w:w="211"/>
        <w:gridCol w:w="646"/>
        <w:gridCol w:w="286"/>
        <w:gridCol w:w="109"/>
        <w:gridCol w:w="109"/>
        <w:gridCol w:w="109"/>
        <w:gridCol w:w="280"/>
        <w:gridCol w:w="282"/>
        <w:gridCol w:w="456"/>
      </w:tblGrid>
      <w:tr>
        <w:trPr/>
        <w:tc>
          <w:tcPr>
            <w:tcW w:w="84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2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r>
      <w:tr>
        <w:trPr/>
        <w:tc>
          <w:tcPr>
            <w:tcW w:w="2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2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458</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4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1,433</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1,437 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4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SG&amp;A as a % of revenue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20.8</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21.5</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bp</w:t>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56</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171</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R&amp;D as a % of revenue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bp</w:t>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and asset impairment charges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(65.2)</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346"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522</w:t>
            </w:r>
            <w:r>
              <w:rPr>
                <w:color w:val="000000"/>
              </w:rPr>
              <w:t>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549 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1,654</w:t>
            </w:r>
            <w:r>
              <w:rPr>
                <w:color w:val="000000"/>
              </w:rPr>
              <w:t>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1,673 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Expense to revenue ratio</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23.7</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24.9</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bp</w:t>
            </w:r>
          </w:p>
        </w:tc>
      </w:tr>
    </w:tbl>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 xml:space="preserve">Selling, General and Administrative ("SG&amp;A") Expenses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SG&amp;A expenses decreased by $16 million to $458 million, or 20.8% of revenue in the third quarter of 2026, as compared to 20.9%, of revenue, in the comparable 2025 period. In the third quarter of 2026, SG&amp;A benefited from productivity savings and favorable foreign currency effects, which was partially offset by inflation.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SG&amp;A expenses decreased by $4 million to $1,433 million, or 21.5% of revenue, in the nine months ended September 30, 2026, as compared to $1,437 million, or 21.6% of revenue, in the nine months ended September 30, 2025. The decrease in SG&amp;A in the nine months ended September 30, 2026 as compared to the prior year was driven by productivity savings, mostly offset by inflation, increased spending on strategic investments, and the net impact of decreased special charges and realignment costs, partially offset by increased acquired intangible asset amortization as compared to the prior year.</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 xml:space="preserve">Research and Development ("R&amp;D") Expenses </w:t>
      </w:r>
    </w:p>
    <w:p>
      <w:pPr>
        <w:pStyle w:val="TextBody"/>
        <w:bidi w:val="0"/>
        <w:spacing w:lineRule="auto" w:line="288" w:before="120" w:after="120"/>
        <w:jc w:val="left"/>
        <w:rPr/>
      </w:pPr>
      <w:r>
        <w:rPr>
          <w:rFonts w:ascii="Arial;sans-serif" w:hAnsi="Arial;sans-serif"/>
          <w:b w:val="false"/>
          <w:color w:val="000000"/>
          <w:sz w:val="20"/>
        </w:rPr>
        <w:t>R&amp;D expense was $56 million, or 2.5% of revenue, in the third quarter of 2026, as compared to $52 million, or 2.3% of revenue, in the third quarter of 2025, and was $171 million, or 2.6% of revenue, in the nine months ended September 30, 2026, as compared to $166 million, or 2.5% of revenue, in the nine months ended September 30, 2025</w:t>
      </w:r>
      <w:r>
        <w:rPr>
          <w:rFonts w:ascii="Arial;sans-serif" w:hAnsi="Arial;sans-serif"/>
          <w:b w:val="false"/>
          <w:color w:val="000000"/>
          <w:sz w:val="18"/>
        </w:rPr>
        <w:t>.</w:t>
      </w:r>
      <w:r>
        <w:rPr>
          <w:color w:val="000000"/>
        </w:rPr>
        <w:t xml:space="preserve"> </w:t>
      </w:r>
      <w:r>
        <w:rPr>
          <w:rFonts w:ascii="Arial;sans-serif" w:hAnsi="Arial;sans-serif"/>
          <w:b w:val="false"/>
          <w:color w:val="000000"/>
          <w:sz w:val="20"/>
        </w:rPr>
        <w:t xml:space="preserve">R&amp;D expense was fairly consistent year over year and in line with planned spending in this area. </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Restructuring and Asset Impairment Charges</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Restructuring</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From time to time, the Company incurs costs related to restructuring actions undertaken to optimize our cost base and improve its strategic positioning. During the three and nine months ended September 30, 2026, we incurred restructuring charges of $8 million and $50 million, respectively. During the three and nine months ended September 30, 2025, we incurred restructuring charges of $23 million and $62 million, respectively.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Actions commenced in 2025 and 2026 were primarily related to simplification actions, informed by 80/20 principles to streamline the organization and better serve our customers. We currently expect to incur between $55 and $65 million in restructuring costs for the full year.</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Refer to Note 5, "Restructuring and Asset Impairment Charges" for more information.</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 xml:space="preserve">Asset Impairment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Refer to Note 9, Goodwill and Other Intangible Assets," for more information on intangible asset impairment charges incurred during the nine months ended September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1445"/>
                <wp:effectExtent l="0" t="0" r="0" b="0"/>
                <wp:wrapNone/>
                <wp:docPr id="50" name="Frame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 xml:space="preserve">Operating Income, Net Income, and Adjusted EBITDA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Operating income was $385 million (operating margin of 17.5%) during the third quarter of 2026, an increase of $51 million, or 15.3%, when compared to operating income of $334 million (operating margin of 14.7%) during the prior year. Operating margin increased 280 basis points. Operating margin expansion included 230 basis points of favorable impacts from IEEPA tariff refunds in special charges and reduced restructuring and realignment costs and acquired intangible amortization relative to the prior year period. Additionally, operating margin expansion included 510 basis points of favorable operational impacts consisting of 320 basis points of productivity savings and 190 basis points of price realization. These favorable impacts were partially offset by 460 basis points of unfavorable operational impacts, driven by 210 basis points of inflation, 90 basis points of decreased volume and 70 basis points of unfavorable mix. Excluding restructuring and realignment costs, acquired intangible asset amortization, and special charges, adjusted operating income was $428 million (adjusted operating margin of 19.4%) for the third quarter of 2026 as compared to adjusted operating income of $429 million (adjusted operating margin of 18.9%) during the comparable quarter in the prior year, an increase in adjusted operating margin of 50 basis points.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Net income attributable to Xylem for the third quarter was $291 million (net income margin of 13.2%), an increase of $64 million as compared to net income attributable to Xylem in the prior year of $227 million (net income margin of 10.0%). The increase in net income attributable to Xylem was driven by increased operating income of $51 million and decreased loss on sale of business of $32 million and an increase in the net loss attributable to non-controlling interest of $2 million partially offset by increased interest expense of $15 million and increased income tax expense of $6 million.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Adjusted EBITDA was $527 million (adjusted EBITDA margin of 23.9%) during the third quarter of 2026, flat as compared to adjusted EBITDA of $527 million (adjusted EBITDA margin of 23.2%) during the comparable quarter in the prior year, an increase to adjusted EBITDA margin of 70 basis points. The increase in adjusted EBITDA margin was primarily driven by the same factors impacting the adjusted operating margin increase.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Operating income was $1,019 million (operating margin of 15.3%) during the nine months ended September 30, 2026, an increase of $149 million, or 17.1%, when compared to operating income of $870 million (operating margin of 13.1%) during the prior year. Operating margin increased 220 basis points. Operating margin expansion included 130 basis points of favorable impacts from a reduction in special charges, including IEEPA tariff refund benefits in the current year, and reduced restructuring and realignment costs and acquired intangible amortization relative to the prior year period. Additionally, operating margin expansion included 570 basis points of favorable operational impacts consisting of 370 basis points of productivity savings and 200 basis points of price realization. These favorable impacts were partially offset by 480 basis points of unfavorable operational impacts, driven by 260 basis points of inflation and 120 basis points of decreased volume. Excluding restructuring and realignment costs, acquired intangible asset amortization, and special charges, adjusted operating income was $1,217 million (adjusted operating margin of 18.3%) for the nine months ended September 30, 2026 as compared to adjusted operating income of $1,156 million (adjusted operating margin of 17.4%) during the comparable period in the prior year, an increase of 90 basis points.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Net income attributable to Xylem for the nine months ended September 30, 2026 was $747 million (net income margin of 11.2%), an increase of $125 million as compared to net income attributable to Xylem in the prior year of $622 million (net income margin of 9.4%). The increase in net income attributable to Xylem was driven by increased operating income of $149 million, decreased loss on sale of businesses of $30 million and an increase in the net loss attributable to non-controlling interests of $4 million, partially offset by increased income tax expense of $39 million, decreased non-operating income of $10 million and increased interest expense of $9 million.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Adjusted EBITDA was $1,508 million (adjusted EBITDA margin of 22.6%) during the nine months ended September 30, 2026, an increase of $56 million, or 3.9%, when compared to adjusted EBITDA of $1,452 million (adjusted EBITDA margin of 21.9%) during the comparable period in the prior year, an increase to adjusted EBITDA margin of 70 basis points. The increase in adjusted EBITDA margin was primarily driven by the same factors impacting the adjusted operating margin increase.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1445"/>
                <wp:effectExtent l="0" t="0" r="0" b="0"/>
                <wp:wrapNone/>
                <wp:docPr id="51" name="Frame5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table below provides a reconciliation of the total and each segment's operating income to adjusted operating income, and a calculation of the corresponding adjusted operating margin:</w:t>
      </w:r>
    </w:p>
    <w:tbl>
      <w:tblPr>
        <w:tblW w:w="10205" w:type="dxa"/>
        <w:jc w:val="left"/>
        <w:tblInd w:w="0" w:type="dxa"/>
        <w:tblLayout w:type="fixed"/>
        <w:tblCellMar>
          <w:top w:w="28" w:type="dxa"/>
          <w:left w:w="28" w:type="dxa"/>
          <w:bottom w:w="28" w:type="dxa"/>
          <w:right w:w="28" w:type="dxa"/>
        </w:tblCellMar>
      </w:tblPr>
      <w:tblGrid>
        <w:gridCol w:w="752"/>
        <w:gridCol w:w="660"/>
        <w:gridCol w:w="664"/>
        <w:gridCol w:w="211"/>
        <w:gridCol w:w="481"/>
        <w:gridCol w:w="271"/>
        <w:gridCol w:w="109"/>
        <w:gridCol w:w="109"/>
        <w:gridCol w:w="109"/>
        <w:gridCol w:w="211"/>
        <w:gridCol w:w="466"/>
        <w:gridCol w:w="271"/>
        <w:gridCol w:w="109"/>
        <w:gridCol w:w="109"/>
        <w:gridCol w:w="109"/>
        <w:gridCol w:w="322"/>
        <w:gridCol w:w="327"/>
        <w:gridCol w:w="127"/>
        <w:gridCol w:w="127"/>
        <w:gridCol w:w="127"/>
        <w:gridCol w:w="131"/>
        <w:gridCol w:w="109"/>
        <w:gridCol w:w="109"/>
        <w:gridCol w:w="109"/>
        <w:gridCol w:w="211"/>
        <w:gridCol w:w="631"/>
        <w:gridCol w:w="271"/>
        <w:gridCol w:w="109"/>
        <w:gridCol w:w="109"/>
        <w:gridCol w:w="109"/>
        <w:gridCol w:w="211"/>
        <w:gridCol w:w="616"/>
        <w:gridCol w:w="271"/>
        <w:gridCol w:w="109"/>
        <w:gridCol w:w="109"/>
        <w:gridCol w:w="109"/>
        <w:gridCol w:w="323"/>
        <w:gridCol w:w="326"/>
        <w:gridCol w:w="126"/>
        <w:gridCol w:w="126"/>
        <w:gridCol w:w="126"/>
        <w:gridCol w:w="184"/>
      </w:tblGrid>
      <w:tr>
        <w:trPr/>
        <w:tc>
          <w:tcPr>
            <w:tcW w:w="752"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6"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2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6"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w:t>
            </w:r>
          </w:p>
        </w:tc>
      </w:tr>
      <w:tr>
        <w:trPr/>
        <w:tc>
          <w:tcPr>
            <w:tcW w:w="2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 millions)</w:t>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Change</w:t>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Water Infrastructure</w:t>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147</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380</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22.8</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17.2 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w:t>
            </w:r>
          </w:p>
        </w:tc>
        <w:tc>
          <w:tcPr>
            <w:tcW w:w="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bp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19.7</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15.7 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bp</w:t>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and realignment costs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accounting intangible amortization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charges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154</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439</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margin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23.9</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w:t>
            </w:r>
          </w:p>
        </w:tc>
        <w:tc>
          <w:tcPr>
            <w:tcW w:w="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bp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22.7</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260 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bp</w:t>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Applied Water</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100</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20.4</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18.6 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w:t>
            </w:r>
          </w:p>
        </w:tc>
        <w:tc>
          <w:tcPr>
            <w:tcW w:w="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bp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19.3</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17.5 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180 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bp</w:t>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and realignment costs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07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charges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94</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271</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margin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19.2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19.5 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bp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18.8</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18.9 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bp</w:t>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Measurement and Control Solutions</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66</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186</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15.1</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w:t>
            </w:r>
          </w:p>
        </w:tc>
        <w:tc>
          <w:tcPr>
            <w:tcW w:w="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bp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12.8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70 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bp</w:t>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and realignment costs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accounting intangible amortization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57</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charges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84</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250</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margin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19.3</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17.2 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w:t>
            </w:r>
          </w:p>
        </w:tc>
        <w:tc>
          <w:tcPr>
            <w:tcW w:w="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bp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17.2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bp</w:t>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Water Solutions and Services</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239</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14.6</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15.5 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w:t>
            </w:r>
          </w:p>
        </w:tc>
        <w:tc>
          <w:tcPr>
            <w:tcW w:w="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bp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13.0</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90 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bp</w:t>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and realignment costs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accounting intangible amortization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72</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charges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114</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317</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margin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18.1</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w:t>
            </w:r>
          </w:p>
        </w:tc>
        <w:tc>
          <w:tcPr>
            <w:tcW w:w="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bp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17.2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17.0 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bp</w:t>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Corporate and other</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and realignment costs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accounting intangible amortization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charges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(18)</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(60)</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Xylem</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385</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1,019</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17.5</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w:t>
            </w:r>
          </w:p>
        </w:tc>
        <w:tc>
          <w:tcPr>
            <w:tcW w:w="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bp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15.3</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220 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bp</w:t>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and realignment costs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67</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accounting intangible amortization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159</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charges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428</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1,217</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margin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19.4</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18.9 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bp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18.3</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90 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bp</w:t>
            </w:r>
          </w:p>
        </w:tc>
      </w:tr>
    </w:tbl>
    <w:p>
      <w:pPr>
        <w:pStyle w:val="TextBody"/>
        <w:bidi w:val="0"/>
        <w:spacing w:lineRule="auto" w:line="288" w:before="120" w:after="120"/>
        <w:ind w:left="0" w:right="0" w:firstLine="180"/>
        <w:jc w:val="left"/>
        <w:rPr>
          <w:rFonts w:ascii="Arial;sans-serif" w:hAnsi="Arial;sans-serif"/>
          <w:b w:val="false"/>
          <w:color w:val="000000"/>
          <w:sz w:val="18"/>
        </w:rPr>
      </w:pPr>
      <w:r>
        <w:rPr>
          <w:rFonts w:ascii="Arial;sans-serif" w:hAnsi="Arial;sans-serif"/>
          <w:b w:val="false"/>
          <w:color w:val="000000"/>
          <w:sz w:val="18"/>
        </w:rPr>
        <w:t xml:space="preserve">NM    Not Meaningful </w:t>
      </w:r>
    </w:p>
    <w:p>
      <w:pPr>
        <w:pStyle w:val="TextBody"/>
        <w:bidi w:val="0"/>
        <w:spacing w:before="120" w:after="120"/>
        <w:ind w:left="0" w:right="0" w:firstLine="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1445"/>
                <wp:effectExtent l="0" t="0" r="0" b="0"/>
                <wp:wrapNone/>
                <wp:docPr id="52" name="Frame5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table below provides a reconciliation of net income attributable to Xylem to consolidated EBITDA and adjusted EBITDA: </w:t>
      </w:r>
    </w:p>
    <w:tbl>
      <w:tblPr>
        <w:tblW w:w="10205" w:type="dxa"/>
        <w:jc w:val="left"/>
        <w:tblInd w:w="0" w:type="dxa"/>
        <w:tblLayout w:type="fixed"/>
        <w:tblCellMar>
          <w:top w:w="28" w:type="dxa"/>
          <w:left w:w="28" w:type="dxa"/>
          <w:bottom w:w="28" w:type="dxa"/>
          <w:right w:w="28" w:type="dxa"/>
        </w:tblCellMar>
      </w:tblPr>
      <w:tblGrid>
        <w:gridCol w:w="901"/>
        <w:gridCol w:w="671"/>
        <w:gridCol w:w="680"/>
        <w:gridCol w:w="211"/>
        <w:gridCol w:w="481"/>
        <w:gridCol w:w="286"/>
        <w:gridCol w:w="109"/>
        <w:gridCol w:w="109"/>
        <w:gridCol w:w="109"/>
        <w:gridCol w:w="211"/>
        <w:gridCol w:w="481"/>
        <w:gridCol w:w="286"/>
        <w:gridCol w:w="109"/>
        <w:gridCol w:w="109"/>
        <w:gridCol w:w="109"/>
        <w:gridCol w:w="250"/>
        <w:gridCol w:w="251"/>
        <w:gridCol w:w="127"/>
        <w:gridCol w:w="127"/>
        <w:gridCol w:w="127"/>
        <w:gridCol w:w="131"/>
        <w:gridCol w:w="109"/>
        <w:gridCol w:w="109"/>
        <w:gridCol w:w="109"/>
        <w:gridCol w:w="211"/>
        <w:gridCol w:w="646"/>
        <w:gridCol w:w="286"/>
        <w:gridCol w:w="109"/>
        <w:gridCol w:w="109"/>
        <w:gridCol w:w="109"/>
        <w:gridCol w:w="211"/>
        <w:gridCol w:w="646"/>
        <w:gridCol w:w="286"/>
        <w:gridCol w:w="109"/>
        <w:gridCol w:w="109"/>
        <w:gridCol w:w="109"/>
        <w:gridCol w:w="250"/>
        <w:gridCol w:w="251"/>
        <w:gridCol w:w="126"/>
        <w:gridCol w:w="126"/>
        <w:gridCol w:w="126"/>
        <w:gridCol w:w="184"/>
      </w:tblGrid>
      <w:tr>
        <w:trPr/>
        <w:tc>
          <w:tcPr>
            <w:tcW w:w="90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3"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3"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w:t>
            </w:r>
          </w:p>
        </w:tc>
      </w:tr>
      <w:tr>
        <w:trPr/>
        <w:tc>
          <w:tcPr>
            <w:tcW w:w="2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Change</w:t>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attributable to Xylem</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291</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747</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622 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margin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13.2</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320 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bp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11.2</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180 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bp</w:t>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195</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222</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235</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EBITDA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520</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1,412</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and realignment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Special charges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sale of businesses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attributable to non-controlling interest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527</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527 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1,508</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1,452 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 margin</w:t>
            </w:r>
          </w:p>
        </w:tc>
        <w:tc>
          <w:tcPr>
            <w:tcW w:w="69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23.9</w:t>
            </w:r>
            <w:r>
              <w:rPr>
                <w:color w:val="000000"/>
              </w:rPr>
              <w:t> </w:t>
            </w:r>
          </w:p>
        </w:tc>
        <w:tc>
          <w:tcPr>
            <w:tcW w:w="2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23.2 </w:t>
            </w:r>
          </w:p>
        </w:tc>
        <w:tc>
          <w:tcPr>
            <w:tcW w:w="2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70 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bp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22.6</w:t>
            </w:r>
            <w:r>
              <w:rPr>
                <w:color w:val="000000"/>
              </w:rPr>
              <w:t> </w:t>
            </w:r>
          </w:p>
        </w:tc>
        <w:tc>
          <w:tcPr>
            <w:tcW w:w="2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21.9 </w:t>
            </w:r>
          </w:p>
        </w:tc>
        <w:tc>
          <w:tcPr>
            <w:tcW w:w="2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70 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bp</w:t>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tables below provide a reconciliation of each segment's operating income (loss) to EBITDA and adjusted EBITDA: </w:t>
      </w:r>
    </w:p>
    <w:tbl>
      <w:tblPr>
        <w:tblW w:w="10205" w:type="dxa"/>
        <w:jc w:val="left"/>
        <w:tblInd w:w="0" w:type="dxa"/>
        <w:tblLayout w:type="fixed"/>
        <w:tblCellMar>
          <w:top w:w="28" w:type="dxa"/>
          <w:left w:w="28" w:type="dxa"/>
          <w:bottom w:w="28" w:type="dxa"/>
          <w:right w:w="28" w:type="dxa"/>
        </w:tblCellMar>
      </w:tblPr>
      <w:tblGrid>
        <w:gridCol w:w="1008"/>
        <w:gridCol w:w="784"/>
        <w:gridCol w:w="752"/>
        <w:gridCol w:w="109"/>
        <w:gridCol w:w="109"/>
        <w:gridCol w:w="109"/>
        <w:gridCol w:w="325"/>
        <w:gridCol w:w="743"/>
        <w:gridCol w:w="444"/>
        <w:gridCol w:w="109"/>
        <w:gridCol w:w="109"/>
        <w:gridCol w:w="109"/>
        <w:gridCol w:w="239"/>
        <w:gridCol w:w="545"/>
        <w:gridCol w:w="324"/>
        <w:gridCol w:w="109"/>
        <w:gridCol w:w="109"/>
        <w:gridCol w:w="109"/>
        <w:gridCol w:w="440"/>
        <w:gridCol w:w="1004"/>
        <w:gridCol w:w="600"/>
        <w:gridCol w:w="109"/>
        <w:gridCol w:w="109"/>
        <w:gridCol w:w="109"/>
        <w:gridCol w:w="347"/>
        <w:gridCol w:w="792"/>
        <w:gridCol w:w="550"/>
      </w:tblGrid>
      <w:tr>
        <w:trPr/>
        <w:tc>
          <w:tcPr>
            <w:tcW w:w="100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2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2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2026</w:t>
            </w:r>
          </w:p>
        </w:tc>
      </w:tr>
      <w:tr>
        <w:trPr/>
        <w:tc>
          <w:tcPr>
            <w:tcW w:w="2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Water Infrastructure</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Applied Water</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Measurement and Control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Water Solutions and Services</w:t>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147</w:t>
            </w:r>
            <w:r>
              <w:rPr>
                <w:color w:val="000000"/>
              </w:rPr>
              <w:t> </w:t>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w:t>
            </w:r>
            <w:r>
              <w:rPr>
                <w:color w:val="000000"/>
              </w:rPr>
              <w:t> </w:t>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w:t>
            </w:r>
            <w:r>
              <w:rPr>
                <w:color w:val="000000"/>
              </w:rPr>
              <w:t> </w:t>
            </w:r>
          </w:p>
        </w:tc>
        <w:tc>
          <w:tcPr>
            <w:tcW w:w="6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92</w:t>
            </w:r>
            <w:r>
              <w:rPr>
                <w:color w:val="000000"/>
              </w:rPr>
              <w:t> </w:t>
            </w:r>
          </w:p>
        </w:tc>
        <w:tc>
          <w:tcPr>
            <w:tcW w:w="5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22.8</w:t>
            </w:r>
            <w:r>
              <w:rPr>
                <w:color w:val="000000"/>
              </w:rPr>
              <w:t>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20.4</w:t>
            </w: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15.1</w:t>
            </w:r>
            <w:r>
              <w:rPr>
                <w:color w:val="000000"/>
              </w:rPr>
              <w:t> </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14.6</w:t>
            </w:r>
            <w:r>
              <w:rPr>
                <w:color w:val="000000"/>
              </w:rPr>
              <w:t> </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(loss) on sale of businesses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w:t>
            </w: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w:t>
            </w:r>
            <w:r>
              <w:rPr>
                <w:color w:val="000000"/>
              </w:rPr>
              <w:t>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w:t>
            </w:r>
            <w:r>
              <w:rPr>
                <w:color w:val="000000"/>
              </w:rPr>
              <w:t>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w:t>
            </w:r>
            <w:r>
              <w:rPr>
                <w:color w:val="000000"/>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w:t>
            </w:r>
            <w:r>
              <w:rPr>
                <w:color w:val="000000"/>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w:t>
            </w:r>
            <w:r>
              <w:rPr>
                <w:color w:val="000000"/>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non-operating expense, excluding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171</w:t>
            </w:r>
            <w:r>
              <w:rPr>
                <w:color w:val="000000"/>
              </w:rPr>
              <w:t> </w:t>
            </w:r>
          </w:p>
        </w:tc>
        <w:tc>
          <w:tcPr>
            <w:tcW w:w="4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116</w:t>
            </w:r>
            <w:r>
              <w:rPr>
                <w:color w:val="000000"/>
              </w:rPr>
              <w:t> </w:t>
            </w:r>
          </w:p>
        </w:tc>
        <w:tc>
          <w:tcPr>
            <w:tcW w:w="3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94</w:t>
            </w:r>
            <w:r>
              <w:rPr>
                <w:color w:val="000000"/>
              </w:rPr>
              <w:t> </w:t>
            </w:r>
          </w:p>
        </w:tc>
        <w:tc>
          <w:tcPr>
            <w:tcW w:w="60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155</w:t>
            </w:r>
            <w:r>
              <w:rPr>
                <w:color w:val="000000"/>
              </w:rPr>
              <w:t> </w:t>
            </w:r>
          </w:p>
        </w:tc>
        <w:tc>
          <w:tcPr>
            <w:tcW w:w="5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44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32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60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55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and realignment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Special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loss on sale of businesses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w:t>
            </w:r>
            <w:r>
              <w:rPr>
                <w:color w:val="000000"/>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169</w:t>
            </w:r>
            <w:r>
              <w:rPr>
                <w:color w:val="000000"/>
              </w:rPr>
              <w:t> </w:t>
            </w:r>
          </w:p>
        </w:tc>
        <w:tc>
          <w:tcPr>
            <w:tcW w:w="4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w:t>
            </w:r>
            <w:r>
              <w:rPr>
                <w:color w:val="000000"/>
              </w:rPr>
              <w:t> </w:t>
            </w:r>
          </w:p>
        </w:tc>
        <w:tc>
          <w:tcPr>
            <w:tcW w:w="3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107</w:t>
            </w:r>
            <w:r>
              <w:rPr>
                <w:color w:val="000000"/>
              </w:rPr>
              <w:t> </w:t>
            </w:r>
          </w:p>
        </w:tc>
        <w:tc>
          <w:tcPr>
            <w:tcW w:w="60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157</w:t>
            </w:r>
            <w:r>
              <w:rPr>
                <w:color w:val="000000"/>
              </w:rPr>
              <w:t> </w:t>
            </w:r>
          </w:p>
        </w:tc>
        <w:tc>
          <w:tcPr>
            <w:tcW w:w="5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20"/>
              </w:rPr>
              <w:t>26.2</w:t>
            </w:r>
            <w:r>
              <w:rPr>
                <w:color w:val="000000"/>
              </w:rPr>
              <w:t> </w:t>
            </w:r>
          </w:p>
        </w:tc>
        <w:tc>
          <w:tcPr>
            <w:tcW w:w="44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20"/>
              </w:rPr>
              <w:t>21.3</w:t>
            </w:r>
            <w:r>
              <w:rPr>
                <w:color w:val="000000"/>
              </w:rPr>
              <w:t> </w:t>
            </w:r>
          </w:p>
        </w:tc>
        <w:tc>
          <w:tcPr>
            <w:tcW w:w="32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20"/>
              </w:rPr>
              <w:t>24.5</w:t>
            </w:r>
            <w:r>
              <w:rPr>
                <w:color w:val="000000"/>
              </w:rPr>
              <w:t> </w:t>
            </w:r>
          </w:p>
        </w:tc>
        <w:tc>
          <w:tcPr>
            <w:tcW w:w="60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20"/>
              </w:rPr>
              <w:t>24.9</w:t>
            </w:r>
            <w:r>
              <w:rPr>
                <w:color w:val="000000"/>
              </w:rPr>
              <w:t> </w:t>
            </w:r>
          </w:p>
        </w:tc>
        <w:tc>
          <w:tcPr>
            <w:tcW w:w="55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1445"/>
                <wp:effectExtent l="0" t="0" r="0" b="0"/>
                <wp:wrapNone/>
                <wp:docPr id="53" name="Frame5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31"/>
        <w:gridCol w:w="803"/>
        <w:gridCol w:w="771"/>
        <w:gridCol w:w="109"/>
        <w:gridCol w:w="109"/>
        <w:gridCol w:w="109"/>
        <w:gridCol w:w="325"/>
        <w:gridCol w:w="742"/>
        <w:gridCol w:w="443"/>
        <w:gridCol w:w="109"/>
        <w:gridCol w:w="109"/>
        <w:gridCol w:w="109"/>
        <w:gridCol w:w="256"/>
        <w:gridCol w:w="457"/>
        <w:gridCol w:w="348"/>
        <w:gridCol w:w="109"/>
        <w:gridCol w:w="109"/>
        <w:gridCol w:w="109"/>
        <w:gridCol w:w="438"/>
        <w:gridCol w:w="1000"/>
        <w:gridCol w:w="598"/>
        <w:gridCol w:w="109"/>
        <w:gridCol w:w="109"/>
        <w:gridCol w:w="109"/>
        <w:gridCol w:w="346"/>
        <w:gridCol w:w="789"/>
        <w:gridCol w:w="550"/>
      </w:tblGrid>
      <w:tr>
        <w:trPr/>
        <w:tc>
          <w:tcPr>
            <w:tcW w:w="103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2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2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2025</w:t>
            </w:r>
          </w:p>
        </w:tc>
      </w:tr>
      <w:tr>
        <w:trPr/>
        <w:tc>
          <w:tcPr>
            <w:tcW w:w="2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Water Infrastructure</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Applied Water </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Measurement and Control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Water Solutions and Services</w:t>
            </w:r>
          </w:p>
        </w:tc>
      </w:tr>
      <w:tr>
        <w:trPr/>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113</w:t>
            </w:r>
            <w:r>
              <w:rPr>
                <w:color w:val="000000"/>
              </w:rPr>
              <w:t> </w:t>
            </w:r>
          </w:p>
        </w:tc>
        <w:tc>
          <w:tcPr>
            <w:tcW w:w="4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85</w:t>
            </w:r>
            <w:r>
              <w:rPr>
                <w:color w:val="000000"/>
              </w:rPr>
              <w:t> </w:t>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w:t>
            </w:r>
            <w:r>
              <w:rPr>
                <w:color w:val="000000"/>
              </w:rPr>
              <w:t> </w:t>
            </w:r>
          </w:p>
        </w:tc>
        <w:tc>
          <w:tcPr>
            <w:tcW w:w="5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98</w:t>
            </w:r>
            <w:r>
              <w:rPr>
                <w:color w:val="000000"/>
              </w:rPr>
              <w:t> </w:t>
            </w:r>
          </w:p>
        </w:tc>
        <w:tc>
          <w:tcPr>
            <w:tcW w:w="5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17.2</w:t>
            </w:r>
            <w:r>
              <w:rPr>
                <w:color w:val="000000"/>
              </w:rPr>
              <w:t> </w:t>
            </w:r>
          </w:p>
        </w:tc>
        <w:tc>
          <w:tcPr>
            <w:tcW w:w="44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18.6</w:t>
            </w:r>
            <w:r>
              <w:rPr>
                <w:color w:val="000000"/>
              </w:rPr>
              <w:t> </w:t>
            </w:r>
          </w:p>
        </w:tc>
        <w:tc>
          <w:tcPr>
            <w:tcW w:w="34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12.3</w:t>
            </w:r>
            <w:r>
              <w:rPr>
                <w:color w:val="000000"/>
              </w:rPr>
              <w:t> </w:t>
            </w:r>
          </w:p>
        </w:tc>
        <w:tc>
          <w:tcPr>
            <w:tcW w:w="59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15.5</w:t>
            </w:r>
            <w:r>
              <w:rPr>
                <w:color w:val="000000"/>
              </w:rPr>
              <w:t> </w:t>
            </w:r>
          </w:p>
        </w:tc>
        <w:tc>
          <w:tcPr>
            <w:tcW w:w="55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(gain)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(loss) on sale of businesses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r>
      <w:tr>
        <w:trPr/>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139</w:t>
            </w:r>
            <w:r>
              <w:rPr>
                <w:color w:val="000000"/>
              </w:rPr>
              <w:t> </w:t>
            </w:r>
          </w:p>
        </w:tc>
        <w:tc>
          <w:tcPr>
            <w:tcW w:w="4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93</w:t>
            </w:r>
            <w:r>
              <w:rPr>
                <w:color w:val="000000"/>
              </w:rPr>
              <w:t> </w:t>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70</w:t>
            </w:r>
            <w:r>
              <w:rPr>
                <w:color w:val="000000"/>
              </w:rPr>
              <w:t> </w:t>
            </w:r>
          </w:p>
        </w:tc>
        <w:tc>
          <w:tcPr>
            <w:tcW w:w="5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161</w:t>
            </w:r>
            <w:r>
              <w:rPr>
                <w:color w:val="000000"/>
              </w:rPr>
              <w:t> </w:t>
            </w:r>
          </w:p>
        </w:tc>
        <w:tc>
          <w:tcPr>
            <w:tcW w:w="5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44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34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59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55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and realignment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Special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loss on sale of businesses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gain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160</w:t>
            </w:r>
            <w:r>
              <w:rPr>
                <w:color w:val="000000"/>
              </w:rPr>
              <w:t> </w:t>
            </w:r>
          </w:p>
        </w:tc>
        <w:tc>
          <w:tcPr>
            <w:tcW w:w="4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99</w:t>
            </w:r>
            <w:r>
              <w:rPr>
                <w:color w:val="000000"/>
              </w:rPr>
              <w:t> </w:t>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114</w:t>
            </w:r>
            <w:r>
              <w:rPr>
                <w:color w:val="000000"/>
              </w:rPr>
              <w:t> </w:t>
            </w:r>
          </w:p>
        </w:tc>
        <w:tc>
          <w:tcPr>
            <w:tcW w:w="5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167</w:t>
            </w:r>
            <w:r>
              <w:rPr>
                <w:color w:val="000000"/>
              </w:rPr>
              <w:t> </w:t>
            </w:r>
          </w:p>
        </w:tc>
        <w:tc>
          <w:tcPr>
            <w:tcW w:w="5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20"/>
              </w:rPr>
              <w:t>24.4</w:t>
            </w:r>
            <w:r>
              <w:rPr>
                <w:color w:val="000000"/>
              </w:rPr>
              <w:t> </w:t>
            </w:r>
          </w:p>
        </w:tc>
        <w:tc>
          <w:tcPr>
            <w:tcW w:w="44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20"/>
              </w:rPr>
              <w:t>21.7</w:t>
            </w:r>
            <w:r>
              <w:rPr>
                <w:color w:val="000000"/>
              </w:rPr>
              <w:t> </w:t>
            </w:r>
          </w:p>
        </w:tc>
        <w:tc>
          <w:tcPr>
            <w:tcW w:w="34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20"/>
              </w:rPr>
              <w:t>21.8</w:t>
            </w:r>
            <w:r>
              <w:rPr>
                <w:color w:val="000000"/>
              </w:rPr>
              <w:t> </w:t>
            </w:r>
          </w:p>
        </w:tc>
        <w:tc>
          <w:tcPr>
            <w:tcW w:w="59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20"/>
              </w:rPr>
              <w:t>26.3</w:t>
            </w:r>
            <w:r>
              <w:rPr>
                <w:color w:val="000000"/>
              </w:rPr>
              <w:t> </w:t>
            </w:r>
          </w:p>
        </w:tc>
        <w:tc>
          <w:tcPr>
            <w:tcW w:w="55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066"/>
        <w:gridCol w:w="747"/>
        <w:gridCol w:w="759"/>
        <w:gridCol w:w="109"/>
        <w:gridCol w:w="109"/>
        <w:gridCol w:w="109"/>
        <w:gridCol w:w="319"/>
        <w:gridCol w:w="569"/>
        <w:gridCol w:w="616"/>
        <w:gridCol w:w="109"/>
        <w:gridCol w:w="109"/>
        <w:gridCol w:w="109"/>
        <w:gridCol w:w="240"/>
        <w:gridCol w:w="428"/>
        <w:gridCol w:w="462"/>
        <w:gridCol w:w="109"/>
        <w:gridCol w:w="109"/>
        <w:gridCol w:w="109"/>
        <w:gridCol w:w="427"/>
        <w:gridCol w:w="762"/>
        <w:gridCol w:w="826"/>
        <w:gridCol w:w="109"/>
        <w:gridCol w:w="109"/>
        <w:gridCol w:w="109"/>
        <w:gridCol w:w="328"/>
        <w:gridCol w:w="641"/>
        <w:gridCol w:w="707"/>
      </w:tblGrid>
      <w:tr>
        <w:trPr/>
        <w:tc>
          <w:tcPr>
            <w:tcW w:w="106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2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2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 versus 2025</w:t>
            </w:r>
          </w:p>
        </w:tc>
      </w:tr>
      <w:tr>
        <w:trPr/>
        <w:tc>
          <w:tcPr>
            <w:tcW w:w="2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Water Infrastructure</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Applied Water </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Measurement and Control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Water Solutions and Services</w:t>
            </w:r>
          </w:p>
        </w:tc>
      </w:tr>
      <w:tr>
        <w:trPr/>
        <w:tc>
          <w:tcPr>
            <w:tcW w:w="2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w:t>
            </w:r>
            <w:r>
              <w:rPr>
                <w:color w:val="000000"/>
              </w:rPr>
              <w:t> </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w:t>
            </w:r>
            <w:r>
              <w:rPr>
                <w:color w:val="000000"/>
              </w:rPr>
              <w:t> </w:t>
            </w:r>
          </w:p>
        </w:tc>
        <w:tc>
          <w:tcPr>
            <w:tcW w:w="4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560</w:t>
            </w:r>
            <w:r>
              <w:rPr>
                <w:color w:val="000000"/>
              </w:rPr>
              <w:t> </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20"/>
              </w:rPr>
              <w:t>bp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180</w:t>
            </w:r>
            <w:r>
              <w:rPr>
                <w:color w:val="000000"/>
              </w:rPr>
              <w:t> </w:t>
            </w:r>
          </w:p>
        </w:tc>
        <w:tc>
          <w:tcPr>
            <w:tcW w:w="46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20"/>
              </w:rPr>
              <w:t>bp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280</w:t>
            </w:r>
            <w:r>
              <w:rPr>
                <w:color w:val="000000"/>
              </w:rPr>
              <w:t> </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20"/>
              </w:rPr>
              <w:t>bp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(90)</w:t>
            </w:r>
          </w:p>
        </w:tc>
        <w:tc>
          <w:tcPr>
            <w:tcW w:w="70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20"/>
              </w:rPr>
              <w:t>bp</w:t>
            </w:r>
          </w:p>
        </w:tc>
      </w:tr>
      <w:tr>
        <w:trPr/>
        <w:tc>
          <w:tcPr>
            <w:tcW w:w="2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(gain)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7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r>
      <w:tr>
        <w:trPr/>
        <w:tc>
          <w:tcPr>
            <w:tcW w:w="2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(loss) on sale of businesses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non-operating expense, excluding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w:t>
            </w:r>
            <w:r>
              <w:rPr>
                <w:color w:val="000000"/>
              </w:rPr>
              <w:t> </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w:t>
            </w:r>
            <w:r>
              <w:rPr>
                <w:color w:val="000000"/>
              </w:rPr>
              <w:t> </w:t>
            </w:r>
          </w:p>
        </w:tc>
        <w:tc>
          <w:tcPr>
            <w:tcW w:w="4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w:t>
            </w:r>
            <w:r>
              <w:rPr>
                <w:color w:val="000000"/>
              </w:rPr>
              <w:t> </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w:t>
            </w:r>
          </w:p>
        </w:tc>
        <w:tc>
          <w:tcPr>
            <w:tcW w:w="70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70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and realignment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Special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7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loss on sale of businesses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r>
      <w:tr>
        <w:trPr/>
        <w:tc>
          <w:tcPr>
            <w:tcW w:w="2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gain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7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w:t>
            </w:r>
            <w:r>
              <w:rPr>
                <w:color w:val="000000"/>
              </w:rPr>
              <w:t> </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4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w:t>
            </w:r>
          </w:p>
        </w:tc>
        <w:tc>
          <w:tcPr>
            <w:tcW w:w="70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180</w:t>
            </w:r>
            <w:r>
              <w:rPr>
                <w:color w:val="000000"/>
              </w:rPr>
              <w:t> </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20"/>
              </w:rPr>
              <w:t>bp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(40)</w:t>
            </w:r>
          </w:p>
        </w:tc>
        <w:tc>
          <w:tcPr>
            <w:tcW w:w="46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20"/>
              </w:rPr>
              <w:t>bp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270</w:t>
            </w:r>
            <w:r>
              <w:rPr>
                <w:color w:val="000000"/>
              </w:rPr>
              <w:t> </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20"/>
              </w:rPr>
              <w:t>bp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(140)</w:t>
            </w:r>
          </w:p>
        </w:tc>
        <w:tc>
          <w:tcPr>
            <w:tcW w:w="70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20"/>
              </w:rPr>
              <w:t>bp</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1445"/>
                <wp:effectExtent l="0" t="0" r="0" b="0"/>
                <wp:wrapNone/>
                <wp:docPr id="54" name="Frame5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08"/>
        <w:gridCol w:w="784"/>
        <w:gridCol w:w="752"/>
        <w:gridCol w:w="109"/>
        <w:gridCol w:w="109"/>
        <w:gridCol w:w="109"/>
        <w:gridCol w:w="325"/>
        <w:gridCol w:w="743"/>
        <w:gridCol w:w="444"/>
        <w:gridCol w:w="109"/>
        <w:gridCol w:w="109"/>
        <w:gridCol w:w="109"/>
        <w:gridCol w:w="239"/>
        <w:gridCol w:w="545"/>
        <w:gridCol w:w="324"/>
        <w:gridCol w:w="109"/>
        <w:gridCol w:w="109"/>
        <w:gridCol w:w="109"/>
        <w:gridCol w:w="440"/>
        <w:gridCol w:w="1004"/>
        <w:gridCol w:w="600"/>
        <w:gridCol w:w="109"/>
        <w:gridCol w:w="109"/>
        <w:gridCol w:w="109"/>
        <w:gridCol w:w="347"/>
        <w:gridCol w:w="792"/>
        <w:gridCol w:w="550"/>
      </w:tblGrid>
      <w:tr>
        <w:trPr/>
        <w:tc>
          <w:tcPr>
            <w:tcW w:w="100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2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2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2026</w:t>
            </w:r>
          </w:p>
        </w:tc>
      </w:tr>
      <w:tr>
        <w:trPr/>
        <w:tc>
          <w:tcPr>
            <w:tcW w:w="2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Water Infrastructure</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Applied Water</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Measurement and Control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Water Solutions and Services</w:t>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380</w:t>
            </w:r>
            <w:r>
              <w:rPr>
                <w:color w:val="000000"/>
              </w:rPr>
              <w:t> </w:t>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278</w:t>
            </w:r>
            <w:r>
              <w:rPr>
                <w:color w:val="000000"/>
              </w:rPr>
              <w:t> </w:t>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186</w:t>
            </w:r>
            <w:r>
              <w:rPr>
                <w:color w:val="000000"/>
              </w:rPr>
              <w:t> </w:t>
            </w:r>
          </w:p>
        </w:tc>
        <w:tc>
          <w:tcPr>
            <w:tcW w:w="6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239</w:t>
            </w:r>
            <w:r>
              <w:rPr>
                <w:color w:val="000000"/>
              </w:rPr>
              <w:t> </w:t>
            </w:r>
          </w:p>
        </w:tc>
        <w:tc>
          <w:tcPr>
            <w:tcW w:w="5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19.7</w:t>
            </w:r>
            <w:r>
              <w:rPr>
                <w:color w:val="000000"/>
              </w:rPr>
              <w:t> </w:t>
            </w:r>
          </w:p>
        </w:tc>
        <w:tc>
          <w:tcPr>
            <w:tcW w:w="44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19.3</w:t>
            </w:r>
            <w:r>
              <w:rPr>
                <w:color w:val="000000"/>
              </w:rPr>
              <w:t> </w:t>
            </w:r>
          </w:p>
        </w:tc>
        <w:tc>
          <w:tcPr>
            <w:tcW w:w="32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w:t>
            </w:r>
            <w:r>
              <w:rPr>
                <w:color w:val="000000"/>
              </w:rPr>
              <w:t> </w:t>
            </w:r>
          </w:p>
        </w:tc>
        <w:tc>
          <w:tcPr>
            <w:tcW w:w="60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13.0</w:t>
            </w:r>
            <w:r>
              <w:rPr>
                <w:color w:val="000000"/>
              </w:rPr>
              <w:t> </w:t>
            </w:r>
          </w:p>
        </w:tc>
        <w:tc>
          <w:tcPr>
            <w:tcW w:w="55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w:t>
            </w:r>
            <w:r>
              <w:rPr>
                <w:color w:val="000000"/>
              </w:rPr>
              <w:t> </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(loss) from sale of businesses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w:t>
            </w: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(29)</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w:t>
            </w:r>
            <w:r>
              <w:rPr>
                <w:color w:val="000000"/>
              </w:rPr>
              <w:t>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w:t>
            </w: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w:t>
            </w:r>
            <w:r>
              <w:rPr>
                <w:color w:val="000000"/>
              </w:rPr>
              <w:t> </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116</w:t>
            </w:r>
            <w:r>
              <w:rPr>
                <w:color w:val="000000"/>
              </w:rPr>
              <w:t>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w:t>
            </w:r>
            <w:r>
              <w:rPr>
                <w:color w:val="000000"/>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99</w:t>
            </w:r>
            <w:r>
              <w:rPr>
                <w:color w:val="000000"/>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78</w:t>
            </w:r>
            <w:r>
              <w:rPr>
                <w:color w:val="000000"/>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non-operating expense, excluding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446</w:t>
            </w:r>
            <w:r>
              <w:rPr>
                <w:color w:val="000000"/>
              </w:rPr>
              <w:t> </w:t>
            </w:r>
          </w:p>
        </w:tc>
        <w:tc>
          <w:tcPr>
            <w:tcW w:w="4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308</w:t>
            </w:r>
            <w:r>
              <w:rPr>
                <w:color w:val="000000"/>
              </w:rPr>
              <w:t> </w:t>
            </w:r>
          </w:p>
        </w:tc>
        <w:tc>
          <w:tcPr>
            <w:tcW w:w="3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287</w:t>
            </w:r>
            <w:r>
              <w:rPr>
                <w:color w:val="000000"/>
              </w:rPr>
              <w:t> </w:t>
            </w:r>
          </w:p>
        </w:tc>
        <w:tc>
          <w:tcPr>
            <w:tcW w:w="60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428</w:t>
            </w:r>
            <w:r>
              <w:rPr>
                <w:color w:val="000000"/>
              </w:rPr>
              <w:t> </w:t>
            </w:r>
          </w:p>
        </w:tc>
        <w:tc>
          <w:tcPr>
            <w:tcW w:w="5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44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32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w:t>
            </w:r>
            <w:r>
              <w:rPr>
                <w:color w:val="000000"/>
              </w:rPr>
              <w:t> </w:t>
            </w:r>
          </w:p>
        </w:tc>
        <w:tc>
          <w:tcPr>
            <w:tcW w:w="60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w:t>
            </w:r>
            <w:r>
              <w:rPr>
                <w:color w:val="000000"/>
              </w:rPr>
              <w:t> </w:t>
            </w:r>
          </w:p>
        </w:tc>
        <w:tc>
          <w:tcPr>
            <w:tcW w:w="55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and realignment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w:t>
            </w:r>
            <w:r>
              <w:rPr>
                <w:color w:val="000000"/>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w:t>
            </w: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w:t>
            </w:r>
            <w:r>
              <w:rPr>
                <w:color w:val="000000"/>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w:t>
            </w:r>
            <w:r>
              <w:rPr>
                <w:color w:val="000000"/>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Special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loss on sale of businesses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w:t>
            </w:r>
            <w:r>
              <w:rPr>
                <w:color w:val="000000"/>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483</w:t>
            </w:r>
            <w:r>
              <w:rPr>
                <w:color w:val="000000"/>
              </w:rPr>
              <w:t> </w:t>
            </w:r>
          </w:p>
        </w:tc>
        <w:tc>
          <w:tcPr>
            <w:tcW w:w="4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298</w:t>
            </w:r>
            <w:r>
              <w:rPr>
                <w:color w:val="000000"/>
              </w:rPr>
              <w:t> </w:t>
            </w:r>
          </w:p>
        </w:tc>
        <w:tc>
          <w:tcPr>
            <w:tcW w:w="3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320</w:t>
            </w:r>
            <w:r>
              <w:rPr>
                <w:color w:val="000000"/>
              </w:rPr>
              <w:t> </w:t>
            </w:r>
          </w:p>
        </w:tc>
        <w:tc>
          <w:tcPr>
            <w:tcW w:w="60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445</w:t>
            </w:r>
            <w:r>
              <w:rPr>
                <w:color w:val="000000"/>
              </w:rPr>
              <w:t> </w:t>
            </w:r>
          </w:p>
        </w:tc>
        <w:tc>
          <w:tcPr>
            <w:tcW w:w="5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20"/>
              </w:rPr>
              <w:t>25.0</w:t>
            </w:r>
            <w:r>
              <w:rPr>
                <w:color w:val="000000"/>
              </w:rPr>
              <w:t> </w:t>
            </w:r>
          </w:p>
        </w:tc>
        <w:tc>
          <w:tcPr>
            <w:tcW w:w="44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20"/>
              </w:rPr>
              <w:t>20.7</w:t>
            </w:r>
            <w:r>
              <w:rPr>
                <w:color w:val="000000"/>
              </w:rPr>
              <w:t> </w:t>
            </w:r>
          </w:p>
        </w:tc>
        <w:tc>
          <w:tcPr>
            <w:tcW w:w="32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20"/>
              </w:rPr>
              <w:t>22.0</w:t>
            </w:r>
            <w:r>
              <w:rPr>
                <w:color w:val="000000"/>
              </w:rPr>
              <w:t> </w:t>
            </w:r>
          </w:p>
        </w:tc>
        <w:tc>
          <w:tcPr>
            <w:tcW w:w="60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20"/>
              </w:rPr>
              <w:t>24.2</w:t>
            </w:r>
            <w:r>
              <w:rPr>
                <w:color w:val="000000"/>
              </w:rPr>
              <w:t> </w:t>
            </w:r>
          </w:p>
        </w:tc>
        <w:tc>
          <w:tcPr>
            <w:tcW w:w="55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025"/>
        <w:gridCol w:w="797"/>
        <w:gridCol w:w="764"/>
        <w:gridCol w:w="109"/>
        <w:gridCol w:w="109"/>
        <w:gridCol w:w="109"/>
        <w:gridCol w:w="324"/>
        <w:gridCol w:w="740"/>
        <w:gridCol w:w="442"/>
        <w:gridCol w:w="109"/>
        <w:gridCol w:w="109"/>
        <w:gridCol w:w="109"/>
        <w:gridCol w:w="238"/>
        <w:gridCol w:w="544"/>
        <w:gridCol w:w="323"/>
        <w:gridCol w:w="109"/>
        <w:gridCol w:w="109"/>
        <w:gridCol w:w="109"/>
        <w:gridCol w:w="436"/>
        <w:gridCol w:w="995"/>
        <w:gridCol w:w="594"/>
        <w:gridCol w:w="109"/>
        <w:gridCol w:w="109"/>
        <w:gridCol w:w="109"/>
        <w:gridCol w:w="344"/>
        <w:gridCol w:w="784"/>
        <w:gridCol w:w="547"/>
      </w:tblGrid>
      <w:tr>
        <w:trPr/>
        <w:tc>
          <w:tcPr>
            <w:tcW w:w="102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2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2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2025</w:t>
            </w:r>
          </w:p>
        </w:tc>
      </w:tr>
      <w:tr>
        <w:trPr/>
        <w:tc>
          <w:tcPr>
            <w:tcW w:w="2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Water Infrastructure</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Applied Water</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Measurement and Control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Water Solutions and Services</w:t>
            </w:r>
          </w:p>
        </w:tc>
      </w:tr>
      <w:tr>
        <w:trPr/>
        <w:tc>
          <w:tcPr>
            <w:tcW w:w="2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296</w:t>
            </w:r>
            <w:r>
              <w:rPr>
                <w:color w:val="000000"/>
              </w:rPr>
              <w:t> </w:t>
            </w:r>
          </w:p>
        </w:tc>
        <w:tc>
          <w:tcPr>
            <w:tcW w:w="4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241</w:t>
            </w:r>
            <w:r>
              <w:rPr>
                <w:color w:val="000000"/>
              </w:rPr>
              <w:t> </w:t>
            </w:r>
          </w:p>
        </w:tc>
        <w:tc>
          <w:tcPr>
            <w:tcW w:w="3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188</w:t>
            </w:r>
            <w:r>
              <w:rPr>
                <w:color w:val="000000"/>
              </w:rPr>
              <w:t> </w:t>
            </w:r>
          </w:p>
        </w:tc>
        <w:tc>
          <w:tcPr>
            <w:tcW w:w="5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220</w:t>
            </w:r>
            <w:r>
              <w:rPr>
                <w:color w:val="000000"/>
              </w:rPr>
              <w:t> </w:t>
            </w:r>
          </w:p>
        </w:tc>
        <w:tc>
          <w:tcPr>
            <w:tcW w:w="5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15.7</w:t>
            </w:r>
            <w:r>
              <w:rPr>
                <w:color w:val="000000"/>
              </w:rPr>
              <w:t> </w:t>
            </w:r>
          </w:p>
        </w:tc>
        <w:tc>
          <w:tcPr>
            <w:tcW w:w="44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17.5</w:t>
            </w:r>
            <w:r>
              <w:rPr>
                <w:color w:val="000000"/>
              </w:rPr>
              <w:t> </w:t>
            </w:r>
          </w:p>
        </w:tc>
        <w:tc>
          <w:tcPr>
            <w:tcW w:w="32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12.1</w:t>
            </w:r>
            <w:r>
              <w:rPr>
                <w:color w:val="000000"/>
              </w:rPr>
              <w:t> </w:t>
            </w:r>
          </w:p>
        </w:tc>
        <w:tc>
          <w:tcPr>
            <w:tcW w:w="59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12.1</w:t>
            </w:r>
            <w:r>
              <w:rPr>
                <w:color w:val="000000"/>
              </w:rPr>
              <w:t> </w:t>
            </w:r>
          </w:p>
        </w:tc>
        <w:tc>
          <w:tcPr>
            <w:tcW w:w="54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r>
      <w:tr>
        <w:trPr/>
        <w:tc>
          <w:tcPr>
            <w:tcW w:w="2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(gain)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5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sale of businesses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5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non-operating expense, excluding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5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355</w:t>
            </w:r>
            <w:r>
              <w:rPr>
                <w:color w:val="000000"/>
              </w:rPr>
              <w:t> </w:t>
            </w:r>
          </w:p>
        </w:tc>
        <w:tc>
          <w:tcPr>
            <w:tcW w:w="4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266</w:t>
            </w:r>
            <w:r>
              <w:rPr>
                <w:color w:val="000000"/>
              </w:rPr>
              <w:t> </w:t>
            </w:r>
          </w:p>
        </w:tc>
        <w:tc>
          <w:tcPr>
            <w:tcW w:w="3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280</w:t>
            </w:r>
            <w:r>
              <w:rPr>
                <w:color w:val="000000"/>
              </w:rPr>
              <w:t> </w:t>
            </w:r>
          </w:p>
        </w:tc>
        <w:tc>
          <w:tcPr>
            <w:tcW w:w="5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421</w:t>
            </w:r>
            <w:r>
              <w:rPr>
                <w:color w:val="000000"/>
              </w:rPr>
              <w:t> </w:t>
            </w:r>
          </w:p>
        </w:tc>
        <w:tc>
          <w:tcPr>
            <w:tcW w:w="5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44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32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59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54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and realignment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Special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5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sale of businesses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gain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5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422</w:t>
            </w:r>
            <w:r>
              <w:rPr>
                <w:color w:val="000000"/>
              </w:rPr>
              <w:t> </w:t>
            </w:r>
          </w:p>
        </w:tc>
        <w:tc>
          <w:tcPr>
            <w:tcW w:w="4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289</w:t>
            </w:r>
            <w:r>
              <w:rPr>
                <w:color w:val="000000"/>
              </w:rPr>
              <w:t> </w:t>
            </w:r>
          </w:p>
        </w:tc>
        <w:tc>
          <w:tcPr>
            <w:tcW w:w="3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342</w:t>
            </w:r>
            <w:r>
              <w:rPr>
                <w:color w:val="000000"/>
              </w:rPr>
              <w:t> </w:t>
            </w:r>
          </w:p>
        </w:tc>
        <w:tc>
          <w:tcPr>
            <w:tcW w:w="5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442</w:t>
            </w:r>
            <w:r>
              <w:rPr>
                <w:color w:val="000000"/>
              </w:rPr>
              <w:t> </w:t>
            </w:r>
          </w:p>
        </w:tc>
        <w:tc>
          <w:tcPr>
            <w:tcW w:w="5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20"/>
              </w:rPr>
              <w:t>22.4</w:t>
            </w:r>
            <w:r>
              <w:rPr>
                <w:color w:val="000000"/>
              </w:rPr>
              <w:t> </w:t>
            </w:r>
          </w:p>
        </w:tc>
        <w:tc>
          <w:tcPr>
            <w:tcW w:w="44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20"/>
              </w:rPr>
              <w:t>21.0</w:t>
            </w:r>
            <w:r>
              <w:rPr>
                <w:color w:val="000000"/>
              </w:rPr>
              <w:t> </w:t>
            </w:r>
          </w:p>
        </w:tc>
        <w:tc>
          <w:tcPr>
            <w:tcW w:w="32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20"/>
              </w:rPr>
              <w:t>22.0</w:t>
            </w:r>
            <w:r>
              <w:rPr>
                <w:color w:val="000000"/>
              </w:rPr>
              <w:t> </w:t>
            </w:r>
          </w:p>
        </w:tc>
        <w:tc>
          <w:tcPr>
            <w:tcW w:w="59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20"/>
              </w:rPr>
              <w:t>24.2</w:t>
            </w:r>
            <w:r>
              <w:rPr>
                <w:color w:val="000000"/>
              </w:rPr>
              <w:t> </w:t>
            </w:r>
          </w:p>
        </w:tc>
        <w:tc>
          <w:tcPr>
            <w:tcW w:w="54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1445"/>
                <wp:effectExtent l="0" t="0" r="0" b="0"/>
                <wp:wrapNone/>
                <wp:docPr id="55" name="Frame5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66"/>
        <w:gridCol w:w="747"/>
        <w:gridCol w:w="759"/>
        <w:gridCol w:w="109"/>
        <w:gridCol w:w="109"/>
        <w:gridCol w:w="109"/>
        <w:gridCol w:w="319"/>
        <w:gridCol w:w="569"/>
        <w:gridCol w:w="617"/>
        <w:gridCol w:w="109"/>
        <w:gridCol w:w="109"/>
        <w:gridCol w:w="109"/>
        <w:gridCol w:w="240"/>
        <w:gridCol w:w="428"/>
        <w:gridCol w:w="462"/>
        <w:gridCol w:w="109"/>
        <w:gridCol w:w="109"/>
        <w:gridCol w:w="109"/>
        <w:gridCol w:w="427"/>
        <w:gridCol w:w="762"/>
        <w:gridCol w:w="826"/>
        <w:gridCol w:w="109"/>
        <w:gridCol w:w="109"/>
        <w:gridCol w:w="109"/>
        <w:gridCol w:w="339"/>
        <w:gridCol w:w="605"/>
        <w:gridCol w:w="731"/>
      </w:tblGrid>
      <w:tr>
        <w:trPr/>
        <w:tc>
          <w:tcPr>
            <w:tcW w:w="106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r>
      <w:tr>
        <w:trPr/>
        <w:tc>
          <w:tcPr>
            <w:tcW w:w="2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2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 versus 2025</w:t>
            </w:r>
          </w:p>
        </w:tc>
      </w:tr>
      <w:tr>
        <w:trPr/>
        <w:tc>
          <w:tcPr>
            <w:tcW w:w="2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Water Infrastructure</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Applied Water </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Measurement and Control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Water Solutions and Services</w:t>
            </w:r>
          </w:p>
        </w:tc>
      </w:tr>
      <w:tr>
        <w:trPr/>
        <w:tc>
          <w:tcPr>
            <w:tcW w:w="2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w:t>
            </w:r>
            <w:r>
              <w:rPr>
                <w:color w:val="000000"/>
              </w:rPr>
              <w:t> </w:t>
            </w:r>
          </w:p>
        </w:tc>
        <w:tc>
          <w:tcPr>
            <w:tcW w:w="6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w:t>
            </w:r>
            <w:r>
              <w:rPr>
                <w:color w:val="000000"/>
              </w:rPr>
              <w:t> </w:t>
            </w:r>
          </w:p>
        </w:tc>
        <w:tc>
          <w:tcPr>
            <w:tcW w:w="4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w:t>
            </w:r>
            <w:r>
              <w:rPr>
                <w:color w:val="000000"/>
              </w:rPr>
              <w:t> </w:t>
            </w:r>
          </w:p>
        </w:tc>
        <w:tc>
          <w:tcPr>
            <w:tcW w:w="7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400</w:t>
            </w:r>
            <w:r>
              <w:rPr>
                <w:color w:val="000000"/>
              </w:rPr>
              <w:t> </w:t>
            </w:r>
          </w:p>
        </w:tc>
        <w:tc>
          <w:tcPr>
            <w:tcW w:w="61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20"/>
              </w:rPr>
              <w:t>bp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180</w:t>
            </w:r>
            <w:r>
              <w:rPr>
                <w:color w:val="000000"/>
              </w:rPr>
              <w:t> </w:t>
            </w:r>
          </w:p>
        </w:tc>
        <w:tc>
          <w:tcPr>
            <w:tcW w:w="46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20"/>
              </w:rPr>
              <w:t>bp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70</w:t>
            </w:r>
            <w:r>
              <w:rPr>
                <w:color w:val="000000"/>
              </w:rPr>
              <w:t> </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20"/>
              </w:rPr>
              <w:t>bp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90</w:t>
            </w:r>
            <w:r>
              <w:rPr>
                <w:color w:val="000000"/>
              </w:rPr>
              <w:t> </w:t>
            </w:r>
          </w:p>
        </w:tc>
        <w:tc>
          <w:tcPr>
            <w:tcW w:w="73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20"/>
              </w:rPr>
              <w:t>bp</w:t>
            </w:r>
          </w:p>
        </w:tc>
      </w:tr>
      <w:tr>
        <w:trPr/>
        <w:tc>
          <w:tcPr>
            <w:tcW w:w="2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(gain)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(loss) on sale of businesses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7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non-operating expense, excluding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7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91</w:t>
            </w:r>
            <w:r>
              <w:rPr>
                <w:color w:val="000000"/>
              </w:rPr>
              <w:t> </w:t>
            </w:r>
          </w:p>
        </w:tc>
        <w:tc>
          <w:tcPr>
            <w:tcW w:w="6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w:t>
            </w:r>
            <w:r>
              <w:rPr>
                <w:color w:val="000000"/>
              </w:rPr>
              <w:t> </w:t>
            </w:r>
          </w:p>
        </w:tc>
        <w:tc>
          <w:tcPr>
            <w:tcW w:w="4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7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6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73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and realignment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Special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7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(loss) from sale of businesses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r>
      <w:tr>
        <w:trPr/>
        <w:tc>
          <w:tcPr>
            <w:tcW w:w="2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gain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7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61</w:t>
            </w:r>
            <w:r>
              <w:rPr>
                <w:color w:val="000000"/>
              </w:rPr>
              <w:t> </w:t>
            </w:r>
          </w:p>
        </w:tc>
        <w:tc>
          <w:tcPr>
            <w:tcW w:w="6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w:t>
            </w:r>
            <w:r>
              <w:rPr>
                <w:color w:val="000000"/>
              </w:rPr>
              <w:t> </w:t>
            </w:r>
          </w:p>
        </w:tc>
        <w:tc>
          <w:tcPr>
            <w:tcW w:w="4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7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260</w:t>
            </w:r>
            <w:r>
              <w:rPr>
                <w:color w:val="000000"/>
              </w:rPr>
              <w:t> </w:t>
            </w:r>
          </w:p>
        </w:tc>
        <w:tc>
          <w:tcPr>
            <w:tcW w:w="61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20"/>
              </w:rPr>
              <w:t>bp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w:t>
            </w:r>
          </w:p>
        </w:tc>
        <w:tc>
          <w:tcPr>
            <w:tcW w:w="46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20"/>
              </w:rPr>
              <w:t>bp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20"/>
              </w:rPr>
              <w:t>bp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20"/>
              </w:rPr>
              <w:t>bp</w:t>
            </w:r>
          </w:p>
        </w:tc>
      </w:tr>
    </w:tbl>
    <w:p>
      <w:pPr>
        <w:pStyle w:val="TextBody"/>
        <w:bidi w:val="0"/>
        <w:spacing w:lineRule="auto" w:line="288" w:before="120" w:after="120"/>
        <w:ind w:left="0" w:right="0" w:firstLine="180"/>
        <w:jc w:val="left"/>
        <w:rPr>
          <w:rFonts w:ascii="Arial;sans-serif" w:hAnsi="Arial;sans-serif"/>
          <w:b w:val="false"/>
          <w:i/>
          <w:color w:val="000000"/>
          <w:sz w:val="20"/>
        </w:rPr>
      </w:pPr>
      <w:r>
        <w:rPr>
          <w:rFonts w:ascii="Arial;sans-serif" w:hAnsi="Arial;sans-serif"/>
          <w:b w:val="false"/>
          <w:i/>
          <w:color w:val="000000"/>
          <w:sz w:val="20"/>
        </w:rPr>
        <w:t>Water Infrastructure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Operating income for our Water Infrastructure segment was $147 million (operating margin of 22.8%) during the third quarter of 2026, an increase of $34 million, or 30.1%, when compared to operating income of $113 million (operating margin of 17.2%) during the prior year, or a total increase in operating margin of 560 basis points. Operating margin expansion included net favorable impacts of 380 basis points from decreased restructuring and realignment costs and IEEPA tariff refunds in special charges, as compared to the prior year. Additionally, operating margin expansion included 700 basis points of favorable operating impacts consisting of 520 basis points of productivity improvements and 180 basis points of price realization. Margin expansion was partially offset by 520 basis points of unfavorable operational impacts, driven by 150 basis points unfavorable volume, 100 basis points of unfavorable foreign currency impacts, 80 basis points of inflation, 80 basis points of increased spending on strategic investments, and 60 basis points of inventory management costs. Excluding restructuring and realignment costs, amortization of acquired intangibles, and special charges, adjusted operating income was $154 million (adjusted operating margin of 23.9%) for the third quarter of 2026 as compared to adjusted operating income of $145 million (adjusted operating margin of 22.1%) for the third quarter of 2025, an increase of 180 basis points.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Adjusted EBITDA was $169 million (adjusted EBITDA margin of 26.2%) for the third quarter of 2026, an increase of $9 million, or 5.6%, when compared to adjusted EBITDA of $160 million (adjusted EBITDA margin of 24.4%) during the prior year. The increase in adjusted EBITDA margin of 180 basis points was primarily driven by the same factors impacting the increase in adjusted operating margin.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Operating income for our Water Infrastructure segment was $380 million (operating margin of 19.7%) during the nine months ended September 30, 2026, an increase of $84 million, or 28.4%, when compared to operating income of $296 million (operating margin of 15.7%) during the prior year, or a total increase in operating margin of 400 basis points. Operating margin expansion included net favorable impacts of 140 basis points from decreased special charges, including IEEPA tariff refund benefits and decreased restructuring and realignment costs as compared to the prior year. Operating margin expansion included 660 basis points of favorable operating impacts driven by 510 basis points of productivity savings and 110 basis points of favorable price realization. Margin expansion was partially offset by 400 basis points of unfavorable operational impacts, driven by 180 basis points of inflation, 60 basis points of increased spending on strategic investments and 60 basis points of unfavorable foreign currency impacts. Excluding restructuring and realignment costs, amortization of acquired intangibles, and special charges,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31445"/>
                <wp:effectExtent l="0" t="0" r="0" b="0"/>
                <wp:wrapNone/>
                <wp:docPr id="56" name="Frame5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adjusted operating income was $439 million (adjusted operating margin of 22.7%) for the nine months ended September 30, 2026 as compared to adjusted operating income of $379 million (adjusted operating margin of 20.1%) for the nine months ended September 30, 2025, an increase of 260 basis points.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Adjusted EBITDA was $483 million (adjusted EBITDA margin of 25.0%) for the nine months ended September 30, 2026, an increase of $61 million, or 14.5%, when compared to adjusted EBITDA of $422 million (adjusted EBITDA margin of 22.4%) during the prior year. The increase in adjusted EBITDA margin of 260 basis points was primarily driven by the same factors impacting the increase in adjusted operating margin.</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Applied Water</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Operating income for our Applied Water segment was $100 million (operating margin of 20.4%) during the third quarter of 2026, an increase of $15 million, or 17.6%, when compared to operating income of $85 million (operating margin of 18.6%) during the prior year, or a total increase in operating margin of 180 basis points. Operating margin expansion included 210 basis points from IEEPA tariff refunds in special charges and decreased restructuring and realignment costs as compared to the prior year. Additionally, operating margin expansion included 660 basis points of favorable operational impacts consisting primarily of 370 basis points of productivity savings, 170 basis points of favorable volume and 110 basis points of price realization. Operating margin expansion was offset by 690 basis points of unfavorable operational impacts driven primarily by 320 basis points of inflation, 100 basis points of unfavorable mix and 50 basis points of unfavorable foreign currency impacts. Excluding restructuring and realignment costs and special items, adjusted operating income was $94 million (adjusted operating margin of 19.2%) for the third quarter of 2026 as compared to adjusted operating income of $89 million (adjusted operating margin of 19.5%) for the third quarter of 2025, a decrease of 30 basis points.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Adjusted EBITDA was $104 million (adjusted EBITDA margin of 21.3%) for the third quarter of 2026, an increase of $5 million, or 5.1%, when compared to adjusted EBITDA of $99 million (adjusted EBITDA margin of 21.7%) during the prior year, a decrease of 40 basis points. The decrease in adjusted EBITDA margin was primarily due to the same factors impacting the decrease in adjusted operating margin.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Operating income for our Applied Water segment was $278 million (operating margin of 19.3%) during the nine months ended September 30, 2026, an increase of $37 million, or 15.4%, when compared to operating income of $241 million (operating margin of 17.5%) during the prior year, or a total increase in operating margin of 180 basis points. Operating margin expansion included 190 basis points from IEEPA tariff refunds in special charges and decreased restructuring and realignment costs as compared to the prior year. Additionally, operating margin expansion included 710 basis points of favorable operational impacts consisting of 570 basis points of productivity savings and 140 basis points of price realization. Operating margin expansion was offset by 720 basis points of unfavorable operational impacts driven primarily by 390 basis points of inflation, 110 basis points of unfavorable mix, 70 basis points of decreased volume and 50 basis points of increased spending on strategic investments. Excluding restructuring and realignment costs and special items, adjusted operating income was $271 million (adjusted operating margin of 18.8%) for the nine months ended September 30, 2026 as compared to adjusted operating income of $260 million (adjusted operating margin of 18.9%) for the nine months ended September 30, 2025, a decrease of 10 basis points.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Adjusted EBITDA was $298 million (adjusted EBITDA margin of 20.7%) for the nine months ended September 30, 2026, an increase of $9 million, or 3.1%, when compared to adjusted EBITDA of $289 million (adjusted EBITDA margin of 21.0%) during the prior year, a decrease of 30 basis points. The decrease in adjusted EBITDA margin was primarily due to the same factors impacting the decrease in adjusted operating margin.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1445"/>
                <wp:effectExtent l="0" t="0" r="0" b="0"/>
                <wp:wrapNone/>
                <wp:docPr id="57" name="Frame5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 xml:space="preserve">Measurement and Control Solutions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Operating income for our Measurement and Control Solutions segment was $66 million (operating margin of 15.1%) during the third quarter of 2026, an increase of $2 million, or 3.1%, when compared to operating income of $64 million (operating margin of 12.3%) during the prior year, or a total increase in operating margin of 280 basis points. The operating margin expansion included favorable impacts of 70 basis points from the positive impact of a reduction in special charges, including IEEPA tariff refund benefits in the current year, and lower acquired intangible asset amortization, partially offset by higher restructuring and realignment costs compared to the prior year. Additionally, operating margin expansion included 910 basis points of favorable operational impacts, driven by 380 basis points of productivity savings, 310 basis points of price realization and 80 basis points of margin growth from net acquisition and divestiture activity. Margin expansion was partially offset by unfavorable operational impacts of 700 basis points driven by 280 basis points of reduced volume, 210 basis points of inflation and 170 basis points of unfavorable mix. Excluding restructuring and realignment costs, acquired intangible asset amortization and special charges, adjusted operating income was $84 million (adjusted operating margin of 19.3%) for the third quarter of 2026 as compared to adjusted operating income of $90 million (adjusted operating margin of 17.2%) for the third quarter of 2025, an increase of 210 basis points.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Adjusted EBITDA was $107 million (adjusted EBITDA margin of 24.5%) for the third quarter of 2026, a decrease of $7 million, or 6.1%, when compared to adjusted EBITDA of $114 million (adjusted EBITDA margin of 21.8%) during the prior year, an increase of 270 basis points of margin expansion. The increase in adjusted EBITDA margin was primarily due to the same factors as those impacting the increase in adjusted operating margin; however, adjusted EBITDA did not benefit from the relative impact of decreased depreciation and amortization expense.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Operating income for our Measurement and Control Solutions segment was $186 million (operating margin of 12.8%) during the nine months ended September 30, 2026, a decrease of $2 million, or 1.1%, when compared to operating income of $188 million (operating margin of 12.1%) during the prior year, or a total increase in operating margin of 70 basis points. The operating margin expansion included favorable operating impacts of 90 basis points from the favorable impact of reduction in special charges, including IEEPA tariff refund benefits, and lower acquired intangible asset amortization, partially offset by higher restructuring and realignment costs compared to the prior year. Additionally, operating margin expansion included 560 basis points of favorable operational impacts, driven primarily by 310 basis points of productivity savings and 210 basis points of price realization. Margin expansion was offset by unfavorable operational impacts of 580 basis points driven by 230 basis points of inflation, 190 basis points of unfavorable mix and 140 basis points of decreased volume. Excluding restructuring and realignment costs, acquired intangible asset amortization and special charges, adjusted operating income was $250 million (adjusted operating margin of 17.2%) for the nine months ended September 30, 2026 as compared to adjusted operating income of $270 million (adjusted operating margin of 17.4%) for the nine months ended September 30, 2025, a decrease of 20 basis points.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Adjusted EBITDA was $320 million (adjusted EBITDA margin of 22.0%) for the nine months ended September 30, 2026, a decrease of $22 million, or 6.4%, when compared to adjusted EBITDA of $342 million (adjusted EBITDA margin of 22.0%) during the prior year. Adjusted EBITDA margin was flat when compared to the prior year, primarily due to the same factors as those impacting the decrease in adjusted operating margin.</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Water Solutions and Services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Operating income for our Water Solutions and Services segment was $92 million (operating margin of 14.6%) during the third quarter of 2026, a decrease of $6 million, or 6.1%, when compared to operating income of $98 million (operating margin of 15.5%) during the prior year, or a total decrease in operating margin of 90 basis points. The operating margin declines were partially offset by favorable impacts of 100 basis points from reduced special charges, including IEEPA tariff refund benefits in the current year, and decreased acquired intangible asset amortization and restructuring and realignment costs relative to the prior year period. Operating margin declines included 430 basis points of unfavorable operational impacts, driven by 210 basis points of inflation, 90 basis points of decreased volume and 60 basis points of unfavorable mix. Margin declines were partially offset by favorable operational impacts of 240 basis points driven primarily by 190 basis points of price realization. Excluding special charges, acquired intangible asset amortization, and restructuring and realignment costs, adjusted operating income was $114 million (adjusted operating margin of 18.1%) for the third quarter of 2026 as compared to adjusted operating income of $127 million (adjusted operating margin of 20.0%) for the third quarter of 2025, a decrease in margin of 190 basis points.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31445"/>
                <wp:effectExtent l="0" t="0" r="0" b="0"/>
                <wp:wrapNone/>
                <wp:docPr id="58" name="Frame5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Adjusted EBITDA was $157 million (adjusted EBITDA margin of 24.9%) for the third quarter of 2026, a decrease of $10 million, or 6.0%, when compared to adjusted EBITDA of $167 million (adjusted EBITDA margin of 26.3%) during the prior year, a decrease of 140 basis points. The decrease in adjusted EBITDA margin was primarily due to the same factors as those impacting the decrease in adjusted operating margin; however, adjusted EBITDA margin was not negatively impacted from the relative impact of increased depreciation and amortization expense and share-based compensation.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Operating income for our Water Solutions and Services segment was $239 million (operating margin of 13.0%) during the nine months ended September 30, 2026, an increase of $19 million, or 8.6%, when compared to operating income of $220 million (operating margin of 12.1%) during the prior year, or a total increase in operating margin of 90 basis points. The operating margin expansion included favorable impacts of 70 basis points from reduced special charges, including IEEPA tariff refund benefits in the current year, and decreased acquired intangible asset amortization and restructuring and realignment costs relative to the prior year period. Additionally, operating margin expansion included 540 basis points of favorable operational impacts, driven by 330 basis points of price realization, 90 basis points of favorable mix and 90 basis points of productivity savings. Margin expansion was partially offset by unfavorable operational impacts of 520 basis points driven primarily by 230 basis points of inflation and 210 basis points of decreased volume. Excluding special charges, acquired intangible asset amortization, and restructuring and realignment costs, adjusted operating income was $317 million (adjusted operating margin of 17.2%) for the nine months ended September 30, 2026 as compared to adjusted operating income of $311 million (adjusted operating margin of 17.0%) for the nine months ended September 30, 2025, an increase in margin of 20 basis points.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Adjusted EBITDA was $445 million (adjusted EBITDA margin of 24.2%) for the nine months ended September 30, 2026, an increase of $3 million, or 0.7%, when compared to adjusted EBITDA of $442 million (adjusted EBITDA margin of 24.2%) during the prior year. Adjusted EBITDA margin was flat when compared to the prior year, primarily due to the same factors as those impacting the increase in adjusted operating margin.</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 xml:space="preserve">Corporate and other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Operating loss for corporate and other decreased $6 million, or 23.1%, during the third quarter of 2026 compared to the prior year period. Operating loss decreased due to lower special charges and restructuring and realignment costs. Excluding special charges and restructuring and realignment costs, adjusted operating loss for corporate and other decreased $4 million, or 18.2%, for the three months ended September 30, 2026, driven by lower spending on strategic investments.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Operating loss for corporate and other decreased $11 million, or 14.7%, during the nine months ended September 30, 2026 compared to the prior year period. Operating loss decreased due to lower special charges, restructuring and realignment costs, and acquired intangible asset amortization. Excluding these items, adjusted operating loss for corporate and other decreased $4 million, or 6.3% for the nine months ended September 30, 2026.</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Interest Expense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Interest expense was $21 million for the three months ended September 30, 2026, compared to $6 million for the comparable prior year period. The increase in interest expense was primarily driven by increased interest expense from the May 2026 Notes, partially offset by increased interest income generated on cross currency swaps reducing interest expense.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Interest expense was $32 million for the nine months ended September 30, 2026, compared to $23 million for the comparable prior year period. The increase in interest expense was primarily driven by the same dynamics impacting the decrease for the quarter.</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See Note 10, “Derivative Financial Instruments” and Note 12, "Credit Facilities and Debt," of our condensed consolidated financial statements for a description of our net investment hedges and credit facilities and debt, respectively.</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 xml:space="preserve">Income Tax Expense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income tax provision for the three months ended September 30, 2026 was $77 million resulting in an effective tax rate of 21.1%, compared to $71 million of expense resulting in an effective tax rate of 23.9% for the same period in 2025. The income tax provision for the nine months ended September 30, 2026 was $235 million resulting in an effective tax rate of 24.2%, compared to $196 million of expense resulting in an effective tax rate of 24.1% for the same period in 2025. The effective lower tax rate for the three months ended September 30, 2026 compared to the same period in 2025 was primarily due to the jurisdictional mix of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1445"/>
                <wp:effectExtent l="0" t="0" r="0" b="0"/>
                <wp:wrapNone/>
                <wp:docPr id="59" name="Frame5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summarizes our sources and (uses) of cash:</w:t>
      </w:r>
    </w:p>
    <w:tbl>
      <w:tblPr>
        <w:tblW w:w="8066" w:type="dxa"/>
        <w:jc w:val="left"/>
        <w:tblInd w:w="0" w:type="dxa"/>
        <w:tblLayout w:type="fixed"/>
        <w:tblCellMar>
          <w:top w:w="28" w:type="dxa"/>
          <w:left w:w="28" w:type="dxa"/>
          <w:bottom w:w="28" w:type="dxa"/>
          <w:right w:w="28" w:type="dxa"/>
        </w:tblCellMar>
      </w:tblPr>
      <w:tblGrid>
        <w:gridCol w:w="1755"/>
        <w:gridCol w:w="1531"/>
        <w:gridCol w:w="1558"/>
        <w:gridCol w:w="211"/>
        <w:gridCol w:w="541"/>
        <w:gridCol w:w="109"/>
        <w:gridCol w:w="109"/>
        <w:gridCol w:w="109"/>
        <w:gridCol w:w="109"/>
        <w:gridCol w:w="211"/>
        <w:gridCol w:w="481"/>
        <w:gridCol w:w="109"/>
        <w:gridCol w:w="109"/>
        <w:gridCol w:w="109"/>
        <w:gridCol w:w="109"/>
        <w:gridCol w:w="211"/>
        <w:gridCol w:w="541"/>
        <w:gridCol w:w="154"/>
      </w:tblGrid>
      <w:tr>
        <w:trPr/>
        <w:tc>
          <w:tcPr>
            <w:tcW w:w="1755"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r>
      <w:tr>
        <w:trPr/>
        <w:tc>
          <w:tcPr>
            <w:tcW w:w="4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Investing activities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Financing activities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exchange (a)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in cash classified within assets held for sale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 cash classified within assets held for sale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(771)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(841)</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Arial;sans-serif" w:hAnsi="Arial;sans-serif"/>
          <w:b w:val="false"/>
          <w:color w:val="000000"/>
          <w:sz w:val="18"/>
        </w:rPr>
      </w:pPr>
      <w:r>
        <w:rPr>
          <w:rFonts w:ascii="Arial;sans-serif" w:hAnsi="Arial;sans-serif"/>
          <w:b w:val="false"/>
          <w:color w:val="000000"/>
          <w:sz w:val="18"/>
        </w:rPr>
        <w:t>(a)The impact is primarily due to weakening of the Euro against the U.S. Dollar.</w:t>
      </w:r>
    </w:p>
    <w:p>
      <w:pPr>
        <w:pStyle w:val="TextBody"/>
        <w:bidi w:val="0"/>
        <w:spacing w:lineRule="auto" w:line="288" w:before="120" w:after="120"/>
        <w:jc w:val="left"/>
        <w:rPr>
          <w:rFonts w:ascii="Arial;sans-serif" w:hAnsi="Arial;sans-serif"/>
          <w:b/>
          <w:i/>
          <w:color w:val="000000"/>
          <w:sz w:val="20"/>
          <w:shd w:fill="FFFFFF" w:val="clear"/>
        </w:rPr>
      </w:pPr>
      <w:r>
        <w:rPr>
          <w:rFonts w:ascii="Arial;sans-serif" w:hAnsi="Arial;sans-serif"/>
          <w:b/>
          <w:i/>
          <w:color w:val="000000"/>
          <w:sz w:val="20"/>
          <w:shd w:fill="FFFFFF" w:val="clear"/>
        </w:rPr>
        <w:t>Sources and Uses of Liquidity</w:t>
      </w:r>
    </w:p>
    <w:p>
      <w:pPr>
        <w:pStyle w:val="TextBody"/>
        <w:bidi w:val="0"/>
        <w:spacing w:lineRule="auto" w:line="288" w:before="120" w:after="12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Operating Activities</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Cash generated by operating activities was $729 million for the nine months ended September 30, 2026 as compared to cash generated by operating activities of $698 million in comparable prior year period. The increase in cash provided was primarily driven by increased cash earnings, timing of payments for prepaid and accrued expenses, as well as lower annual incentives, offset by increased investment in working capital and increased use of cash related to long-term outsourced water projects.</w:t>
      </w:r>
    </w:p>
    <w:p>
      <w:pPr>
        <w:pStyle w:val="TextBody"/>
        <w:bidi w:val="0"/>
        <w:spacing w:lineRule="auto" w:line="288" w:before="120" w:after="12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Investing Activities</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Cash used in investing activities was $554 million in nine months ended September 30, 2026, as compared to $329 million used in the comparable prior year period. The increase in cash used primarily reflects higher cash paid for acquisitions of businesses and increased investments in capital expenditures, offset by higher proceeds from sales of businesses and lower cash paid for asset acquisitions.</w:t>
      </w:r>
    </w:p>
    <w:p>
      <w:pPr>
        <w:pStyle w:val="TextBody"/>
        <w:bidi w:val="0"/>
        <w:spacing w:lineRule="auto" w:line="288" w:before="120" w:after="12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Financing Activities</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Cash used in financing activities was $935 million in nine months ended September 30, 2026 as compared to cash used of $382 million in the comparable prior year period. The increase in cash used reflects the repurchase of common stock during the period, offset by the issuance of new long-term debt in the form of senior notes.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 xml:space="preserve">Funding and Liquidity Strategy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Our ability to fund our capital needs depends on our ongoing ability to generate cash from operations and access to bank financing and the capital markets. We continually evaluate aspects of our spending, including capital expenditures, strategic investments and dividends.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If our cash flows from operations are less than we expect, we may need to incur debt or issue equity. From time to time, we may need to access the long-term and short-term capital markets to obtain financing. Our access to, and the availability of, financing on acceptable terms and conditions in the future will be impacted by many factors, including: (i) our credit ratings or absence of a credit rating, (ii) the liquidity of the overall capital markets and (iii) the current state of the economy. There can be no assurance that such financing will be available to us on acceptable terms or that such financing will be available at all. Our securities are rated investment grade. A significant change in credit rating could impact our ability to borrow at favorable rates. Refer to Note 12, "Credit Facilities and Debt", of our condensed consolidated financial statements for a description of limitations on obtaining additional funding.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We monitor our global funding requirements and seek to meet our liquidity needs on a cost-effective basis. In addition, our existing committed credit facilities and access to the public debt markets would provide further liquidity, if required.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Based on our current global cash positions, cash flows from operations and access to the capital markets, we believe there is sufficient liquidity to meet our funding requirements and service debt and other obligations in both the U.S. and outside of the U.S. during the year. Currently, we have available liquidity of approximately $2.2 billion, consisting of $708 million of cash and $1.5 billion of available credit facilities as disclosed in Note 12 "Credit Facilities and Debt", of our condensed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31445"/>
                <wp:effectExtent l="0" t="0" r="0" b="0"/>
                <wp:wrapNone/>
                <wp:docPr id="60" name="Frame6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Credit Facilities &amp; Contractual Commitments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See Note 12, "Credit Facilities and Debt" of our condensed consolidated financial statements for a description of our credit facilities and debt.</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Non-U.S. Operations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As we continue to grow our operations outside of the U.S., we expect to continue to generate significant revenue from non-U.S. operations and expect that a substantial portion of our cash will be held by our foreign subsidiaries. We expect to manage our worldwide cash requirements considering available funds among the many subsidiaries through which we conduct business and the cost effectiveness with which those funds can be accessed. We may transfer cash from certain international subsidiaries to the U.S. and other international subsidiaries when we believe it is cost-effective to do so. We continually review our domestic and foreign cash profile, expected future cash generation and investment opportunities, and reassess whether there is a need to repatriate funds held internationally to support our U.S. operations.</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Tariff Developments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See Note 1, "Background and Basis of Presentation," of our condensed consolidated financial statements for a description of tariff developments in 2026. </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Critical Accounting Estimates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discussion and analysis of our results of operations and capital resources are based on our condensed consolidated financial statements, which have been prepared in conformity with GAAP. The preparation of these condensed consolidated financial statements requires management to make estimates and assumptions that affect the reported amounts of assets, liabilities, revenue and expenses and the disclosure of contingent assets and liabilities. We believe the most complex and sensitive judgments, because of their significance to the condensed consolidated financial statements, result primarily from the need to make estimates about the effects of matters that are inherently uncertain. Management's Discussion and Analysis of Financial Condition and Results of Operations in the 2025 Annual Report describes the critical accounting estimates used in preparation of the condensed consolidated financial statements. Actual results in these areas could differ from management's estimates. There have been no significant changes in the information concerning our critical accounting estimates as stated in our 2025 Annual Report.</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2026 Outlook</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are updating our outlook to include a decline in total revenue of approximately 1% and flat organic revenue in 2026. Our outlook is being provided in the context of the current volatility, including due to geopolitical, trade, macroeconomic and regulatory uncertainty. Our ability to meet our expectations is subject to a number of risks, including, but not limited to, those described in "Item 1A. Risk Factors" in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31445"/>
                <wp:effectExtent l="0" t="0" r="0" b="0"/>
                <wp:wrapNone/>
                <wp:docPr id="61" name="Frame6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There has been no material change in the information concerning market risk as stated in our 2025 Annual Report.</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31445"/>
                <wp:effectExtent l="0" t="0" r="0" b="0"/>
                <wp:wrapNone/>
                <wp:docPr id="62" name="Frame6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 xml:space="preserve">ITEM 4.    CONTROLS AND PROCEDURES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Our management, with the participation of the Chief Executive Officer and Chief Financial Officer of the Company, has evaluated the effectiveness of our disclosure controls and procedures (as defined in rules 13a- 15(e) and 15d-15(e) under the Securities Exchange Act of 1934, as amended) as of the end of the period covered by this quarterly report. Any controls and procedures, no matter how well designed and operated, can provide only reasonable assurance of achieving the desired control objectives. Based on such evaluation, the Chief Executive Officer and Chief Financial Officer have concluded that, as of the end of the period covered by this report, the Company's disclosure controls and procedures were effective at the reasonable assurance level.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There have been no changes in our internal control over financial reporting (as defined in Rule 13a-15(f) under the 1934 Act) during the fiscal quarter covered by this quarterly report that have materially affected, or are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1445"/>
                <wp:effectExtent l="0" t="0" r="0" b="0"/>
                <wp:wrapNone/>
                <wp:docPr id="63" name="Frame6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jc w:val="center"/>
        <w:rPr>
          <w:rFonts w:ascii="Arial;sans-serif" w:hAnsi="Arial;sans-serif"/>
          <w:b/>
          <w:color w:val="000000"/>
          <w:sz w:val="20"/>
        </w:rPr>
      </w:pPr>
      <w:r>
        <w:rPr>
          <w:rFonts w:ascii="Arial;sans-serif" w:hAnsi="Arial;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From time to time, we are involved in legal and regulatory proceedings that are incidental to the operation of our businesses (or the business operations of previously owned entities). These proceedings may seek remedies relating to matters including environmental, tax, intellectual property, acquisitions or divestitures, product liability, property damage, personal injury, privacy, employment, labor and pension, government investigations or contract issues and commercial or contractual disputes.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See Note 18, "Commitments and Contingencies" to the condensed consolidated financial statements for further information and any updates.</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31445"/>
                <wp:effectExtent l="0" t="0" r="0" b="0"/>
                <wp:wrapNone/>
                <wp:docPr id="64" name="Frame6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There have been no material changes from the risk factors previously disclosed in "Item 1A. Risk Factors" of our 2025 Annual Report.</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presents information with respect to purchases of the Company's common stock by the Company during the three months ended September 30, 2026:</w:t>
      </w:r>
    </w:p>
    <w:p>
      <w:pPr>
        <w:pStyle w:val="TextBody"/>
        <w:bidi w:val="0"/>
        <w:spacing w:before="120" w:after="120"/>
        <w:jc w:val="left"/>
        <w:rPr/>
      </w:pPr>
      <w:r>
        <w:rPr/>
      </w:r>
    </w:p>
    <w:tbl>
      <w:tblPr>
        <w:tblW w:w="10205" w:type="dxa"/>
        <w:jc w:val="center"/>
        <w:tblInd w:w="0" w:type="dxa"/>
        <w:tblLayout w:type="fixed"/>
        <w:tblCellMar>
          <w:top w:w="28" w:type="dxa"/>
          <w:left w:w="28" w:type="dxa"/>
          <w:bottom w:w="28" w:type="dxa"/>
          <w:right w:w="28" w:type="dxa"/>
        </w:tblCellMar>
      </w:tblPr>
      <w:tblGrid>
        <w:gridCol w:w="314"/>
        <w:gridCol w:w="275"/>
        <w:gridCol w:w="277"/>
        <w:gridCol w:w="109"/>
        <w:gridCol w:w="109"/>
        <w:gridCol w:w="109"/>
        <w:gridCol w:w="505"/>
        <w:gridCol w:w="505"/>
        <w:gridCol w:w="506"/>
        <w:gridCol w:w="109"/>
        <w:gridCol w:w="109"/>
        <w:gridCol w:w="109"/>
        <w:gridCol w:w="421"/>
        <w:gridCol w:w="421"/>
        <w:gridCol w:w="423"/>
        <w:gridCol w:w="109"/>
        <w:gridCol w:w="109"/>
        <w:gridCol w:w="109"/>
        <w:gridCol w:w="805"/>
        <w:gridCol w:w="805"/>
        <w:gridCol w:w="807"/>
        <w:gridCol w:w="109"/>
        <w:gridCol w:w="109"/>
        <w:gridCol w:w="109"/>
        <w:gridCol w:w="826"/>
        <w:gridCol w:w="826"/>
        <w:gridCol w:w="1181"/>
      </w:tblGrid>
      <w:tr>
        <w:trPr/>
        <w:tc>
          <w:tcPr>
            <w:tcW w:w="31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PRICE PAID PER SHARE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NUMBER OF SHARES PURCHASED AS PART OF PUBLICLY ANNOUNCED PLANS OR PROGRAMS (b)(c)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APPROXIMATE DOLLAR VALUE OF SHARES THAT MAY YET BE PURCHASED UNDER THE PLANS OR PROGRAMS (b) (IN MILLIONS)</w:t>
            </w:r>
          </w:p>
        </w:tc>
      </w:tr>
      <w:tr>
        <w:trPr/>
        <w:tc>
          <w:tcPr>
            <w:tcW w:w="8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7/1/26 - 7/30/26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70,114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$117.12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70,071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$445</w:t>
            </w:r>
          </w:p>
        </w:tc>
      </w:tr>
      <w:tr>
        <w:trPr/>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8/1/26 - 8/31/26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1,117,901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1,117,901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$317</w:t>
            </w:r>
          </w:p>
        </w:tc>
      </w:tr>
      <w:tr>
        <w:trPr/>
        <w:tc>
          <w:tcPr>
            <w:tcW w:w="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9/1/26 - 9/30/26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1,982,331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$107.14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1,980,000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$105</w:t>
            </w:r>
          </w:p>
        </w:tc>
      </w:tr>
      <w:tr>
        <w:trPr/>
        <w:tc>
          <w:tcPr>
            <w:tcW w:w="86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3,170,346</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$109.95</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3,167,972</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Arial;sans-serif" w:hAnsi="Arial;sans-serif"/>
          <w:b w:val="false"/>
          <w:color w:val="000000"/>
          <w:sz w:val="18"/>
        </w:rPr>
      </w:pPr>
      <w:r>
        <w:rPr>
          <w:rFonts w:ascii="Arial;sans-serif" w:hAnsi="Arial;sans-serif"/>
          <w:b w:val="false"/>
          <w:color w:val="000000"/>
          <w:sz w:val="18"/>
        </w:rPr>
        <w:t>(a)Average price paid per share is calculated on a settlement basis.</w:t>
      </w:r>
    </w:p>
    <w:p>
      <w:pPr>
        <w:pStyle w:val="TextBody"/>
        <w:bidi w:val="0"/>
        <w:spacing w:lineRule="auto" w:line="288" w:before="120" w:after="120"/>
        <w:ind w:left="0" w:right="0" w:hanging="360"/>
        <w:jc w:val="left"/>
        <w:rPr>
          <w:rFonts w:ascii="Arial;sans-serif" w:hAnsi="Arial;sans-serif"/>
          <w:b w:val="false"/>
          <w:color w:val="000000"/>
          <w:sz w:val="18"/>
        </w:rPr>
      </w:pPr>
      <w:r>
        <w:rPr>
          <w:rFonts w:ascii="Arial;sans-serif" w:hAnsi="Arial;sans-serif"/>
          <w:b w:val="false"/>
          <w:color w:val="000000"/>
          <w:sz w:val="18"/>
        </w:rPr>
        <w:t>(b)On February 25, 2026, our Board of Directors authorized the repurchase of up to $1.5 billion in shares with no expiration date. The program's objective is to deploy our capital in a manner that benefits our stockholders and maintains our focus on growth. Repurchases made under the program can be effected through open market transactions, block purchases, accelerated share repurchase agreements or other negotiated transactions.</w:t>
      </w:r>
    </w:p>
    <w:p>
      <w:pPr>
        <w:pStyle w:val="TextBody"/>
        <w:bidi w:val="0"/>
        <w:spacing w:lineRule="auto" w:line="288" w:before="120" w:after="120"/>
        <w:ind w:left="0" w:right="0" w:hanging="360"/>
        <w:jc w:val="left"/>
        <w:rPr>
          <w:rFonts w:ascii="Arial;sans-serif" w:hAnsi="Arial;sans-serif"/>
          <w:b w:val="false"/>
          <w:color w:val="000000"/>
          <w:sz w:val="18"/>
        </w:rPr>
      </w:pPr>
      <w:r>
        <w:rPr>
          <w:rFonts w:ascii="Arial;sans-serif" w:hAnsi="Arial;sans-serif"/>
          <w:b w:val="false"/>
          <w:color w:val="000000"/>
          <w:sz w:val="18"/>
        </w:rPr>
        <w:t>(c)Amounts presented are exclusive of the excise tax on share repurchases</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31445"/>
                <wp:effectExtent l="0" t="0" r="0" b="0"/>
                <wp:wrapNone/>
                <wp:docPr id="65" name="Frame6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31445"/>
                <wp:effectExtent l="0" t="0" r="0" b="0"/>
                <wp:wrapNone/>
                <wp:docPr id="66" name="Frame6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31445"/>
                <wp:effectExtent l="0" t="0" r="0" b="0"/>
                <wp:wrapNone/>
                <wp:docPr id="67" name="Frame6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(c) Trading Plans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During the quarter ended September 30, 2026, no director or Section 16 officer adopted or terminated any Rule 10b5-1 Plan or non-Rule 10b5-1 Plan arrangements (in each case, as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31445"/>
                <wp:effectExtent l="0" t="0" r="0" b="0"/>
                <wp:wrapNone/>
                <wp:docPr id="68" name="Frame6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See the Exhibit Index for a list of exhibits filed as part of this report and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31445"/>
                <wp:effectExtent l="0" t="0" r="0" b="0"/>
                <wp:wrapNone/>
                <wp:docPr id="69" name="Frame6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XYLEM INC.</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 xml:space="preserve">EXHIBIT INDEX </w:t>
      </w:r>
    </w:p>
    <w:tbl>
      <w:tblPr>
        <w:tblW w:w="10205"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786"/>
        <w:gridCol w:w="1569"/>
        <w:gridCol w:w="1585"/>
        <w:gridCol w:w="1375"/>
        <w:gridCol w:w="1266"/>
        <w:gridCol w:w="1280"/>
        <w:gridCol w:w="109"/>
        <w:gridCol w:w="157"/>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w:t>
              <w:br/>
              <w:t>Number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w:t>
            </w:r>
          </w:p>
        </w:tc>
        <w:tc>
          <w:tcPr>
            <w:tcW w:w="39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Location</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
              <w:r>
                <w:rPr>
                  <w:rStyle w:val="InternetLink"/>
                  <w:rFonts w:ascii="Arial;sans-serif" w:hAnsi="Arial;sans-serif"/>
                  <w:b w:val="false"/>
                  <w:color w:val="0000FF"/>
                  <w:sz w:val="18"/>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Fourth Amended and Restated Articles of Incorporation of Xylem Inc.</w:t>
            </w:r>
          </w:p>
        </w:tc>
        <w:tc>
          <w:tcPr>
            <w:tcW w:w="3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Incorporated by reference to Exhibit 3.1 of Xylem Inc.’s Form 8-K filed on May 15, 2017 (CIK No. 1524472, File No. 1-35229).</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
              <w:r>
                <w:rPr>
                  <w:rStyle w:val="InternetLink"/>
                  <w:rFonts w:ascii="Arial;sans-serif" w:hAnsi="Arial;sans-serif"/>
                  <w:b w:val="false"/>
                  <w:color w:val="0000FF"/>
                  <w:sz w:val="18"/>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Fifth Amended and Restated By-laws of Xylem Inc.</w:t>
            </w:r>
          </w:p>
        </w:tc>
        <w:tc>
          <w:tcPr>
            <w:tcW w:w="3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Incorporated by reference to Exhibit 3.1 of Xylem Inc.’s Form 8-K filed on November 15, 2022 (CIK No. 1524472, File No. 1-35229).</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Arial;sans-serif" w:hAnsi="Arial;sans-serif"/>
                  <w:b w:val="false"/>
                  <w:color w:val="0000FF"/>
                  <w:sz w:val="18"/>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Sixth Supplemental Indenture, dated September 29, 2026, by and between the Company and Deutsche Bank Trust Company Americas, as trustee</w:t>
            </w:r>
          </w:p>
        </w:tc>
        <w:tc>
          <w:tcPr>
            <w:tcW w:w="3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Incorporated by reference to Exhibit 4.1 of Xylem Inc.'s Form 8-K filed September 29, 2026 (CIK No. 1524472, File No. 1-35229)</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
              <w:r>
                <w:rPr>
                  <w:rStyle w:val="InternetLink"/>
                  <w:rFonts w:ascii="Arial;sans-serif" w:hAnsi="Arial;sans-serif"/>
                  <w:b w:val="false"/>
                  <w:color w:val="0000FF"/>
                  <w:sz w:val="18"/>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Form of 5.250% Senior Notes due 2029</w:t>
            </w:r>
          </w:p>
        </w:tc>
        <w:tc>
          <w:tcPr>
            <w:tcW w:w="3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Incorporated by reference to Exhibit 4.1 of Xylem Inc.'s Form 8-K filed on September 29, 2026 (CIK No. 1524472, File No. 1-35229)</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
              <w:r>
                <w:rPr>
                  <w:rStyle w:val="InternetLink"/>
                  <w:rFonts w:ascii="Arial;sans-serif" w:hAnsi="Arial;sans-serif"/>
                  <w:b w:val="false"/>
                  <w:color w:val="0000FF"/>
                  <w:sz w:val="18"/>
                  <w:u w:val="single"/>
                </w:rPr>
                <w:t>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Form of 5.450% Senior Notes due 2032</w:t>
            </w:r>
          </w:p>
        </w:tc>
        <w:tc>
          <w:tcPr>
            <w:tcW w:w="3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Incorporated by reference to Exhibit 4.1 of Xylem Inc.'s Form 8-K filed on September 29, 2026 (CIK No. 1524472, File No. 1-35229)</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7">
              <w:r>
                <w:rPr>
                  <w:rStyle w:val="InternetLink"/>
                  <w:rFonts w:ascii="Arial;sans-serif" w:hAnsi="Arial;sans-serif"/>
                  <w:b w:val="false"/>
                  <w:color w:val="0000FF"/>
                  <w:sz w:val="18"/>
                  <w:u w:val="single"/>
                </w:rPr>
                <w:t>4.4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Form of 5.850% Senior Notes due 2037</w:t>
            </w:r>
          </w:p>
        </w:tc>
        <w:tc>
          <w:tcPr>
            <w:tcW w:w="3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Incorporated by reference to Exhibit 4.1 of Xylem Inc.'s Form 8-K filed on September 29, 2026 (CIK No. 1524472, File No. 1-35229)</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8">
              <w:r>
                <w:rPr>
                  <w:rStyle w:val="InternetLink"/>
                  <w:rFonts w:ascii="Arial;sans-serif" w:hAnsi="Arial;sans-serif"/>
                  <w:b w:val="false"/>
                  <w:color w:val="0000FF"/>
                  <w:sz w:val="18"/>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Five-Year Revolving Credit Facility Agreement, dated as of September 8, 2026 among Xylem Inc. and the Lenders party thereto.</w:t>
            </w:r>
          </w:p>
        </w:tc>
        <w:tc>
          <w:tcPr>
            <w:tcW w:w="3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Incorporated by reference to Exhibit 10.1 of Xylem Inc.'s Form 8-K filed on September 8, 2026 (CIK No. 1524472, File No. 1-35229)</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102-xylemofferlette.htm">
              <w:r>
                <w:rPr>
                  <w:rStyle w:val="InternetLink"/>
                  <w:rFonts w:ascii="Arial;sans-serif" w:hAnsi="Arial;sans-serif"/>
                  <w:b w:val="false"/>
                  <w:color w:val="0000FF"/>
                  <w:sz w:val="18"/>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Letter Agreement between Xylem Inc. and Andrea van der Berg</w:t>
            </w:r>
          </w:p>
        </w:tc>
        <w:tc>
          <w:tcPr>
            <w:tcW w:w="3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xyl09302026ex311.htm">
              <w:r>
                <w:rPr>
                  <w:rStyle w:val="InternetLink"/>
                  <w:rFonts w:ascii="Arial;sans-serif" w:hAnsi="Arial;sans-serif"/>
                  <w:b w:val="false"/>
                  <w:color w:val="0000FF"/>
                  <w:sz w:val="18"/>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Certification pursuant to Rule 13a-14(a)/15d-14(a) of the Securities Exchange Act of 1934, as adopted pursuant to Section 302 of the Sarbanes-Oxley Act of 2002</w:t>
            </w:r>
          </w:p>
        </w:tc>
        <w:tc>
          <w:tcPr>
            <w:tcW w:w="3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xyl09302026ex312.htm">
              <w:r>
                <w:rPr>
                  <w:rStyle w:val="InternetLink"/>
                  <w:rFonts w:ascii="Arial;sans-serif" w:hAnsi="Arial;sans-serif"/>
                  <w:b w:val="false"/>
                  <w:color w:val="0000FF"/>
                  <w:sz w:val="18"/>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Certification pursuant to Rule 13a-14(a)/15d-14(a) of the Securities Exchange Act of 1934, as adopted pursuant to Section 302 of the Sarbanes-Oxley Act of 2002</w:t>
            </w:r>
          </w:p>
        </w:tc>
        <w:tc>
          <w:tcPr>
            <w:tcW w:w="3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xyl09302026ex321.htm">
              <w:r>
                <w:rPr>
                  <w:rStyle w:val="InternetLink"/>
                  <w:rFonts w:ascii="Arial;sans-serif" w:hAnsi="Arial;sans-serif"/>
                  <w:b w:val="false"/>
                  <w:color w:val="0000FF"/>
                  <w:sz w:val="18"/>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Certification Pursuant to 18 U.S.C. Section 1350, as adopted pursuant to Section 906 of the Sarbanes-Oxley Act of 2002</w:t>
            </w:r>
          </w:p>
        </w:tc>
        <w:tc>
          <w:tcPr>
            <w:tcW w:w="3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This Exhibit is intended to be furnished in accordance with Regulation S-K Item 601(b) (32) (ii) and shall not be deemed to be filed for purposes of Section 18 of the Securities Exchange Act of 1934 or incorporated by reference into any filing under the Securities Act of 1933 or the Securities Exchange Act of 1934, except as shall be expressly set forth by specific reference.</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The following materials from Xylem Inc.’s Quarterly Report on Form 10-Q for the quarterly period ended September 30, 2026, formatted in Inline Extensible Business Reporting Language (Inline XBRL): (i) Condensed Consolidated Income Statements, (ii) Condensed Consolidated Statements of Comprehensive Income, (iii) Condensed Consolidated Balance Sheets, (iv) Condensed Consolidated Statements of Cash Flows and (v) Notes to Condensed Consolidated Financial Statements</w:t>
            </w:r>
          </w:p>
        </w:tc>
        <w:tc>
          <w:tcPr>
            <w:tcW w:w="3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instance document does not appear in the interactive data file because its XBRL tags are embedded within the Inline XBRL document.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The cover page from Xylem Inc.'s Quarterly Report on Form 10-Q for the period ended September 30, 2026 formatted in Inline XBRL and contained in Exhibit 101.0.</w:t>
            </w:r>
          </w:p>
        </w:tc>
        <w:tc>
          <w:tcPr>
            <w:tcW w:w="3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Management contract or compensatory plan or arrangement</w:t>
            </w:r>
          </w:p>
        </w:tc>
        <w:tc>
          <w:tcPr>
            <w:tcW w:w="3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31445"/>
                <wp:effectExtent l="0" t="0" r="0" b="0"/>
                <wp:wrapNone/>
                <wp:docPr id="70" name="Frame7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70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80" w:after="180"/>
        <w:jc w:val="left"/>
        <w:rPr/>
      </w:pPr>
      <w:r>
        <w:rPr>
          <w:rFonts w:ascii="Arial;sans-serif" w:hAnsi="Arial;sans-serif"/>
          <w:b w:val="false"/>
          <w:color w:val="000000"/>
          <w:sz w:val="20"/>
        </w:rPr>
        <w:t>Pursuant to the requirements of Section 13 or 15(d) of the Securities Exchange Act of 1934, the Registrant has duly caused this Report to be signed on its behalf by the undersigned, thereunto duly authorized.</w:t>
      </w:r>
      <w:r>
        <w:rPr>
          <w:color w:val="000000"/>
        </w:rPr>
        <w:t> </w:t>
      </w:r>
    </w:p>
    <w:tbl>
      <w:tblPr>
        <w:tblW w:w="4631" w:type="dxa"/>
        <w:jc w:val="left"/>
        <w:tblInd w:w="0" w:type="dxa"/>
        <w:tblLayout w:type="fixed"/>
        <w:tblCellMar>
          <w:top w:w="28" w:type="dxa"/>
          <w:left w:w="28" w:type="dxa"/>
          <w:bottom w:w="28" w:type="dxa"/>
          <w:right w:w="28" w:type="dxa"/>
        </w:tblCellMar>
      </w:tblPr>
      <w:tblGrid>
        <w:gridCol w:w="124"/>
        <w:gridCol w:w="109"/>
        <w:gridCol w:w="109"/>
        <w:gridCol w:w="1254"/>
        <w:gridCol w:w="1254"/>
        <w:gridCol w:w="17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XYLEM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Geri-Michelle McShane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Geri-Michelle McShane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20"/>
              </w:rPr>
            </w:pPr>
            <w:r>
              <w:rPr>
                <w:rFonts w:ascii="Arial;sans-serif" w:hAnsi="Arial;sans-serif"/>
                <w:b w:val="false"/>
                <w:color w:val="000000"/>
                <w:sz w:val="20"/>
              </w:rPr>
              <w:t>Senior Vice President, Chief Accounting Officer</w:t>
            </w:r>
          </w:p>
        </w:tc>
      </w:tr>
    </w:tbl>
    <w:p>
      <w:pPr>
        <w:pStyle w:val="TextBody"/>
        <w:bidi w:val="0"/>
        <w:spacing w:lineRule="auto" w:line="288" w:before="80" w:after="180"/>
        <w:jc w:val="left"/>
        <w:rPr>
          <w:rFonts w:ascii="Arial;sans-serif" w:hAnsi="Arial;sans-serif"/>
          <w:b w:val="false"/>
          <w:color w:val="000000"/>
          <w:sz w:val="20"/>
        </w:rPr>
      </w:pPr>
      <w:r>
        <w:rPr>
          <w:rFonts w:ascii="Arial;sans-serif" w:hAnsi="Arial;sans-serif"/>
          <w:b w:val="false"/>
          <w:color w:val="000000"/>
          <w:sz w:val="20"/>
        </w:rPr>
        <w:t xml:space="preserve">October 27,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31445"/>
                <wp:effectExtent l="0" t="0" r="0" b="0"/>
                <wp:wrapNone/>
                <wp:docPr id="71" name="Frame7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71</w:t>
                      </w:r>
                    </w:p>
                  </w:txbxContent>
                </v:textbox>
                <w10:wrap type="none"/>
              </v:rect>
            </w:pict>
          </mc:Fallback>
        </mc:AlternateContent>
      </w:r>
    </w:p>
    <w:p>
      <w:pPr>
        <w:pStyle w:val="TextBody"/>
        <w:bidi w:val="0"/>
        <w:spacing w:before="0" w:after="0"/>
        <w:ind w:left="0" w:right="0" w:firstLine="720"/>
        <w:jc w:val="left"/>
        <w:rPr/>
      </w:pPr>
      <w:r>
        <w:rPr/>
        <w:drawing>
          <wp:inline distT="0" distB="0" distL="0" distR="0">
            <wp:extent cx="1314450" cy="504825"/>
            <wp:effectExtent l="0" t="0" r="0" b="0"/>
            <wp:docPr id="7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1" descr=""/>
                    <pic:cNvPicPr>
                      <a:picLocks noChangeAspect="1" noChangeArrowheads="1"/>
                    </pic:cNvPicPr>
                  </pic:nvPicPr>
                  <pic:blipFill>
                    <a:blip r:embed="rId9"/>
                    <a:stretch>
                      <a:fillRect/>
                    </a:stretch>
                  </pic:blipFill>
                  <pic:spPr bwMode="auto">
                    <a:xfrm>
                      <a:off x="0" y="0"/>
                      <a:ext cx="1314450" cy="504825"/>
                    </a:xfrm>
                    <a:prstGeom prst="rect">
                      <a:avLst/>
                    </a:prstGeom>
                  </pic:spPr>
                </pic:pic>
              </a:graphicData>
            </a:graphic>
          </wp:inline>
        </w:drawing>
      </w:r>
      <w:r>
        <w:rPr/>
        <w:drawing>
          <wp:inline distT="0" distB="0" distL="0" distR="0">
            <wp:extent cx="1562100" cy="628650"/>
            <wp:effectExtent l="0" t="0" r="0" b="0"/>
            <wp:docPr id="7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 descr=""/>
                    <pic:cNvPicPr>
                      <a:picLocks noChangeAspect="1" noChangeArrowheads="1"/>
                    </pic:cNvPicPr>
                  </pic:nvPicPr>
                  <pic:blipFill>
                    <a:blip r:embed="rId10"/>
                    <a:stretch>
                      <a:fillRect/>
                    </a:stretch>
                  </pic:blipFill>
                  <pic:spPr bwMode="auto">
                    <a:xfrm>
                      <a:off x="0" y="0"/>
                      <a:ext cx="1562100" cy="62865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August 14, 2026                                    </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br/>
        <w:t>Andrea van der Berg</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[address on file]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Dear Andrea,</w:t>
      </w:r>
    </w:p>
    <w:p>
      <w:pPr>
        <w:pStyle w:val="TextBody"/>
        <w:bidi w:val="0"/>
        <w:spacing w:before="0" w:after="0"/>
        <w:jc w:val="both"/>
        <w:rPr/>
      </w:pPr>
      <w:r>
        <w:rPr/>
      </w:r>
    </w:p>
    <w:p>
      <w:pPr>
        <w:pStyle w:val="TextBody"/>
        <w:bidi w:val="0"/>
        <w:spacing w:lineRule="auto" w:line="288" w:before="0" w:after="0"/>
        <w:jc w:val="left"/>
        <w:rPr/>
      </w:pPr>
      <w:r>
        <w:rPr>
          <w:rFonts w:ascii="sans-serif" w:hAnsi="sans-serif"/>
          <w:b w:val="false"/>
          <w:color w:val="000000"/>
          <w:sz w:val="20"/>
        </w:rPr>
        <w:t xml:space="preserve">It is always a pleasure to have the opportunity to acknowledge the accomplishment and contributions of employees who have had an impact on our business. We are pleased to offer you the position of EVP, Chief Finance Officer, reporting directly to Matthew Pine, Xylem’s President &amp; Chief Executive Officer. This position is based in </w:t>
      </w:r>
      <w:r>
        <w:rPr>
          <w:rFonts w:ascii="sans-serif" w:hAnsi="sans-serif"/>
          <w:b w:val="false"/>
          <w:color w:val="000000"/>
          <w:sz w:val="20"/>
          <w:shd w:fill="FFFFFF" w:val="clear"/>
        </w:rPr>
        <w:t>Charlotte, NC and e</w:t>
      </w:r>
      <w:r>
        <w:rPr>
          <w:rFonts w:ascii="sans-serif" w:hAnsi="sans-serif"/>
          <w:b w:val="false"/>
          <w:color w:val="000000"/>
          <w:sz w:val="20"/>
        </w:rPr>
        <w:t xml:space="preserve">ffective September 1, 2026. </w:t>
      </w:r>
    </w:p>
    <w:p>
      <w:pPr>
        <w:pStyle w:val="TextBody"/>
        <w:bidi w:val="0"/>
        <w:spacing w:before="0" w:after="0"/>
        <w:jc w:val="both"/>
        <w:rPr/>
      </w:pPr>
      <w:r>
        <w:rPr/>
      </w:r>
    </w:p>
    <w:p>
      <w:pPr>
        <w:pStyle w:val="TextBody"/>
        <w:bidi w:val="0"/>
        <w:spacing w:lineRule="auto" w:line="288" w:before="0" w:after="0"/>
        <w:ind w:left="0" w:right="0" w:hanging="360"/>
        <w:jc w:val="left"/>
        <w:rPr/>
      </w:pPr>
      <w:r>
        <w:rPr>
          <w:rFonts w:ascii="sans-serif" w:hAnsi="sans-serif"/>
          <w:b/>
          <w:color w:val="000000"/>
          <w:sz w:val="20"/>
          <w:u w:val="single"/>
        </w:rPr>
        <w:t>Base Salary</w:t>
      </w:r>
      <w:r>
        <w:rPr>
          <w:rFonts w:ascii="sans-serif" w:hAnsi="sans-serif"/>
          <w:b w:val="false"/>
          <w:color w:val="000000"/>
          <w:sz w:val="20"/>
        </w:rPr>
        <w:t>: You will be compensated on a bi-weekly basis in the amount of $25,961.54, which is equivalent to $675,000 annually. Annual merit increases are normally scheduled for March of each year and are at the discretion of the Leadership Development and Compensation Committee (LDCC) of Xylem’s Board of Directors. You will be able to participate in the merit increase program beginning in 2027, where any merit increases are typically effective and paid out beginning in March.</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sans-serif" w:hAnsi="sans-serif"/>
          <w:b/>
          <w:color w:val="000000"/>
          <w:sz w:val="20"/>
          <w:u w:val="single"/>
        </w:rPr>
        <w:t>Annual Incentive Plan</w:t>
      </w:r>
      <w:r>
        <w:rPr>
          <w:rFonts w:ascii="sans-serif" w:hAnsi="sans-serif"/>
          <w:b/>
          <w:color w:val="000000"/>
          <w:sz w:val="20"/>
        </w:rPr>
        <w:t xml:space="preserve">: </w:t>
      </w:r>
      <w:r>
        <w:rPr>
          <w:rFonts w:ascii="sans-serif" w:hAnsi="sans-serif"/>
          <w:b w:val="false"/>
          <w:color w:val="000000"/>
          <w:sz w:val="20"/>
        </w:rPr>
        <w:t>You will be eligible for participation in the Annual Incentive Plan (AIP) for the Executive Leadership Team beginning in 2026 according to the approved parameters of the plan and provided targets are met and certified by the LDCC. Your new bonus target is 80% of base salary. Approved AIP awards are typically paid in March for performance in the previous calendar year and will be prorated based on your new and previous teams and targets.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sans-serif" w:hAnsi="sans-serif"/>
          <w:b/>
          <w:color w:val="000000"/>
          <w:sz w:val="20"/>
          <w:u w:val="single"/>
        </w:rPr>
        <w:t>Annual Long-Term Incentive Plan</w:t>
      </w:r>
      <w:r>
        <w:rPr>
          <w:rFonts w:ascii="sans-serif" w:hAnsi="sans-serif"/>
          <w:b/>
          <w:color w:val="000000"/>
          <w:sz w:val="20"/>
        </w:rPr>
        <w:t>:</w:t>
      </w:r>
      <w:r>
        <w:rPr>
          <w:color w:val="000000"/>
        </w:rPr>
        <w:t xml:space="preserve"> </w:t>
      </w:r>
      <w:r>
        <w:rPr>
          <w:rFonts w:ascii="sans-serif" w:hAnsi="sans-serif"/>
          <w:b w:val="false"/>
          <w:color w:val="000000"/>
          <w:sz w:val="20"/>
        </w:rPr>
        <w:t xml:space="preserve">You will continue to be eligible to participate in the Xylem Long-Term Incentive Plan (LTIP) and will have an annual target award of $1,750,000 to be provided as 50% Performance Share Units (PSUs), 25% Restricted Stock Units (RSUs) and 25% Stock Options, which will be subject to the terms and conditions of the applicable grant agreements.  RSUs and Stock Options vest one-third on the first, second and third anniversary of the grant date. The PSUs vest 100% after three years and are payable based on the Company’s performance against targets set by the LDCC.  Subsequent annual grants may vary due to management discretion with regard to individual performance and market competitiveness and are subject to approval by the LDCC. Your next full annual LTIP award will be made effective on or about March 1, 2027.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For 2026, you will receive an additional LTIP award of $787,500 to be provided on/about September 1, 2026. The mix and vesting for the grant will be consistent with the most recent annual grant cycle made in March 2026.</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sans-serif" w:hAnsi="sans-serif"/>
          <w:b/>
          <w:color w:val="000000"/>
          <w:sz w:val="20"/>
          <w:u w:val="single"/>
        </w:rPr>
        <w:t>Repatriation</w:t>
      </w:r>
      <w:r>
        <w:rPr>
          <w:rFonts w:ascii="sans-serif" w:hAnsi="sans-serif"/>
          <w:b w:val="false"/>
          <w:color w:val="000000"/>
          <w:sz w:val="20"/>
        </w:rPr>
        <w:t xml:space="preserve">: We will provide repatriation benefits to you (and your family) to the Charlotte, NC area as per the terms of the Xylem Global Mobility Long Term Local Plus Program. </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sans-serif" w:hAnsi="sans-serif"/>
          <w:b/>
          <w:color w:val="000000"/>
          <w:sz w:val="20"/>
          <w:u w:val="single"/>
        </w:rPr>
        <w:t>Benefit Plans</w:t>
      </w:r>
      <w:r>
        <w:rPr>
          <w:rFonts w:ascii="sans-serif" w:hAnsi="sans-serif"/>
          <w:b w:val="false"/>
          <w:color w:val="000000"/>
          <w:sz w:val="20"/>
        </w:rPr>
        <w:t>: A complete benefits package will be made available to you and your eligible dependents, which includes immediate enrollment in medical plans and subject to any enrollment waiting periods as defined by certain life insurance coverage plans.</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89255"/>
                <wp:effectExtent l="0" t="0" r="0" b="0"/>
                <wp:wrapNone/>
                <wp:docPr id="74" name="Frame72"/>
                <a:graphic xmlns:a="http://schemas.openxmlformats.org/drawingml/2006/main">
                  <a:graphicData uri="http://schemas.microsoft.com/office/word/2010/wordprocessingShape">
                    <wps:wsp>
                      <wps:cNvSpPr txBox="1"/>
                      <wps:spPr>
                        <a:xfrm>
                          <a:off x="0" y="0"/>
                          <a:ext cx="6480175" cy="389255"/>
                        </a:xfrm>
                        <a:prstGeom prst="rect"/>
                        <a:solidFill>
                          <a:srgbClr val="FFFFFF"/>
                        </a:solidFill>
                      </wps:spPr>
                      <wps:txbx>
                        <w:txbxContent>
                          <w:p>
                            <w:pPr>
                              <w:pStyle w:val="TextBody"/>
                              <w:bidi w:val="0"/>
                              <w:spacing w:lineRule="auto" w:line="288" w:before="0" w:after="0"/>
                              <w:jc w:val="center"/>
                              <w:rPr>
                                <w:rFonts w:ascii="Cambria;sans-serif" w:hAnsi="Cambria;sans-serif"/>
                                <w:b w:val="false"/>
                                <w:color w:val="000000"/>
                                <w:sz w:val="24"/>
                              </w:rPr>
                            </w:pPr>
                            <w:r>
                              <w:rPr>
                                <w:rFonts w:ascii="Cambria;sans-serif" w:hAnsi="Cambria;sans-serif"/>
                                <w:b w:val="false"/>
                                <w:color w:val="000000"/>
                                <w:sz w:val="24"/>
                              </w:rPr>
                              <w:t>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mbria;sans-serif" w:hAnsi="Cambria;sans-serif"/>
                          <w:b w:val="false"/>
                          <w:color w:val="000000"/>
                          <w:sz w:val="24"/>
                        </w:rPr>
                      </w:pPr>
                      <w:r>
                        <w:rPr>
                          <w:rFonts w:ascii="Cambria;sans-serif" w:hAnsi="Cambria;sans-serif"/>
                          <w:b w:val="false"/>
                          <w:color w:val="000000"/>
                          <w:sz w:val="24"/>
                        </w:rPr>
                        <w:t>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rFonts w:ascii="sans-serif" w:hAnsi="sans-serif"/>
          <w:b/>
          <w:color w:val="000000"/>
          <w:sz w:val="20"/>
          <w:u w:val="single"/>
        </w:rPr>
        <w:t>Executive Perquisites</w:t>
      </w:r>
      <w:r>
        <w:rPr>
          <w:rFonts w:ascii="sans-serif" w:hAnsi="sans-serif"/>
          <w:b w:val="false"/>
          <w:color w:val="000000"/>
          <w:sz w:val="20"/>
        </w:rPr>
        <w:t xml:space="preserve">: You will be eligible to participate in the Executive Physical (up to $5,000) and Tax Preparation Services (up to $5,000) reimbursement program. You will also be eligible to participate in the Company-sponsored Family Cybersecurity Protection Program, which provides enhanced personal cybersecurity and identity protection services.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left"/>
        <w:rPr/>
      </w:pPr>
      <w:r>
        <w:rPr>
          <w:rFonts w:ascii="sans-serif" w:hAnsi="sans-serif"/>
          <w:b/>
          <w:color w:val="000000"/>
          <w:sz w:val="20"/>
          <w:u w:val="single"/>
        </w:rPr>
        <w:t>Paid Time Off</w:t>
      </w:r>
      <w:r>
        <w:rPr>
          <w:rFonts w:ascii="sans-serif" w:hAnsi="sans-serif"/>
          <w:b/>
          <w:color w:val="000000"/>
          <w:sz w:val="20"/>
        </w:rPr>
        <w:t>:</w:t>
      </w:r>
      <w:r>
        <w:rPr>
          <w:color w:val="000000"/>
        </w:rPr>
        <w:t xml:space="preserve">  </w:t>
      </w:r>
      <w:r>
        <w:rPr>
          <w:rFonts w:ascii="sans-serif" w:hAnsi="sans-serif"/>
          <w:b w:val="false"/>
          <w:color w:val="000000"/>
          <w:sz w:val="20"/>
        </w:rPr>
        <w:t xml:space="preserve">Xylem offers Flexible Time Off (FTO) to US exempt employees. With FTO, colleagues can take time off when they choose (including vacation, sick and personal time). This means there is no specific amount of time off provided – instead, colleagues manage reasonable time away from work with their leader, ensuring they meet mutually agreed on needs for themselves and the team. At Xylem, we encourage our people to stay well, refreshed, and renewed while managing their work with excellence.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sans-serif" w:hAnsi="sans-serif"/>
          <w:b/>
          <w:color w:val="000000"/>
          <w:sz w:val="20"/>
          <w:u w:val="single"/>
        </w:rPr>
        <w:t>Holidays</w:t>
      </w:r>
      <w:r>
        <w:rPr>
          <w:rFonts w:ascii="sans-serif" w:hAnsi="sans-serif"/>
          <w:b/>
          <w:color w:val="000000"/>
          <w:sz w:val="20"/>
        </w:rPr>
        <w:t>:</w:t>
      </w:r>
      <w:r>
        <w:rPr>
          <w:color w:val="000000"/>
        </w:rPr>
        <w:t xml:space="preserve"> </w:t>
      </w:r>
      <w:r>
        <w:rPr>
          <w:rFonts w:ascii="sans-serif" w:hAnsi="sans-serif"/>
          <w:b w:val="false"/>
          <w:color w:val="000000"/>
          <w:sz w:val="20"/>
        </w:rPr>
        <w:t>Xylem recognizes twelve paid holidays per calendar year for eligible employees. Some of these are floating holidays, which may be assigned and are pro-rated based upon your new position start date.</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Andrea, congratulations on your new role. We look forward to your continued contributions to our organization. Please acknowledge your acceptance of our offer by signing one copy of this letter and returning it to my attention as soon as possible. You should also retain a copy for your personal files.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 xml:space="preserve">Warm regards, </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/s/ Matthew Pine</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Matthew Pine</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President &amp; Chief Executive Officer</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The above offer is accepted subject to the foregoing conditions.</w:t>
      </w:r>
    </w:p>
    <w:tbl>
      <w:tblPr>
        <w:tblW w:w="6446" w:type="dxa"/>
        <w:jc w:val="left"/>
        <w:tblInd w:w="0" w:type="dxa"/>
        <w:tblLayout w:type="fixed"/>
        <w:tblCellMar>
          <w:top w:w="28" w:type="dxa"/>
          <w:left w:w="28" w:type="dxa"/>
          <w:bottom w:w="28" w:type="dxa"/>
          <w:right w:w="28" w:type="dxa"/>
        </w:tblCellMar>
      </w:tblPr>
      <w:tblGrid>
        <w:gridCol w:w="869"/>
        <w:gridCol w:w="764"/>
        <w:gridCol w:w="766"/>
        <w:gridCol w:w="109"/>
        <w:gridCol w:w="109"/>
        <w:gridCol w:w="109"/>
        <w:gridCol w:w="1089"/>
        <w:gridCol w:w="1089"/>
        <w:gridCol w:w="1542"/>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sans-serif" w:hAnsi="sans-serif"/>
                <w:b w:val="false"/>
                <w:color w:val="FFFFFF"/>
                <w:sz w:val="20"/>
              </w:rPr>
            </w:pPr>
            <w:r>
              <w:rPr>
                <w:rFonts w:ascii="sans-serif" w:hAnsi="sans-serif"/>
                <w:b w:val="false"/>
                <w:color w:val="FFFFFF"/>
                <w:sz w:val="20"/>
              </w:rPr>
              <w:t>candidatsign-1]</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rFonts w:ascii="sans-serif" w:hAnsi="sans-serif"/>
                <w:b w:val="false"/>
                <w:color w:val="000000"/>
                <w:sz w:val="20"/>
              </w:rPr>
            </w:pPr>
            <w:r>
              <w:rPr>
                <w:rFonts w:ascii="sans-serif" w:hAnsi="sans-serif"/>
                <w:b w:val="false"/>
                <w:color w:val="000000"/>
                <w:sz w:val="20"/>
              </w:rPr>
              <w:t>/s/ Andrea van der Berg</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720"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pPr>
            <w:r>
              <w:rPr>
                <w:rFonts w:ascii="sans-serif" w:hAnsi="sans-serif"/>
                <w:b w:val="false"/>
                <w:color w:val="000000"/>
                <w:sz w:val="20"/>
              </w:rPr>
              <w:t>August 15, 2026</w:t>
            </w:r>
            <w:r>
              <w:rPr>
                <w:rFonts w:ascii="sans-serif" w:hAnsi="sans-serif"/>
                <w:b w:val="false"/>
                <w:color w:val="FFFFFF"/>
                <w:sz w:val="20"/>
              </w:rPr>
              <w:t>ndidate-sign-date-1]</w:t>
            </w:r>
          </w:p>
        </w:tc>
      </w:tr>
      <w:tr>
        <w:trPr/>
        <w:tc>
          <w:tcPr>
            <w:tcW w:w="23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both"/>
              <w:rPr>
                <w:rFonts w:ascii="sans-serif" w:hAnsi="sans-serif"/>
                <w:b w:val="false"/>
                <w:color w:val="595959"/>
                <w:sz w:val="20"/>
              </w:rPr>
            </w:pPr>
            <w:r>
              <w:rPr>
                <w:rFonts w:ascii="sans-serif" w:hAnsi="sans-serif"/>
                <w:b w:val="false"/>
                <w:color w:val="595959"/>
                <w:sz w:val="20"/>
              </w:rPr>
              <w:t>Andrea van der Berg</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0"/>
              <w:jc w:val="both"/>
              <w:rPr/>
            </w:pPr>
            <w:r>
              <w:rPr/>
            </w:r>
          </w:p>
        </w:tc>
        <w:tc>
          <w:tcPr>
            <w:tcW w:w="37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both"/>
              <w:rPr>
                <w:rFonts w:ascii="sans-serif" w:hAnsi="sans-serif"/>
                <w:b w:val="false"/>
                <w:color w:val="000000"/>
                <w:sz w:val="20"/>
              </w:rPr>
            </w:pPr>
            <w:r>
              <w:rPr>
                <w:rFonts w:ascii="sans-serif" w:hAnsi="sans-serif"/>
                <w:b w:val="false"/>
                <w:color w:val="000000"/>
                <w:sz w:val="20"/>
              </w:rPr>
              <w:t>Date</w:t>
            </w:r>
          </w:p>
        </w:tc>
      </w:tr>
    </w:tbl>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Cc:    Claudia Toussaint, EVP, Chief People and Sustainability Officer</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Other documents provided by separate email from Shan Jarvis</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0"/>
        </w:rPr>
        <w:t>Xylem Stock Ownership Guidelines</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0"/>
        </w:rPr>
        <w:t xml:space="preserve">Xylem Senior Executive Severance Plan </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0"/>
        </w:rPr>
        <w:t>Xylem Special Senior Executive Severance Plan</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0"/>
        </w:rPr>
        <w:t>Xylem Executive Perk Reimbursement Process</w:t>
      </w:r>
    </w:p>
    <w:p>
      <w:pPr>
        <w:pStyle w:val="TextBody"/>
        <w:bidi w:val="0"/>
        <w:spacing w:lineRule="auto" w:line="288"/>
        <w:ind w:left="0" w:right="0" w:hanging="360"/>
        <w:jc w:val="both"/>
        <w:rPr/>
      </w:pPr>
      <w:r>
        <w:rPr>
          <w:color w:val="000000"/>
        </w:rPr>
        <w:t>•</w:t>
      </w:r>
      <w:r>
        <w:rPr>
          <w:rFonts w:ascii="sans-serif" w:hAnsi="sans-serif"/>
          <w:b w:val="false"/>
          <w:color w:val="000000"/>
          <w:sz w:val="20"/>
        </w:rPr>
        <w:t>Xylem Cybersecurity Program Guide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8435"/>
                <wp:effectExtent l="0" t="0" r="0" b="0"/>
                <wp:wrapNone/>
                <wp:docPr id="75" name="Frame73"/>
                <a:graphic xmlns:a="http://schemas.openxmlformats.org/drawingml/2006/main">
                  <a:graphicData uri="http://schemas.microsoft.com/office/word/2010/wordprocessingShape">
                    <wps:wsp>
                      <wps:cNvSpPr txBox="1"/>
                      <wps:spPr>
                        <a:xfrm>
                          <a:off x="0" y="0"/>
                          <a:ext cx="6480175" cy="178435"/>
                        </a:xfrm>
                        <a:prstGeom prst="rect"/>
                        <a:solidFill>
                          <a:srgbClr val="FFFFFF"/>
                        </a:solidFill>
                      </wps:spPr>
                      <wps:txbx>
                        <w:txbxContent>
                          <w:p>
                            <w:pPr>
                              <w:pStyle w:val="TextBody"/>
                              <w:bidi w:val="0"/>
                              <w:spacing w:lineRule="auto" w:line="288" w:before="0" w:after="0"/>
                              <w:jc w:val="center"/>
                              <w:rPr>
                                <w:rFonts w:ascii="Cambria;sans-serif" w:hAnsi="Cambria;sans-serif"/>
                                <w:b w:val="false"/>
                                <w:color w:val="000000"/>
                                <w:sz w:val="24"/>
                              </w:rPr>
                            </w:pPr>
                            <w:r>
                              <w:rPr>
                                <w:rFonts w:ascii="Cambria;sans-serif" w:hAnsi="Cambria;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mbria;sans-serif" w:hAnsi="Cambria;sans-serif"/>
                          <w:b w:val="false"/>
                          <w:color w:val="000000"/>
                          <w:sz w:val="24"/>
                        </w:rPr>
                      </w:pPr>
                      <w:r>
                        <w:rPr>
                          <w:rFonts w:ascii="Cambria;sans-serif" w:hAnsi="Cambria;sans-serif"/>
                          <w:b w:val="false"/>
                          <w:color w:val="000000"/>
                          <w:sz w:val="24"/>
                        </w:rPr>
                        <w:t>2</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302 OF THE SARBANES-OXLEY ACT OF 2002</w:t>
      </w:r>
    </w:p>
    <w:p>
      <w:pPr>
        <w:pStyle w:val="TextBody"/>
        <w:bidi w:val="0"/>
        <w:spacing w:before="0" w:after="0"/>
        <w:jc w:val="center"/>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I, Matthew F. Pine, certify that:</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Xylem Inc. for the period ended September 30, 2026;</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center"/>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Date: October 27, 2026</w:t>
      </w:r>
    </w:p>
    <w:tbl>
      <w:tblPr>
        <w:tblW w:w="3776" w:type="dxa"/>
        <w:jc w:val="left"/>
        <w:tblInd w:w="0" w:type="dxa"/>
        <w:tblLayout w:type="fixed"/>
        <w:tblCellMar>
          <w:top w:w="28" w:type="dxa"/>
          <w:left w:w="28" w:type="dxa"/>
          <w:bottom w:w="28" w:type="dxa"/>
          <w:right w:w="28" w:type="dxa"/>
        </w:tblCellMar>
      </w:tblPr>
      <w:tblGrid>
        <w:gridCol w:w="124"/>
        <w:gridCol w:w="109"/>
        <w:gridCol w:w="109"/>
        <w:gridCol w:w="1003"/>
        <w:gridCol w:w="1003"/>
        <w:gridCol w:w="14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Matthew F. Pine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Matthew F. Pine</w:t>
              <w:br/>
              <w:t>President and Chief Executive Officer</w:t>
            </w:r>
          </w:p>
        </w:tc>
      </w:tr>
    </w:tbl>
    <w:p>
      <w:pPr>
        <w:pStyle w:val="TextBody"/>
        <w:bidi w:val="0"/>
        <w:spacing w:before="100" w:after="10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302 OF THE SARBANES-OXLEY ACT OF 2002</w:t>
      </w:r>
    </w:p>
    <w:p>
      <w:pPr>
        <w:pStyle w:val="TextBody"/>
        <w:bidi w:val="0"/>
        <w:spacing w:before="0" w:after="0"/>
        <w:jc w:val="center"/>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I, Andrea van der Berg, certify that:</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Xylem Inc. for the period ended September 30, 2026;</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center"/>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Date: October 27, 2026</w:t>
      </w:r>
    </w:p>
    <w:tbl>
      <w:tblPr>
        <w:tblW w:w="4886" w:type="dxa"/>
        <w:jc w:val="left"/>
        <w:tblInd w:w="0" w:type="dxa"/>
        <w:tblLayout w:type="fixed"/>
        <w:tblCellMar>
          <w:top w:w="28" w:type="dxa"/>
          <w:left w:w="28" w:type="dxa"/>
          <w:bottom w:w="28" w:type="dxa"/>
          <w:right w:w="28" w:type="dxa"/>
        </w:tblCellMar>
      </w:tblPr>
      <w:tblGrid>
        <w:gridCol w:w="124"/>
        <w:gridCol w:w="109"/>
        <w:gridCol w:w="109"/>
        <w:gridCol w:w="1324"/>
        <w:gridCol w:w="1324"/>
        <w:gridCol w:w="18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Andrea van der Berg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Andrea van der Berg</w:t>
              <w:br/>
              <w:t>Executive Vice President &amp; Chief Financial Officer</w:t>
            </w:r>
          </w:p>
        </w:tc>
      </w:tr>
    </w:tbl>
    <w:p>
      <w:pPr>
        <w:pStyle w:val="TextBody"/>
        <w:bidi w:val="0"/>
        <w:spacing w:before="100" w:after="10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In connection with the Quarterly Report on Form 10-Q of Xylem Inc. (the “Company”) for the period ended September 30, 2026 as filed with the Securities and Exchange Commission on the date hereof (the “Report”), each of the undersigned officers of the Company, certifies, pursuant to 18 U.S.C. 1350, as adopted pursuant to 906 of the Sarbanes-Oxley Act of 2002, to his knowledge, that: </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as amended; and</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4752" w:type="dxa"/>
        <w:jc w:val="center"/>
        <w:tblInd w:w="0" w:type="dxa"/>
        <w:tblLayout w:type="fixed"/>
        <w:tblCellMar>
          <w:top w:w="28" w:type="dxa"/>
          <w:left w:w="28" w:type="dxa"/>
          <w:bottom w:w="28" w:type="dxa"/>
          <w:right w:w="28" w:type="dxa"/>
        </w:tblCellMar>
      </w:tblPr>
      <w:tblGrid>
        <w:gridCol w:w="1585"/>
        <w:gridCol w:w="1389"/>
        <w:gridCol w:w="1406"/>
        <w:gridCol w:w="109"/>
        <w:gridCol w:w="109"/>
        <w:gridCol w:w="154"/>
      </w:tblGrid>
      <w:tr>
        <w:trPr/>
        <w:tc>
          <w:tcPr>
            <w:tcW w:w="1585"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Matthew F. Pine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Matthew F. Pine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27,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Andrea van der Berg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Andrea van der Berg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27,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has been provided to Xylem Inc. and will be retained by Xylem Inc.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sans-serif">
    <w:altName w:val="Arial"/>
    <w:charset w:val="01"/>
    <w:family w:val="auto"/>
    <w:pitch w:val="default"/>
  </w:font>
  <w:font w:name="Cambri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24472/000152447217000027/a8-k31xcharter.htm" TargetMode="External"/><Relationship Id="rId3" Type="http://schemas.openxmlformats.org/officeDocument/2006/relationships/hyperlink" Target="https://www.sec.gov/Archives/edgar/data/1524472/000152447222000055/xyl11102022ex31.htm" TargetMode="External"/><Relationship Id="rId4" Type="http://schemas.openxmlformats.org/officeDocument/2006/relationships/hyperlink" Target="https://www.sec.gov/Archives/edgar/data/1524472/000152447226000134/ex41-supplementalindenture.htm" TargetMode="External"/><Relationship Id="rId5" Type="http://schemas.openxmlformats.org/officeDocument/2006/relationships/hyperlink" Target="https://www.sec.gov/Archives/edgar/data/1524472/000152447226000134/ex41-supplementalindenture.htm" TargetMode="External"/><Relationship Id="rId6" Type="http://schemas.openxmlformats.org/officeDocument/2006/relationships/hyperlink" Target="https://www.sec.gov/Archives/edgar/data/1524472/000152447226000134/ex41-supplementalindenture.htm" TargetMode="External"/><Relationship Id="rId7" Type="http://schemas.openxmlformats.org/officeDocument/2006/relationships/hyperlink" Target="https://www.sec.gov/Archives/edgar/data/1524472/000152447226000134/ex41-supplementalindenture.htm" TargetMode="External"/><Relationship Id="rId8" Type="http://schemas.openxmlformats.org/officeDocument/2006/relationships/hyperlink" Target="https://www.sec.gov/Archives/edgar/data/1524472/000152447226000132/xyl09082026ex101.htm" TargetMode="External"/><Relationship Id="rId9" Type="http://schemas.openxmlformats.org/officeDocument/2006/relationships/image" Target="media/image1.png"/><Relationship Id="rId10" Type="http://schemas.openxmlformats.org/officeDocument/2006/relationships/image" Target="media/image2.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30614</Words>
  <Characters>164286</Characters>
  <CharactersWithSpaces>192196</CharactersWithSpaces>
  <Paragraphs>5744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