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 w:lineRule="exact"/>
        <w:rPr>
          <w:sz w:val="24"/>
          <w:szCs w:val="24"/>
          <w:color w:val="auto"/>
        </w:rPr>
      </w:pPr>
    </w:p>
    <w:p>
      <w:pPr>
        <w:ind w:left="3700" w:right="800" w:hanging="3674"/>
        <w:spacing w:after="0" w:line="461" w:lineRule="auto"/>
        <w:tabs>
          <w:tab w:leader="none" w:pos="12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025" w:right="339" w:bottom="1440" w:gutter="0" w:footer="0" w:header="0"/>
        </w:sectPr>
      </w:pPr>
    </w:p>
    <w:p>
      <w:pPr>
        <w:spacing w:after="0" w:line="196"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8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1-35229</w:t>
      </w:r>
    </w:p>
    <w:p>
      <w:pPr>
        <w:sectPr>
          <w:pgSz w:w="11900" w:h="16838" w:orient="portrait"/>
          <w:cols w:equalWidth="0" w:num="1">
            <w:col w:w="11240"/>
          </w:cols>
          <w:pgMar w:left="320" w:top="1025" w:right="339" w:bottom="1440" w:gutter="0" w:footer="0" w:header="0"/>
          <w:type w:val="continuous"/>
        </w:sectPr>
      </w:pP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Xylem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1025" w:right="339" w:bottom="1440" w:gutter="0" w:footer="0" w:header="0"/>
          <w:type w:val="continuous"/>
        </w:sectPr>
      </w:pPr>
    </w:p>
    <w:p>
      <w:pPr>
        <w:spacing w:after="0" w:line="228"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45-2080495</w:t>
      </w:r>
    </w:p>
    <w:p>
      <w:pPr>
        <w:spacing w:after="0" w:line="36" w:lineRule="exact"/>
        <w:rPr>
          <w:sz w:val="24"/>
          <w:szCs w:val="24"/>
          <w:color w:val="auto"/>
        </w:rPr>
      </w:pPr>
    </w:p>
    <w:p>
      <w:pPr>
        <w:sectPr>
          <w:pgSz w:w="11900" w:h="16838" w:orient="portrait"/>
          <w:cols w:equalWidth="0" w:num="2">
            <w:col w:w="7360" w:space="720"/>
            <w:col w:w="3160"/>
          </w:cols>
          <w:pgMar w:left="320" w:top="1025" w:right="339" w:bottom="1440" w:gutter="0" w:footer="0" w:header="0"/>
          <w:type w:val="continuous"/>
        </w:sectPr>
      </w:pPr>
    </w:p>
    <w:p>
      <w:pPr>
        <w:jc w:val="center"/>
        <w:ind w:right="1380"/>
        <w:spacing w:after="0"/>
        <w:rPr>
          <w:sz w:val="20"/>
          <w:szCs w:val="20"/>
          <w:color w:val="auto"/>
        </w:rPr>
      </w:pPr>
      <w:r>
        <w:rPr>
          <w:rFonts w:ascii="Arial" w:cs="Arial" w:eastAsia="Arial" w:hAnsi="Arial"/>
          <w:sz w:val="14"/>
          <w:szCs w:val="14"/>
          <w:i w:val="1"/>
          <w:iCs w:val="1"/>
          <w:color w:val="auto"/>
        </w:rPr>
        <w:t>(State or other jurisdiction of incorporation or</w:t>
      </w:r>
    </w:p>
    <w:p>
      <w:pPr>
        <w:jc w:val="center"/>
        <w:ind w:right="1380"/>
        <w:spacing w:after="0"/>
        <w:rPr>
          <w:sz w:val="20"/>
          <w:szCs w:val="20"/>
          <w:color w:val="auto"/>
        </w:rPr>
      </w:pPr>
      <w:r>
        <w:rPr>
          <w:rFonts w:ascii="Arial" w:cs="Arial" w:eastAsia="Arial" w:hAnsi="Arial"/>
          <w:sz w:val="14"/>
          <w:szCs w:val="14"/>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349" w:lineRule="exact"/>
        <w:rPr>
          <w:sz w:val="24"/>
          <w:szCs w:val="24"/>
          <w:color w:val="auto"/>
        </w:rPr>
      </w:pPr>
    </w:p>
    <w:p>
      <w:pPr>
        <w:sectPr>
          <w:pgSz w:w="11900" w:h="16838" w:orient="portrait"/>
          <w:cols w:equalWidth="0" w:num="2">
            <w:col w:w="6740" w:space="720"/>
            <w:col w:w="3780"/>
          </w:cols>
          <w:pgMar w:left="320" w:top="1025"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International Drive, Rye Brook, NY 10573</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323-5700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33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Title of each class</w:t>
            </w:r>
          </w:p>
        </w:tc>
        <w:tc>
          <w:tcPr>
            <w:tcW w:w="25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8"/>
              </w:rPr>
              <w:t>Trading Symbol(s)</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50"/>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1"/>
                <w:szCs w:val="21"/>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229"/>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2.250% Senior Notes due 2023</w:t>
            </w:r>
          </w:p>
        </w:tc>
        <w:tc>
          <w:tcPr>
            <w:tcW w:w="100" w:type="dxa"/>
            <w:vAlign w:val="bottom"/>
          </w:tcPr>
          <w:p>
            <w:pPr>
              <w:spacing w:after="0"/>
              <w:rPr>
                <w:sz w:val="19"/>
                <w:szCs w:val="19"/>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XYL23</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256"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0"/>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75"/>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8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908"/>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type w:val="continuous"/>
        </w:sectPr>
      </w:pPr>
    </w:p>
    <w:bookmarkStart w:id="1" w:name="page2"/>
    <w:bookmarkEnd w:id="1"/>
    <w:p>
      <w:pPr>
        <w:spacing w:after="0" w:line="22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6" w:lineRule="exact"/>
        <w:rPr>
          <w:sz w:val="20"/>
          <w:szCs w:val="20"/>
          <w:color w:val="auto"/>
        </w:rPr>
      </w:pPr>
    </w:p>
    <w:p>
      <w:pPr>
        <w:ind w:right="54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30, 2021, there were 180,162,994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40"/>
          </w:cols>
          <w:pgMar w:left="320" w:top="625"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4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98"/>
              </w:rPr>
              <w:t>Xylem Inc.</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gridSpan w:val="10"/>
          </w:tcPr>
          <w:p>
            <w:pPr>
              <w:jc w:val="center"/>
              <w:ind w:right="2940"/>
              <w:spacing w:after="0"/>
              <w:rPr>
                <w:sz w:val="20"/>
                <w:szCs w:val="20"/>
                <w:color w:val="auto"/>
              </w:rPr>
            </w:pPr>
            <w:r>
              <w:rPr>
                <w:rFonts w:ascii="Arial" w:cs="Arial" w:eastAsia="Arial" w:hAnsi="Arial"/>
                <w:sz w:val="18"/>
                <w:szCs w:val="18"/>
                <w:b w:val="1"/>
                <w:bCs w:val="1"/>
                <w:color w:val="auto"/>
                <w:w w:val="98"/>
              </w:rPr>
              <w:t>Table of Contents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00" w:type="dxa"/>
            <w:vAlign w:val="bottom"/>
            <w:gridSpan w:val="15"/>
          </w:tcPr>
          <w:p>
            <w:pPr>
              <w:jc w:val="center"/>
              <w:ind w:right="3700"/>
              <w:spacing w:after="0"/>
              <w:rPr>
                <w:sz w:val="20"/>
                <w:szCs w:val="20"/>
                <w:color w:val="auto"/>
              </w:rPr>
            </w:pPr>
            <w:r>
              <w:rPr>
                <w:rFonts w:ascii="Arial" w:cs="Arial" w:eastAsia="Arial" w:hAnsi="Arial"/>
                <w:sz w:val="18"/>
                <w:szCs w:val="18"/>
                <w:b w:val="1"/>
                <w:bCs w:val="1"/>
                <w:color w:val="auto"/>
                <w:w w:val="99"/>
              </w:rPr>
              <w:t>PART I – Financial Information</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140" w:type="dxa"/>
            <w:vAlign w:val="bottom"/>
          </w:tcPr>
          <w:p>
            <w:pPr>
              <w:ind w:left="20"/>
              <w:spacing w:after="0" w:line="180"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80"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0000FF"/>
            </w:tcBorders>
            <w:gridSpan w:val="7"/>
          </w:tcPr>
          <w:p>
            <w:pPr>
              <w:spacing w:after="0" w:line="180"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Financial Statements:</w:t>
              </w:r>
            </w:hyperlink>
          </w:p>
        </w:tc>
        <w:tc>
          <w:tcPr>
            <w:tcW w:w="6060" w:type="dxa"/>
            <w:vAlign w:val="bottom"/>
            <w:gridSpan w:val="14"/>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2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Income Statements for the Three and Six Months Ended June 30,</w:t>
              </w:r>
            </w:hyperlink>
          </w:p>
        </w:tc>
        <w:tc>
          <w:tcPr>
            <w:tcW w:w="152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3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2021 and 2020 (Unaudited)</w:t>
              </w:r>
            </w:hyperlink>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2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for the Three and Six</w:t>
              </w:r>
            </w:hyperlink>
          </w:p>
        </w:tc>
        <w:tc>
          <w:tcPr>
            <w:tcW w:w="1400" w:type="dxa"/>
            <w:vAlign w:val="bottom"/>
            <w:gridSpan w:val="2"/>
            <w:vMerge w:val="restart"/>
          </w:tcPr>
          <w:p>
            <w:pPr>
              <w:spacing w:after="0"/>
              <w:rPr>
                <w:sz w:val="18"/>
                <w:szCs w:val="18"/>
                <w:color w:val="auto"/>
              </w:rPr>
            </w:pPr>
          </w:p>
        </w:tc>
        <w:tc>
          <w:tcPr>
            <w:tcW w:w="120" w:type="dxa"/>
            <w:vAlign w:val="bottom"/>
            <w:gridSpan w:val="2"/>
            <w:vMerge w:val="restart"/>
          </w:tcPr>
          <w:p>
            <w:pPr>
              <w:jc w:val="right"/>
              <w:ind w:right="2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160" w:type="dxa"/>
            <w:vAlign w:val="bottom"/>
            <w:tcBorders>
              <w:top w:val="single" w:sz="8" w:color="0000FF"/>
            </w:tcBorders>
            <w:gridSpan w:val="12"/>
          </w:tcPr>
          <w:p>
            <w:pPr>
              <w:spacing w:after="0" w:line="15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 xml:space="preserve">Months Ended June </w:t>
              </w:r>
            </w:hyperlink>
            <w:r>
              <w:rPr>
                <w:rFonts w:ascii="Arial" w:cs="Arial" w:eastAsia="Arial" w:hAnsi="Arial"/>
                <w:sz w:val="18"/>
                <w:szCs w:val="18"/>
                <w:color w:val="0000FF"/>
                <w:w w:val="99"/>
              </w:rPr>
              <w:t xml:space="preserve">30, </w:t>
            </w:r>
            <w:hyperlink w:anchor="page4">
              <w:r>
                <w:rPr>
                  <w:rFonts w:ascii="Arial" w:cs="Arial" w:eastAsia="Arial" w:hAnsi="Arial"/>
                  <w:sz w:val="18"/>
                  <w:szCs w:val="18"/>
                  <w:color w:val="0000FF"/>
                  <w:w w:val="99"/>
                </w:rPr>
                <w:t>2021 and 2020 (Unaudited)</w:t>
              </w:r>
            </w:hyperlink>
          </w:p>
        </w:tc>
        <w:tc>
          <w:tcPr>
            <w:tcW w:w="2720" w:type="dxa"/>
            <w:vAlign w:val="bottom"/>
            <w:tcBorders>
              <w:top w:val="single" w:sz="8" w:color="0000FF"/>
            </w:tcBorders>
            <w:gridSpan w:val="4"/>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June 30, 2021 and December 31, 2020</w:t>
              </w:r>
            </w:hyperlink>
          </w:p>
        </w:tc>
        <w:tc>
          <w:tcPr>
            <w:tcW w:w="15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(Unaudited)</w:t>
              </w:r>
            </w:hyperlink>
          </w:p>
        </w:tc>
        <w:tc>
          <w:tcPr>
            <w:tcW w:w="12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2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Six Months Ended June 30, 2021</w:t>
              </w:r>
            </w:hyperlink>
          </w:p>
        </w:tc>
        <w:tc>
          <w:tcPr>
            <w:tcW w:w="1400" w:type="dxa"/>
            <w:vAlign w:val="bottom"/>
            <w:gridSpan w:val="2"/>
            <w:vMerge w:val="restart"/>
          </w:tcPr>
          <w:p>
            <w:pPr>
              <w:spacing w:after="0"/>
              <w:rPr>
                <w:sz w:val="18"/>
                <w:szCs w:val="18"/>
                <w:color w:val="auto"/>
              </w:rPr>
            </w:pPr>
          </w:p>
        </w:tc>
        <w:tc>
          <w:tcPr>
            <w:tcW w:w="120" w:type="dxa"/>
            <w:vAlign w:val="bottom"/>
            <w:gridSpan w:val="2"/>
            <w:vMerge w:val="restart"/>
          </w:tcPr>
          <w:p>
            <w:pPr>
              <w:jc w:val="right"/>
              <w:ind w:right="2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60" w:type="dxa"/>
            <w:vAlign w:val="bottom"/>
            <w:tcBorders>
              <w:top w:val="single" w:sz="8" w:color="0000FF"/>
            </w:tcBorders>
            <w:gridSpan w:val="8"/>
          </w:tcPr>
          <w:p>
            <w:pPr>
              <w:spacing w:after="0" w:line="156"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and 2020 (Unaudited)</w:t>
              </w:r>
            </w:hyperlink>
          </w:p>
        </w:tc>
        <w:tc>
          <w:tcPr>
            <w:tcW w:w="5680" w:type="dxa"/>
            <w:vAlign w:val="bottom"/>
            <w:tcBorders>
              <w:top w:val="single" w:sz="8" w:color="0000FF"/>
            </w:tcBorders>
            <w:gridSpan w:val="12"/>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gridSpan w:val="15"/>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the Condensed Consolidated Financial Statements (Unaudited)</w:t>
              </w:r>
            </w:hyperlink>
          </w:p>
        </w:tc>
        <w:tc>
          <w:tcPr>
            <w:tcW w:w="2020" w:type="dxa"/>
            <w:vAlign w:val="bottom"/>
            <w:gridSpan w:val="6"/>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gridSpan w:val="2"/>
          </w:tcPr>
          <w:p>
            <w:pPr>
              <w:jc w:val="right"/>
              <w:ind w:right="2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2"/>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9">
              <w:r>
                <w:rPr>
                  <w:rFonts w:ascii="Arial" w:cs="Arial" w:eastAsia="Arial" w:hAnsi="Arial"/>
                  <w:sz w:val="18"/>
                  <w:szCs w:val="18"/>
                  <w:color w:val="0000FF"/>
                </w:rPr>
                <w:t>Management’s Discussion and Analysis of Financial Condition and Results of Operations</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2"/>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8">
              <w:r>
                <w:rPr>
                  <w:rFonts w:ascii="Arial" w:cs="Arial" w:eastAsia="Arial" w:hAnsi="Arial"/>
                  <w:sz w:val="18"/>
                  <w:szCs w:val="18"/>
                  <w:color w:val="0000FF"/>
                </w:rPr>
                <w:t>Quantitative and Qualitative Disclosures About Market Risk</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9"/>
          </w:tcPr>
          <w:p>
            <w:pPr>
              <w:spacing w:after="0"/>
              <w:rPr>
                <w:rFonts w:ascii="Arial" w:cs="Arial" w:eastAsia="Arial" w:hAnsi="Arial"/>
                <w:sz w:val="18"/>
                <w:szCs w:val="18"/>
                <w:color w:val="0000FF"/>
                <w:w w:val="95"/>
              </w:rPr>
            </w:pPr>
            <w:hyperlink w:anchor="page48">
              <w:r>
                <w:rPr>
                  <w:rFonts w:ascii="Arial" w:cs="Arial" w:eastAsia="Arial" w:hAnsi="Arial"/>
                  <w:sz w:val="18"/>
                  <w:szCs w:val="18"/>
                  <w:color w:val="0000FF"/>
                  <w:w w:val="95"/>
                </w:rPr>
                <w:t>Controls and Procedures</w:t>
              </w:r>
            </w:hyperlink>
          </w:p>
        </w:tc>
        <w:tc>
          <w:tcPr>
            <w:tcW w:w="2780" w:type="dxa"/>
            <w:vAlign w:val="bottom"/>
            <w:gridSpan w:val="4"/>
          </w:tcPr>
          <w:p>
            <w:pPr>
              <w:spacing w:after="0"/>
              <w:rPr>
                <w:sz w:val="18"/>
                <w:szCs w:val="18"/>
                <w:color w:val="auto"/>
              </w:rPr>
            </w:pPr>
          </w:p>
        </w:tc>
        <w:tc>
          <w:tcPr>
            <w:tcW w:w="3080" w:type="dxa"/>
            <w:vAlign w:val="bottom"/>
            <w:gridSpan w:val="8"/>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300" w:type="dxa"/>
            <w:vAlign w:val="bottom"/>
            <w:gridSpan w:val="15"/>
          </w:tcPr>
          <w:p>
            <w:pPr>
              <w:jc w:val="center"/>
              <w:ind w:right="3680"/>
              <w:spacing w:after="0"/>
              <w:rPr>
                <w:sz w:val="20"/>
                <w:szCs w:val="20"/>
                <w:color w:val="auto"/>
              </w:rPr>
            </w:pPr>
            <w:r>
              <w:rPr>
                <w:rFonts w:ascii="Arial" w:cs="Arial" w:eastAsia="Arial" w:hAnsi="Arial"/>
                <w:sz w:val="18"/>
                <w:szCs w:val="18"/>
                <w:b w:val="1"/>
                <w:bCs w:val="1"/>
                <w:color w:val="auto"/>
                <w:w w:val="99"/>
              </w:rPr>
              <w:t>PART II – Other Information</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89" w:lineRule="exact"/>
              <w:rPr>
                <w:sz w:val="20"/>
                <w:szCs w:val="20"/>
                <w:color w:val="auto"/>
              </w:rPr>
            </w:pPr>
            <w:r>
              <w:rPr>
                <w:rFonts w:ascii="Arial" w:cs="Arial" w:eastAsia="Arial" w:hAnsi="Arial"/>
                <w:sz w:val="18"/>
                <w:szCs w:val="18"/>
                <w:color w:val="auto"/>
              </w:rPr>
              <w:t>-</w:t>
            </w:r>
          </w:p>
        </w:tc>
        <w:tc>
          <w:tcPr>
            <w:tcW w:w="1500" w:type="dxa"/>
            <w:vAlign w:val="bottom"/>
            <w:gridSpan w:val="6"/>
          </w:tcPr>
          <w:p>
            <w:pPr>
              <w:spacing w:after="0" w:line="189" w:lineRule="exact"/>
              <w:rPr>
                <w:rFonts w:ascii="Arial" w:cs="Arial" w:eastAsia="Arial" w:hAnsi="Arial"/>
                <w:sz w:val="18"/>
                <w:szCs w:val="18"/>
                <w:color w:val="0000FF"/>
                <w:w w:val="99"/>
              </w:rPr>
            </w:pPr>
            <w:hyperlink w:anchor="page49">
              <w:r>
                <w:rPr>
                  <w:rFonts w:ascii="Arial" w:cs="Arial" w:eastAsia="Arial" w:hAnsi="Arial"/>
                  <w:sz w:val="18"/>
                  <w:szCs w:val="18"/>
                  <w:color w:val="0000FF"/>
                  <w:w w:val="99"/>
                </w:rPr>
                <w:t>Legal Proceedings</w:t>
              </w:r>
            </w:hyperlink>
          </w:p>
        </w:tc>
        <w:tc>
          <w:tcPr>
            <w:tcW w:w="6300" w:type="dxa"/>
            <w:vAlign w:val="bottom"/>
            <w:gridSpan w:val="15"/>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8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1A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500" w:type="dxa"/>
            <w:vAlign w:val="bottom"/>
            <w:gridSpan w:val="6"/>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Risk Factors</w:t>
              </w:r>
            </w:hyperlink>
          </w:p>
        </w:tc>
        <w:tc>
          <w:tcPr>
            <w:tcW w:w="6300" w:type="dxa"/>
            <w:vAlign w:val="bottom"/>
            <w:gridSpan w:val="15"/>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2"/>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9">
              <w:r>
                <w:rPr>
                  <w:rFonts w:ascii="Arial" w:cs="Arial" w:eastAsia="Arial" w:hAnsi="Arial"/>
                  <w:sz w:val="18"/>
                  <w:szCs w:val="18"/>
                  <w:color w:val="0000FF"/>
                </w:rPr>
                <w:t>Unregistered Sales of Equity Securities and Use of Proceeds</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2"/>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9">
              <w:r>
                <w:rPr>
                  <w:rFonts w:ascii="Arial" w:cs="Arial" w:eastAsia="Arial" w:hAnsi="Arial"/>
                  <w:sz w:val="18"/>
                  <w:szCs w:val="18"/>
                  <w:color w:val="0000FF"/>
                </w:rPr>
                <w:t>Defaults Upon Senior Securities</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9"/>
          </w:tcPr>
          <w:p>
            <w:pPr>
              <w:spacing w:after="0"/>
              <w:rPr>
                <w:rFonts w:ascii="Arial" w:cs="Arial" w:eastAsia="Arial" w:hAnsi="Arial"/>
                <w:sz w:val="18"/>
                <w:szCs w:val="18"/>
                <w:color w:val="0000FF"/>
                <w:w w:val="98"/>
              </w:rPr>
            </w:pPr>
            <w:hyperlink w:anchor="page49">
              <w:r>
                <w:rPr>
                  <w:rFonts w:ascii="Arial" w:cs="Arial" w:eastAsia="Arial" w:hAnsi="Arial"/>
                  <w:sz w:val="18"/>
                  <w:szCs w:val="18"/>
                  <w:color w:val="0000FF"/>
                  <w:w w:val="98"/>
                </w:rPr>
                <w:t>Mine Safety Disclosures</w:t>
              </w:r>
            </w:hyperlink>
          </w:p>
        </w:tc>
        <w:tc>
          <w:tcPr>
            <w:tcW w:w="620" w:type="dxa"/>
            <w:vAlign w:val="bottom"/>
            <w:gridSpan w:val="2"/>
          </w:tcPr>
          <w:p>
            <w:pPr>
              <w:spacing w:after="0"/>
              <w:rPr>
                <w:sz w:val="18"/>
                <w:szCs w:val="18"/>
                <w:color w:val="auto"/>
              </w:rPr>
            </w:pPr>
          </w:p>
        </w:tc>
        <w:tc>
          <w:tcPr>
            <w:tcW w:w="5240" w:type="dxa"/>
            <w:vAlign w:val="bottom"/>
            <w:gridSpan w:val="10"/>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9"/>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Other Information</w:t>
              </w:r>
            </w:hyperlink>
          </w:p>
        </w:tc>
        <w:tc>
          <w:tcPr>
            <w:tcW w:w="5860" w:type="dxa"/>
            <w:vAlign w:val="bottom"/>
            <w:gridSpan w:val="12"/>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rFonts w:ascii="Arial" w:cs="Arial" w:eastAsia="Arial" w:hAnsi="Arial"/>
                <w:sz w:val="18"/>
                <w:szCs w:val="18"/>
                <w:color w:val="0000FF"/>
                <w:w w:val="98"/>
              </w:rPr>
            </w:pPr>
            <w:hyperlink w:anchor="page49">
              <w:r>
                <w:rPr>
                  <w:rFonts w:ascii="Arial" w:cs="Arial" w:eastAsia="Arial" w:hAnsi="Arial"/>
                  <w:sz w:val="18"/>
                  <w:szCs w:val="18"/>
                  <w:color w:val="0000FF"/>
                  <w:w w:val="98"/>
                </w:rPr>
                <w:t>Exhibits</w:t>
              </w:r>
            </w:hyperlink>
          </w:p>
        </w:tc>
        <w:tc>
          <w:tcPr>
            <w:tcW w:w="760" w:type="dxa"/>
            <w:vAlign w:val="bottom"/>
            <w:gridSpan w:val="4"/>
          </w:tcPr>
          <w:p>
            <w:pPr>
              <w:spacing w:after="0"/>
              <w:rPr>
                <w:sz w:val="18"/>
                <w:szCs w:val="18"/>
                <w:color w:val="auto"/>
              </w:rPr>
            </w:pPr>
          </w:p>
        </w:tc>
        <w:tc>
          <w:tcPr>
            <w:tcW w:w="6400" w:type="dxa"/>
            <w:vAlign w:val="bottom"/>
            <w:gridSpan w:val="16"/>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gridSpan w:val="19"/>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21"/>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Signatures</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1180" w:type="dxa"/>
            <w:vAlign w:val="bottom"/>
          </w:tcPr>
          <w:p>
            <w:pPr>
              <w:spacing w:after="0"/>
              <w:rPr>
                <w:sz w:val="20"/>
                <w:szCs w:val="20"/>
                <w:color w:val="auto"/>
              </w:rPr>
            </w:pPr>
          </w:p>
        </w:tc>
        <w:tc>
          <w:tcPr>
            <w:tcW w:w="4780" w:type="dxa"/>
            <w:vAlign w:val="bottom"/>
            <w:gridSpan w:val="2"/>
          </w:tcPr>
          <w:p>
            <w:pPr>
              <w:jc w:val="center"/>
              <w:ind w:left="4030"/>
              <w:spacing w:after="0"/>
              <w:rPr>
                <w:sz w:val="20"/>
                <w:szCs w:val="20"/>
                <w:color w:val="auto"/>
              </w:rPr>
            </w:pPr>
            <w:r>
              <w:rPr>
                <w:rFonts w:ascii="Arial" w:cs="Arial" w:eastAsia="Arial" w:hAnsi="Arial"/>
                <w:sz w:val="18"/>
                <w:szCs w:val="18"/>
                <w:b w:val="1"/>
                <w:bCs w:val="1"/>
                <w:color w:val="auto"/>
                <w:w w:val="98"/>
              </w:rPr>
              <w:t>PART I</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800" w:type="dxa"/>
            <w:vAlign w:val="bottom"/>
            <w:gridSpan w:val="4"/>
          </w:tcPr>
          <w:p>
            <w:pPr>
              <w:ind w:left="100"/>
              <w:spacing w:after="0"/>
              <w:rPr>
                <w:sz w:val="20"/>
                <w:szCs w:val="20"/>
                <w:color w:val="auto"/>
              </w:rPr>
            </w:pPr>
            <w:r>
              <w:rPr>
                <w:rFonts w:ascii="Arial" w:cs="Arial" w:eastAsia="Arial" w:hAnsi="Arial"/>
                <w:sz w:val="18"/>
                <w:szCs w:val="18"/>
                <w:b w:val="1"/>
                <w:bCs w:val="1"/>
                <w:color w:val="auto"/>
              </w:rPr>
              <w:t>CONDENSED CONSOLIDATED FINANCIAL STATEMENTS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XYLEM INC. AND SUBSIDIARIES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CONDENSED CONSOLIDATED INCOME STATEMENTS (Unaudited)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60" w:type="dxa"/>
            <w:vAlign w:val="bottom"/>
            <w:gridSpan w:val="3"/>
          </w:tcPr>
          <w:p>
            <w:pPr>
              <w:spacing w:after="0"/>
              <w:rPr>
                <w:sz w:val="20"/>
                <w:szCs w:val="20"/>
                <w:color w:val="auto"/>
              </w:rPr>
            </w:pPr>
            <w:r>
              <w:rPr>
                <w:rFonts w:ascii="Arial" w:cs="Arial" w:eastAsia="Arial" w:hAnsi="Arial"/>
                <w:sz w:val="18"/>
                <w:szCs w:val="18"/>
                <w:color w:val="auto"/>
              </w:rPr>
              <w:t>(in millions, except per share data)</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18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6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w:t>
            </w:r>
          </w:p>
        </w:tc>
        <w:tc>
          <w:tcPr>
            <w:tcW w:w="3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9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For the period ended June 30,</w:t>
            </w: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2020</w:t>
            </w:r>
          </w:p>
        </w:tc>
        <w:tc>
          <w:tcPr>
            <w:tcW w:w="0" w:type="dxa"/>
            <w:vAlign w:val="bottom"/>
          </w:tcPr>
          <w:p>
            <w:pPr>
              <w:spacing w:after="0"/>
              <w:rPr>
                <w:sz w:val="1"/>
                <w:szCs w:val="1"/>
                <w:color w:val="auto"/>
              </w:rPr>
            </w:pPr>
          </w:p>
        </w:tc>
      </w:tr>
      <w:tr>
        <w:trPr>
          <w:trHeight w:val="223"/>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780" w:type="dxa"/>
            <w:vAlign w:val="bottom"/>
            <w:gridSpan w:val="2"/>
            <w:shd w:val="clear" w:color="auto" w:fill="CCEEFF"/>
          </w:tcPr>
          <w:p>
            <w:pPr>
              <w:jc w:val="center"/>
              <w:ind w:left="39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30"/>
        </w:trPr>
        <w:tc>
          <w:tcPr>
            <w:tcW w:w="5960" w:type="dxa"/>
            <w:vAlign w:val="bottom"/>
            <w:gridSpan w:val="3"/>
          </w:tcPr>
          <w:p>
            <w:pPr>
              <w:ind w:left="20"/>
              <w:spacing w:after="0"/>
              <w:rPr>
                <w:sz w:val="20"/>
                <w:szCs w:val="20"/>
                <w:color w:val="auto"/>
              </w:rPr>
            </w:pPr>
            <w:r>
              <w:rPr>
                <w:rFonts w:ascii="Arial" w:cs="Arial" w:eastAsia="Arial" w:hAnsi="Arial"/>
                <w:sz w:val="18"/>
                <w:szCs w:val="18"/>
                <w:color w:val="auto"/>
              </w:rPr>
              <w:t>Cost of revenue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23"/>
        </w:trPr>
        <w:tc>
          <w:tcPr>
            <w:tcW w:w="11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43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0"/>
        </w:trPr>
        <w:tc>
          <w:tcPr>
            <w:tcW w:w="5960" w:type="dxa"/>
            <w:vAlign w:val="bottom"/>
            <w:gridSpan w:val="3"/>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9"/>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5960" w:type="dxa"/>
            <w:vAlign w:val="bottom"/>
            <w:gridSpan w:val="3"/>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4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5960" w:type="dxa"/>
            <w:vAlign w:val="bottom"/>
            <w:gridSpan w:val="3"/>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non-operating expense, net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960" w:type="dxa"/>
            <w:vAlign w:val="bottom"/>
            <w:gridSpan w:val="3"/>
          </w:tcPr>
          <w:p>
            <w:pPr>
              <w:ind w:left="20"/>
              <w:spacing w:after="0"/>
              <w:rPr>
                <w:sz w:val="20"/>
                <w:szCs w:val="20"/>
                <w:color w:val="auto"/>
              </w:rPr>
            </w:pPr>
            <w:r>
              <w:rPr>
                <w:rFonts w:ascii="Arial" w:cs="Arial" w:eastAsia="Arial" w:hAnsi="Arial"/>
                <w:sz w:val="18"/>
                <w:szCs w:val="18"/>
                <w:color w:val="auto"/>
              </w:rPr>
              <w:t>Gain from sale of business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before taxes</w:t>
            </w:r>
          </w:p>
        </w:tc>
        <w:tc>
          <w:tcPr>
            <w:tcW w:w="4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596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1"/>
        </w:trPr>
        <w:tc>
          <w:tcPr>
            <w:tcW w:w="1180" w:type="dxa"/>
            <w:vAlign w:val="bottom"/>
            <w:tcBorders>
              <w:top w:val="single" w:sz="8" w:color="CCEEFF"/>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Net income</w:t>
            </w:r>
          </w:p>
        </w:tc>
        <w:tc>
          <w:tcPr>
            <w:tcW w:w="4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ind w:right="210"/>
              <w:spacing w:after="0" w:line="196" w:lineRule="exact"/>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Earnings per share:</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780" w:type="dxa"/>
            <w:vAlign w:val="bottom"/>
            <w:gridSpan w:val="2"/>
            <w:shd w:val="clear" w:color="auto" w:fill="CCEEFF"/>
          </w:tcPr>
          <w:p>
            <w:pPr>
              <w:jc w:val="center"/>
              <w:ind w:left="39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1180" w:type="dxa"/>
            <w:vAlign w:val="bottom"/>
          </w:tcPr>
          <w:p>
            <w:pPr>
              <w:ind w:left="360"/>
              <w:spacing w:after="0"/>
              <w:rPr>
                <w:sz w:val="20"/>
                <w:szCs w:val="20"/>
                <w:color w:val="auto"/>
              </w:rPr>
            </w:pPr>
            <w:r>
              <w:rPr>
                <w:rFonts w:ascii="Arial" w:cs="Arial" w:eastAsia="Arial" w:hAnsi="Arial"/>
                <w:sz w:val="18"/>
                <w:szCs w:val="18"/>
                <w:color w:val="auto"/>
              </w:rPr>
              <w:t>Diluted</w:t>
            </w:r>
          </w:p>
        </w:tc>
        <w:tc>
          <w:tcPr>
            <w:tcW w:w="4780" w:type="dxa"/>
            <w:vAlign w:val="bottom"/>
            <w:gridSpan w:val="2"/>
          </w:tcPr>
          <w:p>
            <w:pPr>
              <w:jc w:val="center"/>
              <w:ind w:left="39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0.62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0"/>
        </w:trPr>
        <w:tc>
          <w:tcPr>
            <w:tcW w:w="5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360"/>
              <w:spacing w:after="0"/>
              <w:rPr>
                <w:sz w:val="20"/>
                <w:szCs w:val="20"/>
                <w:color w:val="auto"/>
              </w:rPr>
            </w:pPr>
            <w:r>
              <w:rPr>
                <w:rFonts w:ascii="Arial" w:cs="Arial" w:eastAsia="Arial" w:hAnsi="Arial"/>
                <w:sz w:val="18"/>
                <w:szCs w:val="18"/>
                <w:color w:val="auto"/>
              </w:rPr>
              <w:t>Basic</w:t>
            </w:r>
          </w:p>
        </w:tc>
        <w:tc>
          <w:tcPr>
            <w:tcW w:w="4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Three Months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w:t>
            </w:r>
          </w:p>
        </w:tc>
        <w:tc>
          <w:tcPr>
            <w:tcW w:w="0" w:type="dxa"/>
            <w:vAlign w:val="bottom"/>
          </w:tcPr>
          <w:p>
            <w:pPr>
              <w:spacing w:after="0"/>
              <w:rPr>
                <w:sz w:val="1"/>
                <w:szCs w:val="1"/>
                <w:color w:val="auto"/>
              </w:rPr>
            </w:pPr>
          </w:p>
        </w:tc>
      </w:tr>
      <w:tr>
        <w:trPr>
          <w:trHeight w:val="239"/>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 ended June 30,</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140" w:type="dxa"/>
            <w:vAlign w:val="bottom"/>
          </w:tcPr>
          <w:p>
            <w:pPr>
              <w:ind w:left="360"/>
              <w:spacing w:after="0"/>
              <w:rPr>
                <w:sz w:val="20"/>
                <w:szCs w:val="20"/>
                <w:color w:val="auto"/>
              </w:rPr>
            </w:pPr>
            <w:r>
              <w:rPr>
                <w:rFonts w:ascii="Arial" w:cs="Arial" w:eastAsia="Arial" w:hAnsi="Arial"/>
                <w:sz w:val="18"/>
                <w:szCs w:val="18"/>
                <w:color w:val="auto"/>
              </w:rPr>
              <w:t>Amount of loss (gain) reclassified into net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360"/>
              <w:spacing w:after="0"/>
              <w:rPr>
                <w:sz w:val="20"/>
                <w:szCs w:val="20"/>
                <w:color w:val="auto"/>
              </w:rPr>
            </w:pPr>
            <w:r>
              <w:rPr>
                <w:rFonts w:ascii="Arial" w:cs="Arial" w:eastAsia="Arial" w:hAnsi="Arial"/>
                <w:sz w:val="18"/>
                <w:szCs w:val="18"/>
                <w:color w:val="auto"/>
              </w:rPr>
              <w:t>Amortization of prior service credit</w:t>
            </w:r>
          </w:p>
        </w:tc>
        <w:tc>
          <w:tcPr>
            <w:tcW w:w="2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net actuarial loss into net income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8"/>
        </w:trPr>
        <w:tc>
          <w:tcPr>
            <w:tcW w:w="6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Income tax expense (benefit) related to items of other comprehensive</w:t>
            </w:r>
          </w:p>
        </w:tc>
        <w:tc>
          <w:tcPr>
            <w:tcW w:w="2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Xylem</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42"/>
        </w:trPr>
        <w:tc>
          <w:tcPr>
            <w:tcW w:w="7540" w:type="dxa"/>
            <w:vAlign w:val="bottom"/>
          </w:tcPr>
          <w:p>
            <w:pPr>
              <w:ind w:left="360"/>
              <w:spacing w:after="0"/>
              <w:rPr>
                <w:sz w:val="20"/>
                <w:szCs w:val="20"/>
                <w:color w:val="auto"/>
              </w:rPr>
            </w:pPr>
            <w:r>
              <w:rPr>
                <w:rFonts w:ascii="Arial" w:cs="Arial" w:eastAsia="Arial" w:hAnsi="Arial"/>
                <w:sz w:val="18"/>
                <w:szCs w:val="18"/>
                <w:color w:val="auto"/>
              </w:rPr>
              <w:t>Receivables, less allowances for discounts, returns and credit losses of $41 and $46 in</w:t>
            </w: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540" w:type="dxa"/>
            <w:vAlign w:val="bottom"/>
          </w:tcPr>
          <w:p>
            <w:pPr>
              <w:ind w:left="360"/>
              <w:spacing w:after="0"/>
              <w:rPr>
                <w:sz w:val="20"/>
                <w:szCs w:val="20"/>
                <w:color w:val="auto"/>
              </w:rPr>
            </w:pPr>
            <w:r>
              <w:rPr>
                <w:rFonts w:ascii="Arial" w:cs="Arial" w:eastAsia="Arial" w:hAnsi="Arial"/>
                <w:sz w:val="18"/>
                <w:szCs w:val="18"/>
                <w:color w:val="auto"/>
              </w:rPr>
              <w:t>2021 and 2020, respectively</w:t>
            </w:r>
          </w:p>
        </w:tc>
        <w:tc>
          <w:tcPr>
            <w:tcW w:w="1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2,841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1,058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8,785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Accrued and other current liabilities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maturities of long-term debt</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1,959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Accrued post-retirement benefits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accrued liabilities</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5,736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0" w:type="dxa"/>
            <w:vAlign w:val="bottom"/>
          </w:tcPr>
          <w:p>
            <w:pPr>
              <w:spacing w:after="0"/>
              <w:rPr>
                <w:sz w:val="1"/>
                <w:szCs w:val="1"/>
                <w:color w:val="auto"/>
              </w:rPr>
            </w:pPr>
          </w:p>
        </w:tc>
      </w:tr>
      <w:tr>
        <w:trPr>
          <w:trHeight w:val="210"/>
        </w:trPr>
        <w:tc>
          <w:tcPr>
            <w:tcW w:w="7540" w:type="dxa"/>
            <w:vAlign w:val="bottom"/>
          </w:tcPr>
          <w:p>
            <w:pPr>
              <w:ind w:left="140"/>
              <w:spacing w:after="0"/>
              <w:rPr>
                <w:sz w:val="20"/>
                <w:szCs w:val="20"/>
                <w:color w:val="auto"/>
              </w:rPr>
            </w:pPr>
            <w:r>
              <w:rPr>
                <w:rFonts w:ascii="Arial" w:cs="Arial" w:eastAsia="Arial" w:hAnsi="Arial"/>
                <w:sz w:val="18"/>
                <w:szCs w:val="18"/>
                <w:color w:val="auto"/>
              </w:rPr>
              <w:t>Commitments and contingencies (Note 16)</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Common Stock – par value $0.01 per share:</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Authorized 750.0 shares, issued 195.3 shares and 194.9 shares in 2021 and 2020,</w:t>
            </w:r>
          </w:p>
        </w:tc>
        <w:tc>
          <w:tcPr>
            <w:tcW w:w="126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respectively</w:t>
            </w:r>
          </w:p>
        </w:tc>
        <w:tc>
          <w:tcPr>
            <w:tcW w:w="126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Capital in excess of par value</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2,063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Treasury stock – at cost 15.2 shares and 14.5 shares in 2021 and 2020, respectively</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equity</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six months ended June 30,</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Restructuring and asset impairment charges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sale of business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for restructuring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8"/>
                <w:szCs w:val="18"/>
                <w:color w:val="auto"/>
              </w:rPr>
              <w:t>Changes in assets and liabilities (net of acquisitions):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receivables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Changes in inventories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accounts payable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Net Cash –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Arial" w:cs="Arial" w:eastAsia="Arial" w:hAnsi="Arial"/>
                <w:sz w:val="18"/>
                <w:szCs w:val="18"/>
                <w:color w:val="auto"/>
              </w:rPr>
              <w:t>Proceeds from sale of business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Net Cash – Investing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8"/>
                <w:szCs w:val="18"/>
                <w:color w:val="auto"/>
              </w:rPr>
              <w:t>Short-term debt issued, net</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debt repaid</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8"/>
                <w:szCs w:val="18"/>
                <w:color w:val="auto"/>
              </w:rPr>
              <w:t>Long-term debt issued, net</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8"/>
                <w:szCs w:val="18"/>
                <w:color w:val="auto"/>
              </w:rPr>
              <w:t>Proceeds from exercise of employee stock options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Net Cash –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during the period for: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56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Income taxes (net of refunds received)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39"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9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Xylem operates in three segments, Water Infrastructure, Applied Water and Measurement &amp; Control Solutions. See Note 17, "Segment Information", to the condensed consolidated financial statements for further segment background information.</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9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2020 ("2020 Annual Report") in preparing these unaudited condensed consolidated financial statements. These condensed consolidated financial statements should be read in conjunction with the audited consolidated financial statements and the notes included in our 2020 Annual Report.</w:t>
      </w:r>
    </w:p>
    <w:p>
      <w:pPr>
        <w:spacing w:after="0" w:line="10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taxes, valuation of intangible assets, goodwill and indefinite-lived intangible impairment testing and contingent liabilities. Actual results could differ from these estimates. The global outbreak of the novel coronavirus ("COVID-19") disease in March 2020, declared a pandemic by the World Health Organization, has created significant global volatility, uncertainty and economic disruption. The COVID-19 pandemic also has caused increased uncertainty in estimates and assumptions affecting the condensed consolidated financial statements. Actual results could differ from these estimates.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48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18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reflects revenue from contracts with customers by application. The table below also reflects updates to the aggregation of applications to simplify and focus presentation.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4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18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52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784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30"/>
        </w:trPr>
        <w:tc>
          <w:tcPr>
            <w:tcW w:w="5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70"/>
        </w:trPr>
        <w:tc>
          <w:tcPr>
            <w:tcW w:w="5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520" w:type="dxa"/>
            <w:vAlign w:val="bottom"/>
          </w:tcPr>
          <w:p>
            <w:pPr>
              <w:ind w:left="280"/>
              <w:spacing w:after="0"/>
              <w:rPr>
                <w:sz w:val="20"/>
                <w:szCs w:val="20"/>
                <w:color w:val="auto"/>
              </w:rPr>
            </w:pPr>
            <w:r>
              <w:rPr>
                <w:rFonts w:ascii="Arial" w:cs="Arial" w:eastAsia="Arial" w:hAnsi="Arial"/>
                <w:sz w:val="18"/>
                <w:szCs w:val="18"/>
                <w:color w:val="auto"/>
              </w:rPr>
              <w:t>Commercial Building Services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Building Services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5520" w:type="dxa"/>
            <w:vAlign w:val="bottom"/>
          </w:tcPr>
          <w:p>
            <w:pPr>
              <w:ind w:left="280"/>
              <w:spacing w:after="0"/>
              <w:rPr>
                <w:sz w:val="20"/>
                <w:szCs w:val="20"/>
                <w:color w:val="auto"/>
              </w:rPr>
            </w:pPr>
            <w:r>
              <w:rPr>
                <w:rFonts w:ascii="Arial" w:cs="Arial" w:eastAsia="Arial" w:hAnsi="Arial"/>
                <w:sz w:val="18"/>
                <w:szCs w:val="18"/>
                <w:color w:val="auto"/>
              </w:rPr>
              <w:t>Industrial Water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0"/>
        </w:trPr>
        <w:tc>
          <w:tcPr>
            <w:tcW w:w="55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Water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29"/>
        </w:trPr>
        <w:tc>
          <w:tcPr>
            <w:tcW w:w="5520" w:type="dxa"/>
            <w:vAlign w:val="bottom"/>
          </w:tcPr>
          <w:p>
            <w:pPr>
              <w:ind w:left="280"/>
              <w:spacing w:after="0"/>
              <w:rPr>
                <w:sz w:val="20"/>
                <w:szCs w:val="20"/>
                <w:color w:val="auto"/>
              </w:rPr>
            </w:pPr>
            <w:r>
              <w:rPr>
                <w:rFonts w:ascii="Arial" w:cs="Arial" w:eastAsia="Arial" w:hAnsi="Arial"/>
                <w:sz w:val="18"/>
                <w:szCs w:val="18"/>
                <w:color w:val="auto"/>
              </w:rPr>
              <w:t>Energy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0"/>
        </w:trPr>
        <w:tc>
          <w:tcPr>
            <w:tcW w:w="55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 w:name="page10"/>
    <w:bookmarkEnd w:id="9"/>
    <w:p>
      <w:pPr>
        <w:spacing w:after="0" w:line="256" w:lineRule="auto"/>
        <w:rPr>
          <w:sz w:val="20"/>
          <w:szCs w:val="20"/>
          <w:color w:val="auto"/>
        </w:rPr>
      </w:pPr>
      <w:r>
        <w:rPr>
          <w:rFonts w:ascii="Arial" w:cs="Arial" w:eastAsia="Arial" w:hAnsi="Arial"/>
          <w:sz w:val="18"/>
          <w:szCs w:val="18"/>
          <w:color w:val="auto"/>
        </w:rPr>
        <w:t>The following table reflects revenue from contracts with customers by geographical region. The presentation of geographic regions below has been updated to better align to how management currently focuses on revenue and growth platforms by geographic region. There has been no change to the Company's reportable segments.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4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18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55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5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5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30"/>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5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5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55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660" w:right="140" w:hanging="328"/>
        <w:spacing w:after="0" w:line="258" w:lineRule="auto"/>
        <w:tabs>
          <w:tab w:leader="none" w:pos="647" w:val="left"/>
        </w:tabs>
        <w:numPr>
          <w:ilvl w:val="0"/>
          <w:numId w:val="3"/>
        </w:numPr>
        <w:rPr>
          <w:rFonts w:ascii="Arial" w:cs="Arial" w:eastAsia="Arial" w:hAnsi="Arial"/>
          <w:sz w:val="14"/>
          <w:szCs w:val="14"/>
          <w:color w:val="auto"/>
        </w:rPr>
      </w:pPr>
      <w:r>
        <w:rPr>
          <w:rFonts w:ascii="Arial" w:cs="Arial" w:eastAsia="Arial" w:hAnsi="Arial"/>
          <w:sz w:val="14"/>
          <w:szCs w:val="14"/>
          <w:color w:val="auto"/>
        </w:rPr>
        <w:t>Emerging Markets revenue includes results from the following regions: Eastern Europe, the Middle East and Africa, Latin America and Asia Pacific (excluding Japan, Australia and New Zealand, which are presented in "Other")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8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table below provides contract assets, contract liabilities, and significant changes in contract assets and liabilities: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Contract Assets (a)</w:t>
            </w:r>
          </w:p>
        </w:tc>
        <w:tc>
          <w:tcPr>
            <w:tcW w:w="4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Balance at January 1, 2021</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166</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2021</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(a)</w:t>
        <w:tab/>
        <w:t>Excludes receivable balances which are disclosed on the balance sheet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June 30, 2021, the aggregate amount of the transaction price allocated to performance obligations that are unsatisfied or partially unsatisfied for contracts with performance obligations, amount to $438 million.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and Asset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ourselves. During the three and six months ended June 30, 2021, we recognized restructuring charges of $3 million and $8 million, respectively, of which $2 million and $6 million relate to actions previously announced in 2020. These charges included reduction of headcount across all segments and asset impairments within our Measurement &amp; Control Solutions segment.</w:t>
      </w:r>
    </w:p>
    <w:p>
      <w:pPr>
        <w:spacing w:after="0" w:line="9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response to the changes in business and economic conditions arising as a result of the COVID-19 pandemic, in June 2020 management committed to a restructuring plan that includes actions across our businesses and functions globally. The plan is designed to support our long-term financial resilience, simplify our operations, strengthen our competitive positioning and better serve our customers. During the three and six months ended June 30, 2020, we recognized restructuring charges of $38 million and $ 40 million, respectively. These charges included reduction of headcount across all segments and asset impairments within our Measurement &amp; Control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8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2020</w:t>
            </w: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Severance and other charges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center"/>
              <w:ind w:left="655"/>
              <w:spacing w:after="0"/>
              <w:rPr>
                <w:sz w:val="20"/>
                <w:szCs w:val="20"/>
                <w:color w:val="auto"/>
              </w:rPr>
            </w:pPr>
            <w:r>
              <w:rPr>
                <w:rFonts w:ascii="Arial" w:cs="Arial" w:eastAsia="Arial" w:hAnsi="Arial"/>
                <w:sz w:val="18"/>
                <w:szCs w:val="18"/>
                <w:b w:val="1"/>
                <w:bCs w:val="1"/>
                <w:color w:val="auto"/>
                <w:w w:val="99"/>
              </w:rPr>
              <w:t>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655"/>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Reversal of restructuring accruals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center"/>
              <w:ind w:left="615"/>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charges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b w:val="1"/>
                <w:bCs w:val="1"/>
                <w:color w:val="auto"/>
                <w:w w:val="99"/>
              </w:rPr>
              <w:t>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charges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655"/>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b w:val="1"/>
                <w:bCs w:val="1"/>
                <w:color w:val="auto"/>
                <w:w w:val="99"/>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70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center"/>
              <w:ind w:left="655"/>
              <w:spacing w:after="0"/>
              <w:rPr>
                <w:sz w:val="20"/>
                <w:szCs w:val="20"/>
                <w:color w:val="auto"/>
              </w:rPr>
            </w:pPr>
            <w:r>
              <w:rPr>
                <w:rFonts w:ascii="Arial" w:cs="Arial" w:eastAsia="Arial" w:hAnsi="Arial"/>
                <w:sz w:val="18"/>
                <w:szCs w:val="18"/>
                <w:b w:val="1"/>
                <w:bCs w:val="1"/>
                <w:color w:val="auto"/>
                <w:w w:val="99"/>
              </w:rPr>
              <w:t>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655"/>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9"/>
        </w:trPr>
        <w:tc>
          <w:tcPr>
            <w:tcW w:w="5700" w:type="dxa"/>
            <w:vAlign w:val="bottom"/>
          </w:tcPr>
          <w:p>
            <w:pPr>
              <w:ind w:left="480"/>
              <w:spacing w:after="0"/>
              <w:rPr>
                <w:sz w:val="20"/>
                <w:szCs w:val="20"/>
                <w:color w:val="auto"/>
              </w:rPr>
            </w:pPr>
            <w:r>
              <w:rPr>
                <w:rFonts w:ascii="Arial" w:cs="Arial" w:eastAsia="Arial" w:hAnsi="Arial"/>
                <w:sz w:val="18"/>
                <w:szCs w:val="18"/>
                <w:color w:val="auto"/>
              </w:rPr>
              <w:t>Measurement &amp; Control Solutions</w:t>
            </w: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center"/>
              <w:ind w:left="655"/>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46"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The following table displays a roll-forward of the restructuring accruals, presented on our Condensed Consolidated Balance Sheets within "Accrued and other current liabilities" and "Other non-current accrued liabilities", for the six months ended June 30, 2021 and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Restructuring accruals - June 30</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8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0"/>
        </w:trPr>
        <w:tc>
          <w:tcPr>
            <w:tcW w:w="8440" w:type="dxa"/>
            <w:vAlign w:val="bottom"/>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Measurement &amp; Control Solutions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Regional selling locations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45" w:lineRule="exact"/>
        <w:rPr>
          <w:sz w:val="20"/>
          <w:szCs w:val="20"/>
          <w:color w:val="auto"/>
        </w:rPr>
      </w:pPr>
    </w:p>
    <w:p>
      <w:pPr>
        <w:ind w:left="340" w:right="20" w:hanging="332"/>
        <w:spacing w:after="0" w:line="260"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which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presents expected restructuring spend in 2021 and thereafter: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0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4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2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2020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Q1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Q2 2021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Water Infrastructure actions commenced in 2021 consist primarily of severance charges. These actions are expected to continue through the second quarter of 2022.</w:t>
      </w:r>
    </w:p>
    <w:p>
      <w:pPr>
        <w:spacing w:after="0" w:line="90"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2020 consist primarily of severance charges across segments and asset impairment charges in our Measurement &amp; Control Solutions segment. These actions are expected to continue through the second quarter of 2022.</w:t>
      </w:r>
    </w:p>
    <w:p>
      <w:pPr>
        <w:spacing w:after="0" w:line="9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During the second quarter of 2020 the discontinuance of a product line resulted in $17 million of asset impairments, primarily related to customer relationships, trademarks and fixed assets within our Measurement &amp; Control Solutions segment.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second quarter of 2020 we determined that internally developed in-process software within our Measurement &amp; Control Solutions segment was impaired as a result of actions taken to prioritize strategic investments. Accordingly, we recognized an impairment charge of $10 million. Refer to Note 7, "Goodwill and Other Intangible Assets," for additional information.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13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periods presented. The comparison of our effective tax rate between periods is significantly impacted by the level and mix of earnings and losses by tax jurisdiction and discrete items.</w:t>
      </w:r>
    </w:p>
    <w:p>
      <w:pPr>
        <w:spacing w:after="0" w:line="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income tax provision for the three months ended June 30, 2021 was $25 million resulting in an effective tax rate of 18.5%, compared to a $4 million expense resulting in an effective tax rate of 10.9% for the same period in 2020. The income tax provision for the six months ended June 30, 2021 was $52 million resulting in an effective tax rate of 20.7%, compared to an $8 million expense resulting in an effective tax rate of 10.4% for the same period in 2020. The effective tax rate for the three and six month periods ended June 30, 2021 was lower than the U.S. federal statutory rate primarily due to favorable earnings mix, partially offset by the Global Intangible Low Taxed Income ("GILTI") inclusion. Additionally, the effective tax rate for the three and six month periods ended June 30, 2021 differ from the same periods in 2020 due to unfavorable earnings mix as compared to the prior year and favorable equity compensation deductions in the prior year. The effective tax rate for the six month period ended June 30, 2021 differs from the same period in 2020 due to the impact of tax settlements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The assessment asserts an aggregate amount of approximately $80 million for tax, penalties and interest. Xylem filed an appeal with the Administrative Court of Stockholm. Management, in consultation with external legal advisors, believes it is more likely than not that Xylem will prevail on the proposed assessment and is vigorously defending our position through litigation. As of June 30, 2021, we have not recorded any unrecognized tax benefits related to this uncertain tax position.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3"/>
        </w:trPr>
        <w:tc>
          <w:tcPr>
            <w:tcW w:w="60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2020</w:t>
            </w: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(in millions)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0"/>
        </w:trPr>
        <w:tc>
          <w:tcPr>
            <w:tcW w:w="6020" w:type="dxa"/>
            <w:vAlign w:val="bottom"/>
          </w:tcPr>
          <w:p>
            <w:pPr>
              <w:ind w:left="140"/>
              <w:spacing w:after="0"/>
              <w:rPr>
                <w:sz w:val="20"/>
                <w:szCs w:val="20"/>
                <w:color w:val="auto"/>
              </w:rPr>
            </w:pPr>
            <w:r>
              <w:rPr>
                <w:rFonts w:ascii="Arial" w:cs="Arial" w:eastAsia="Arial" w:hAnsi="Arial"/>
                <w:sz w:val="18"/>
                <w:szCs w:val="18"/>
                <w:color w:val="auto"/>
              </w:rPr>
              <w:t>Shares (in thousands):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180,162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180,043</w:t>
            </w:r>
          </w:p>
        </w:tc>
      </w:tr>
      <w:tr>
        <w:trPr>
          <w:trHeight w:val="230"/>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 Participating securities (a)</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180,106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180,186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180,072</w:t>
            </w: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Plus incremental shares from assumed conversions: (b)</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29"/>
        </w:trPr>
        <w:tc>
          <w:tcPr>
            <w:tcW w:w="6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181,349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181,411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180,950</w:t>
            </w:r>
          </w:p>
        </w:tc>
      </w:tr>
      <w:tr>
        <w:trPr>
          <w:trHeight w:val="223"/>
        </w:trPr>
        <w:tc>
          <w:tcPr>
            <w:tcW w:w="602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r>
    </w:tbl>
    <w:p>
      <w:pPr>
        <w:spacing w:after="0" w:line="258" w:lineRule="exact"/>
        <w:rPr>
          <w:sz w:val="20"/>
          <w:szCs w:val="20"/>
          <w:color w:val="auto"/>
        </w:rPr>
      </w:pPr>
    </w:p>
    <w:p>
      <w:pPr>
        <w:ind w:left="340" w:right="480" w:hanging="332"/>
        <w:spacing w:after="0" w:line="260"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Restricted stock unit awards containing rights to non-forfeitable dividends that participate in undistributed earnings with common shareholders are considered participating securities for purposes of computing earnings per share.</w:t>
      </w:r>
    </w:p>
    <w:p>
      <w:pPr>
        <w:spacing w:after="0" w:line="87" w:lineRule="exact"/>
        <w:rPr>
          <w:rFonts w:ascii="Arial" w:cs="Arial" w:eastAsia="Arial" w:hAnsi="Arial"/>
          <w:sz w:val="16"/>
          <w:szCs w:val="16"/>
          <w:color w:val="auto"/>
        </w:rPr>
      </w:pPr>
    </w:p>
    <w:p>
      <w:pPr>
        <w:ind w:left="340" w:right="20" w:hanging="332"/>
        <w:spacing w:after="0" w:line="248"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13, "Share-Based Compensation Plans", to the condensed consolidated financial statements for further detail on the performance share units.</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8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700" w:type="dxa"/>
            <w:vAlign w:val="bottom"/>
            <w:gridSpan w:val="4"/>
          </w:tcPr>
          <w:p>
            <w:pPr>
              <w:jc w:val="center"/>
              <w:ind w:right="255"/>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3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4"/>
                <w:szCs w:val="14"/>
                <w:b w:val="1"/>
                <w:bCs w:val="1"/>
                <w:color w:val="auto"/>
                <w:w w:val="99"/>
              </w:rPr>
              <w:t>June 30,</w:t>
            </w:r>
          </w:p>
        </w:tc>
        <w:tc>
          <w:tcPr>
            <w:tcW w:w="1100" w:type="dxa"/>
            <w:vAlign w:val="bottom"/>
            <w:tcBorders>
              <w:bottom w:val="single" w:sz="8" w:color="auto"/>
            </w:tcBorders>
          </w:tcPr>
          <w:p>
            <w:pPr>
              <w:spacing w:after="0"/>
              <w:rPr>
                <w:sz w:val="16"/>
                <w:szCs w:val="16"/>
                <w:color w:val="auto"/>
              </w:rPr>
            </w:pPr>
          </w:p>
        </w:tc>
      </w:tr>
      <w:tr>
        <w:trPr>
          <w:trHeight w:val="183"/>
        </w:trPr>
        <w:tc>
          <w:tcPr>
            <w:tcW w:w="56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color w:val="auto"/>
              </w:rPr>
              <w:t>2020</w:t>
            </w:r>
          </w:p>
        </w:tc>
      </w:tr>
      <w:tr>
        <w:trPr>
          <w:trHeight w:val="223"/>
        </w:trPr>
        <w:tc>
          <w:tcPr>
            <w:tcW w:w="5680" w:type="dxa"/>
            <w:vAlign w:val="bottom"/>
            <w:gridSpan w:val="2"/>
          </w:tcPr>
          <w:p>
            <w:pPr>
              <w:ind w:left="120"/>
              <w:spacing w:after="0"/>
              <w:rPr>
                <w:sz w:val="20"/>
                <w:szCs w:val="20"/>
                <w:color w:val="auto"/>
              </w:rPr>
            </w:pPr>
            <w:r>
              <w:rPr>
                <w:rFonts w:ascii="Arial" w:cs="Arial" w:eastAsia="Arial" w:hAnsi="Arial"/>
                <w:sz w:val="16"/>
                <w:szCs w:val="16"/>
                <w:color w:val="auto"/>
              </w:rPr>
              <w:t>Stock options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1,567</w:t>
            </w:r>
          </w:p>
        </w:tc>
      </w:tr>
      <w:tr>
        <w:trPr>
          <w:trHeight w:val="229"/>
        </w:trPr>
        <w:tc>
          <w:tcPr>
            <w:tcW w:w="5680" w:type="dxa"/>
            <w:vAlign w:val="bottom"/>
            <w:gridSpan w:val="2"/>
          </w:tcPr>
          <w:p>
            <w:pPr>
              <w:ind w:left="120"/>
              <w:spacing w:after="0"/>
              <w:rPr>
                <w:sz w:val="20"/>
                <w:szCs w:val="20"/>
                <w:color w:val="auto"/>
              </w:rPr>
            </w:pPr>
            <w:r>
              <w:rPr>
                <w:rFonts w:ascii="Arial" w:cs="Arial" w:eastAsia="Arial" w:hAnsi="Arial"/>
                <w:sz w:val="16"/>
                <w:szCs w:val="16"/>
                <w:color w:val="auto"/>
              </w:rPr>
              <w:t>Restricted stock units</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3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Performance share units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-445135</wp:posOffset>
            </wp:positionV>
            <wp:extent cx="690943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0943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Inventories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inventories are summarized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19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Work in process</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for the six months ended June 30, 2021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Water</w:t>
            </w:r>
          </w:p>
        </w:tc>
        <w:tc>
          <w:tcPr>
            <w:tcW w:w="16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Measurement &amp;</w:t>
            </w:r>
          </w:p>
        </w:tc>
        <w:tc>
          <w:tcPr>
            <w:tcW w:w="280" w:type="dxa"/>
            <w:vAlign w:val="bottom"/>
          </w:tcPr>
          <w:p>
            <w:pPr>
              <w:spacing w:after="0"/>
              <w:rPr>
                <w:sz w:val="14"/>
                <w:szCs w:val="14"/>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as of January 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i w:val="1"/>
                <w:iCs w:val="1"/>
                <w:color w:val="auto"/>
              </w:rPr>
              <w:t>Activity in 2021</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and other</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Balance as of June 30, 2021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2,841</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As of June 30, 2021, goodwill included an accumulated impairment loss of $206 million within the Measurement &amp; Control Solutions segment.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2020</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1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2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14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2"/>
                <w:szCs w:val="12"/>
                <w:color w:val="auto"/>
              </w:rPr>
            </w:pPr>
          </w:p>
        </w:tc>
        <w:tc>
          <w:tcPr>
            <w:tcW w:w="12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60" w:type="dxa"/>
            <w:vAlign w:val="bottom"/>
          </w:tcPr>
          <w:p>
            <w:pPr>
              <w:jc w:val="right"/>
              <w:ind w:right="434"/>
              <w:spacing w:after="0" w:line="142"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3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Intangibles</w:t>
            </w:r>
          </w:p>
        </w:tc>
        <w:tc>
          <w:tcPr>
            <w:tcW w:w="24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5"/>
                <w:szCs w:val="15"/>
                <w:color w:val="auto"/>
              </w:rPr>
            </w:pPr>
          </w:p>
        </w:tc>
        <w:tc>
          <w:tcPr>
            <w:tcW w:w="1060" w:type="dxa"/>
            <w:vAlign w:val="bottom"/>
          </w:tcPr>
          <w:p>
            <w:pPr>
              <w:jc w:val="right"/>
              <w:ind w:right="19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68"/>
        </w:trPr>
        <w:tc>
          <w:tcPr>
            <w:tcW w:w="306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rPr>
              <w:t>Customer and distributor</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941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505</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Amortization expense related to finite-lived intangible assets was $33 million and $65 million for the three and six month periods ended June 30, 2021, respectively, and $33 million and $68 million for the three and six month periods ended June 30, 2020, respectively.</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second quarter of 2020, we recognized impairment charges of $16 million primarily related to customer relationships and trademarks due to discontinuance of a product line within our Measurement &amp; Control Solutions segment. We also determined that internally developed in-process software within our Measurement &amp; Control Solutions segment was impaired as a result of actions taken to prioritize strategic investments and recognized an impairment charge of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British Pound, Canadian Dollar, Polish Zloty and Australian Dollar. We had foreign exchange contracts with purchased notional amounts totaling $270 million and $0 million as of June 30, 2021 and December 31, 2020, respectively. As of June 30, 2021, our most significant foreign currency derivatives included contracts to sell U.S. Dollar and purchase Euro, purchase Swedish Krona and sell Euro, sell British Pound and purchase Euro, purchase Polish Zloty and sell Euro, purchase U.S. Dollar and sell Canadian Dollar, and to sell Canadian Dollar and purchase Euro. The purchased notional amounts associated with these currency derivatives are $97 million, $88 million, $36 million, $14 million, $13 million and $12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3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and third quarter of 2020 we entered into additional cross-currency swaps. The total notional amount of derivative instruments designated as net investment hedges was $1,208 million and $1,249 million as of June 30, 2021 and December 31, 2020,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We designated the entirety of the outstanding balance, or $591 million and $610 million as of June 30, 2021 and December 31, 2020, respectively, net of unamortized discount, as a hedge of a net investment in certain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Comprehensive Income: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20" w:type="dxa"/>
            <w:vAlign w:val="bottom"/>
            <w:gridSpan w:val="4"/>
          </w:tcPr>
          <w:p>
            <w:pPr>
              <w:ind w:left="38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2020</w:t>
            </w: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gain recognized in OCI</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Amount of (gain) loss reclassified from OCI into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reclassified from OCI into cost of revenue</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OCI</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ind w:left="68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Currency Denominated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9"/>
        </w:trPr>
        <w:tc>
          <w:tcPr>
            <w:tcW w:w="5900" w:type="dxa"/>
            <w:vAlign w:val="bottom"/>
          </w:tcPr>
          <w:p>
            <w:pPr>
              <w:ind w:left="220"/>
              <w:spacing w:after="0"/>
              <w:rPr>
                <w:sz w:val="20"/>
                <w:szCs w:val="20"/>
                <w:color w:val="auto"/>
              </w:rPr>
            </w:pPr>
            <w:r>
              <w:rPr>
                <w:rFonts w:ascii="Arial" w:cs="Arial" w:eastAsia="Arial" w:hAnsi="Arial"/>
                <w:sz w:val="18"/>
                <w:szCs w:val="18"/>
                <w:color w:val="auto"/>
              </w:rPr>
              <w:t>Amount of gain (loss) recognized in OCI</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ind w:left="68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$6 million of net losses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no gains or losses on the net investment hedges are expected to be reclassified into earnings over their duration.</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480" w:type="dxa"/>
            <w:vAlign w:val="bottom"/>
          </w:tcPr>
          <w:p>
            <w:pPr>
              <w:jc w:val="center"/>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776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Cash Flow Hedges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60" w:type="dxa"/>
            <w:vAlign w:val="bottom"/>
          </w:tcPr>
          <w:p>
            <w:pPr>
              <w:ind w:left="360"/>
              <w:spacing w:after="0"/>
              <w:rPr>
                <w:sz w:val="20"/>
                <w:szCs w:val="20"/>
                <w:color w:val="auto"/>
              </w:rPr>
            </w:pPr>
            <w:r>
              <w:rPr>
                <w:rFonts w:ascii="Arial" w:cs="Arial" w:eastAsia="Arial" w:hAnsi="Arial"/>
                <w:sz w:val="18"/>
                <w:szCs w:val="18"/>
                <w:color w:val="auto"/>
              </w:rPr>
              <w:t>Other non-current accrued liabilities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fair value of our long-term debt, due in 2023, designated as a net investment hedge was $614 million and $640 million as of June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Accrued and Other Current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9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Customer-related liabilities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 costs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Credit Facilities and 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8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Arial" w:cs="Arial" w:eastAsia="Arial" w:hAnsi="Arial"/>
                <w:sz w:val="18"/>
                <w:szCs w:val="18"/>
                <w:color w:val="auto"/>
              </w:rPr>
              <w:t>Total debt outstanding is summarized as follows: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20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4.875% Senior Notes due 2021 (a)</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2.250% Senior Notes due 2023 (a)</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3.250% Senior Notes due 2026 (a)</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1.950% Senior Notes due 2028 (b)</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2031 (b)</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4.375% Senior Notes due 2046 (a)</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and unamortized discount (c)</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818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40" w:right="40" w:hanging="332"/>
        <w:spacing w:after="0" w:line="250"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2021 was $606 million and $620 million as of June 30, 2021 and December 31, 2020, respectively. The fair value of our Senior Notes due 2023 was $614 million and $640 million as of June 30, 2021 and December 31, 2020, respectively. The fair value of our Senior Notes due 2026 was $548 million and $563 million as of June 30, 2021 and December 31, 2020 respectively. The fair value of our Senior Notes due 2046 was $483 million and $496 million as of June 30, 2021 and December 31, 2020, respectively.</w:t>
      </w:r>
    </w:p>
    <w:p>
      <w:pPr>
        <w:spacing w:after="0" w:line="94" w:lineRule="exact"/>
        <w:rPr>
          <w:rFonts w:ascii="Arial" w:cs="Arial" w:eastAsia="Arial" w:hAnsi="Arial"/>
          <w:sz w:val="16"/>
          <w:szCs w:val="16"/>
          <w:color w:val="auto"/>
        </w:rPr>
      </w:pPr>
    </w:p>
    <w:p>
      <w:pPr>
        <w:ind w:left="340" w:right="40" w:hanging="332"/>
        <w:spacing w:after="0" w:line="253"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2028 was $508 million and $529 million as of June 30, 2021 and December 31, 2020, respectively. The fair value of our Senior Notes due 2031 was $507 million and $527 million as of June 30, 2021 and December 31, 2020, respectively.</w:t>
      </w:r>
    </w:p>
    <w:p>
      <w:pPr>
        <w:spacing w:after="0" w:line="93" w:lineRule="exact"/>
        <w:rPr>
          <w:rFonts w:ascii="Arial" w:cs="Arial" w:eastAsia="Arial" w:hAnsi="Arial"/>
          <w:sz w:val="16"/>
          <w:szCs w:val="16"/>
          <w:color w:val="auto"/>
        </w:rPr>
      </w:pPr>
    </w:p>
    <w:p>
      <w:pPr>
        <w:ind w:left="340" w:right="480" w:hanging="332"/>
        <w:spacing w:after="0" w:line="253"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ind w:right="360"/>
        <w:spacing w:after="0" w:line="261"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Interest on the Green Bond is payable on January 30 and July 30 of each year. As of June 30, 2021, we are in compliance with all covenants for the Green Bond.</w:t>
      </w:r>
    </w:p>
    <w:p>
      <w:pPr>
        <w:spacing w:after="0" w:line="9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September 20, 2011, we issued 4.875% Senior Notes of $600 million aggregate principal amount due October 2021 (the "Senior Notes due 2021"). 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9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Interest on the Senior Notes due 2021 is payable on April 1 and October 1 of each year. Interest on the Senior Notes due 2023 is payable on March 11 of each year. Interest on the Senior Notes due 2026 and the Senior Notes due 2046 is payable on May 1 and November 1 of each year. As of June 30, 2021, we are in compliance with all covenants for the Senior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provides for an aggregate principal amount of up to $800 million (available in U.S. Dollars and in Euros), with increases of up to $200 million for a maximum aggregate principal amount of $1 billion at the request of Xylem and with the consent of the institutions providing such increased commitments.</w:t>
      </w:r>
    </w:p>
    <w:p>
      <w:pPr>
        <w:spacing w:after="0" w:line="9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Interest on all loans under the 2019 Credit Facility is payable either quarterly or at the expiration of any LIBOR or EURIBOR interest period applicable thereto. Borrowings accrue interest at a rate equal to, at Xylem's election, a base rate or an adjusted LIBOR or EURIBOR rate plus an applicable margin. The 2019 Credit Facility includes customary provisions for implementation of replacement rates for LIBOR-based and EURIBOR-based loans. The 2019 Credit Facility also includes a pricing grid that determines the applicable margin based on Xylem's credit rating, with a further adjustment depending on Xylem's annual Sustainalytics Environmental, Social and Governance ("ESG") score, determined based on the methodology in effect as of March 5, 2019. Xylem will also pay quarterly fees to each lender for such lender’s commitment to lend accruing on such commitment at a rate based on our credit rating, whether such commitment is used or unused, as well as a quarterly letter of credit fee accruing on the letter of credit exposure of such lender during the preceding quarter at a rate based on the credit rating of Xylem (as adjusted for the ESG score).</w:t>
      </w:r>
    </w:p>
    <w:p>
      <w:pPr>
        <w:spacing w:after="0" w:line="10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2019 Credit Facility requires that Xylem maintain a consolidated total debt to consolidated EBITDA ratio (or maximum leverage ratio), which will be based on the last four fiscal quarters; and in addition contains a number of customary covenants, including limitations on the incurrence of secured debt and debt of subsidiaries, liens, sale and lease-back transactions, mergers, consolidations, liquidations, dissolutions and sales of assets. The 2019 Credit Facility also contains customary events of default. Finally, Xylem has the ability to designate subsidiaries that can borrow under the 2019 Credit Facility, subject to certain requirements and conditions set forth in the 2019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19" w:name="page20"/>
    <w:bookmarkEnd w:id="19"/>
    <w:p>
      <w:pPr>
        <w:spacing w:after="0" w:line="252" w:lineRule="auto"/>
        <w:rPr>
          <w:sz w:val="20"/>
          <w:szCs w:val="20"/>
          <w:color w:val="auto"/>
        </w:rPr>
      </w:pPr>
      <w:r>
        <w:rPr>
          <w:rFonts w:ascii="Arial" w:cs="Arial" w:eastAsia="Arial" w:hAnsi="Arial"/>
          <w:sz w:val="18"/>
          <w:szCs w:val="18"/>
          <w:color w:val="auto"/>
        </w:rPr>
        <w:t>On June 22, 2020, Xylem entered into Amendment No. 1 to the 2019 Credit Facility (the "Amendment") which modified the financial covenant from a test based on the maximum leverage ratio (defined as consolidated total debt to consolidated EBITDA) to a test based on the net leverage ratio (defined as consolidated total debt less unrestricted cash and cash equivalents to consolidated EBITDA). This modification is effective through the quarter ending September 30, 2021, after which the covenant will revert back to the prior maximum leverage ratio test. The Amendment also restricted stock repurchases until March 31, 2021, except for shares of common stock in an amount not to exceed the number of shares issued after the date of the Amendment, subject to customary exceptions. As of June 30, 2021, the 2019 Credit Facility was undrawn and we are in compliance with all revolver covenants.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$800 million inclusive of the 2019 Credit Facility. As of June 30, 2021 and December 31, 2020, none of the Company's $600 million U.S. Dollar commercial paper program was outstanding. We have the ability to continue borrowing under this program going forward in future periods.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35"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$592 million) which may be denominated in a variety of currencies. The maximum issuing balance may be increased in accordance with the Dealer Agreement. As of June 30, 2021 and December 31, 2020, none of the Company's Euro commercial paper program was outstanding. We have the ability to continue borrowing under this program going forward in future periods.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Post-retirement Benefit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183"/>
        </w:trPr>
        <w:tc>
          <w:tcPr>
            <w:tcW w:w="55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2020</w:t>
            </w:r>
          </w:p>
        </w:tc>
      </w:tr>
      <w:tr>
        <w:trPr>
          <w:trHeight w:val="210"/>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center"/>
              <w:ind w:left="612"/>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612"/>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center"/>
              <w:ind w:left="612"/>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612"/>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540" w:type="dxa"/>
            <w:vAlign w:val="bottom"/>
          </w:tcPr>
          <w:p>
            <w:pPr>
              <w:ind w:left="140"/>
              <w:spacing w:after="0"/>
              <w:rPr>
                <w:sz w:val="20"/>
                <w:szCs w:val="20"/>
                <w:color w:val="auto"/>
              </w:rPr>
            </w:pPr>
            <w:r>
              <w:rPr>
                <w:rFonts w:ascii="Arial" w:cs="Arial" w:eastAsia="Arial" w:hAnsi="Arial"/>
                <w:sz w:val="18"/>
                <w:szCs w:val="18"/>
                <w:b w:val="1"/>
                <w:bCs w:val="1"/>
                <w:color w:val="auto"/>
              </w:rPr>
              <w:t>Total net periodic benefit cost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expense, net" in the Condensed Consolidated Income Statements.</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The total net periodic benefit cost for other post-retirement employee benefit plans was less than $1 million, including net credits recognized into other comprehensive income of less than $1 million, for both the three and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We contributed $12 million and $16 million to our defined benefit plans during the six months ended June 30, 2021 and 2020,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contributions ranging between approximately $7 million and $15 million are expected to be made during the remainder of 2021.</w:t>
      </w:r>
    </w:p>
    <w:p>
      <w:pPr>
        <w:spacing w:after="0" w:line="11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During the first quarter of 2020, the Company purchased a bulk annuity policy with an insurance company for its largest defined benefit plan in the U.K., as a plan asset, to facilitate the termination and buy-out of the plan. The bulk annuity fully insures the benefits payable to the participants of the plan until a full buy-out of the plan can be executed, which is expected to occur in 2022. Included in the Company's six months ended June 30, 2020 contributions is $5 million paid to meet the shortfall between the cost of the bulk annuity policy and the plan assets.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six months ended June 30,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2,976</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($0.28 per</w:t>
            </w:r>
          </w:p>
        </w:tc>
        <w:tc>
          <w:tcPr>
            <w:tcW w:w="1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2,049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1,967</w:t>
            </w:r>
          </w:p>
        </w:tc>
        <w:tc>
          <w:tcPr>
            <w:tcW w:w="100" w:type="dxa"/>
            <w:vAlign w:val="bottom"/>
          </w:tcPr>
          <w:p>
            <w:pPr>
              <w:spacing w:after="0"/>
              <w:rPr>
                <w:sz w:val="19"/>
                <w:szCs w:val="19"/>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2,946</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line="189" w:lineRule="exact"/>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7"/>
        </w:trPr>
        <w:tc>
          <w:tcPr>
            <w:tcW w:w="2660" w:type="dxa"/>
            <w:vAlign w:val="bottom"/>
          </w:tcPr>
          <w:p>
            <w:pPr>
              <w:ind w:left="14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($0.28 per</w:t>
            </w:r>
          </w:p>
        </w:tc>
        <w:tc>
          <w:tcPr>
            <w:tcW w:w="14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2,029</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shows the changes in stockholders' equity for the six months ended June 30,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line="189" w:lineRule="exact"/>
              <w:rPr>
                <w:sz w:val="20"/>
                <w:szCs w:val="20"/>
                <w:color w:val="auto"/>
              </w:rPr>
            </w:pPr>
            <w:r>
              <w:rPr>
                <w:rFonts w:ascii="Arial" w:cs="Arial" w:eastAsia="Arial" w:hAnsi="Arial"/>
                <w:sz w:val="18"/>
                <w:szCs w:val="18"/>
                <w:color w:val="auto"/>
              </w:rPr>
              <w:t>Cumulative effect of change in</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tcPr>
          <w:p>
            <w:pPr>
              <w:ind w:left="140"/>
              <w:spacing w:after="0"/>
              <w:rPr>
                <w:sz w:val="20"/>
                <w:szCs w:val="20"/>
                <w:color w:val="auto"/>
              </w:rPr>
            </w:pPr>
            <w:r>
              <w:rPr>
                <w:rFonts w:ascii="Arial" w:cs="Arial" w:eastAsia="Arial" w:hAnsi="Arial"/>
                <w:sz w:val="18"/>
                <w:szCs w:val="18"/>
                <w:color w:val="auto"/>
              </w:rPr>
              <w:t>accounting principle</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($0.26 per</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8"/>
        </w:trPr>
        <w:tc>
          <w:tcPr>
            <w:tcW w:w="2660" w:type="dxa"/>
            <w:vAlign w:val="bottom"/>
          </w:tcPr>
          <w:p>
            <w:pPr>
              <w:ind w:left="140"/>
              <w:spacing w:after="0" w:line="189" w:lineRule="exact"/>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tcPr>
          <w:p>
            <w:pPr>
              <w:ind w:left="14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Dividends declared ($0.26 per</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Compensation Plans</w:t>
      </w:r>
    </w:p>
    <w:p>
      <w:pPr>
        <w:spacing w:after="0" w:line="13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Share-based compensation expense was $8 million and $ 17 million during the three and six months ended June 30, 2021, respectively, and $8 million and $16 million during the three and six months ended June 30, 2020, respectively. The unrecognized compensation expense related to our stock options, restricted stock units and performance share units was $9 million, $ 30 million and $16 million, respectively, at June 30, 2021 and is expected to be recognized over a weighted average period of 2.1, 2.0 and 2.8 years, respectively. The amount of cash received from the exercise of stock options was $9 million and $5 million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six months ended June 30, 2021</w:t>
      </w:r>
      <w:r>
        <w:rPr>
          <w:rFonts w:ascii="Arial" w:cs="Arial" w:eastAsia="Arial" w:hAnsi="Arial"/>
          <w:sz w:val="16"/>
          <w:szCs w:val="16"/>
          <w:color w:val="auto"/>
        </w:rPr>
        <w: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4"/>
                <w:szCs w:val="14"/>
                <w:color w:val="auto"/>
              </w:rPr>
            </w:pPr>
          </w:p>
        </w:tc>
        <w:tc>
          <w:tcPr>
            <w:tcW w:w="10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Exercise</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Contractual</w:t>
            </w:r>
          </w:p>
        </w:tc>
        <w:tc>
          <w:tcPr>
            <w:tcW w:w="11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6"/>
        </w:trPr>
        <w:tc>
          <w:tcPr>
            <w:tcW w:w="56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 /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(Years)</w:t>
            </w:r>
          </w:p>
        </w:tc>
        <w:tc>
          <w:tcPr>
            <w:tcW w:w="160" w:type="dxa"/>
            <w:vAlign w:val="bottom"/>
          </w:tcPr>
          <w:p>
            <w:pPr>
              <w:spacing w:after="0"/>
              <w:rPr>
                <w:sz w:val="15"/>
                <w:szCs w:val="15"/>
                <w:color w:val="auto"/>
              </w:rPr>
            </w:pPr>
          </w:p>
        </w:tc>
        <w:tc>
          <w:tcPr>
            <w:tcW w:w="1020" w:type="dxa"/>
            <w:vAlign w:val="bottom"/>
          </w:tcPr>
          <w:p>
            <w:pPr>
              <w:jc w:val="center"/>
              <w:ind w:right="97"/>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102.31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and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June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Options exercisable at June 30, 2021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51.45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Vested and expected to vest as of June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six months ended June 30, 2021 was $7.1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3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for 2021 grants: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0.86</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300" w:type="dxa"/>
            <w:vAlign w:val="bottom"/>
          </w:tcPr>
          <w:p>
            <w:pPr>
              <w:spacing w:after="0"/>
              <w:rPr>
                <w:sz w:val="19"/>
                <w:szCs w:val="19"/>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fair value / share</w:t>
            </w:r>
          </w:p>
        </w:tc>
        <w:tc>
          <w:tcPr>
            <w:tcW w:w="3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23.20</w:t>
            </w:r>
          </w:p>
        </w:tc>
        <w:tc>
          <w:tcPr>
            <w:tcW w:w="30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3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is a summary of restricted stock unit activity for the six months ended June 30, 2021</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tbl>
      <w:tblPr>
        <w:tblLayout w:type="fixed"/>
        <w:tblInd w:w="0" w:type="dxa"/>
        <w:tblCellMar>
          <w:top w:w="0" w:type="dxa"/>
          <w:left w:w="0" w:type="dxa"/>
          <w:bottom w:w="0" w:type="dxa"/>
          <w:right w:w="0" w:type="dxa"/>
        </w:tblCellMar>
      </w:tblPr>
      <w:tr>
        <w:trPr>
          <w:trHeight w:val="158"/>
        </w:trPr>
        <w:tc>
          <w:tcPr>
            <w:tcW w:w="8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78"/>
              <w:spacing w:after="0" w:line="158"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1"/>
                <w:szCs w:val="11"/>
                <w:color w:val="auto"/>
              </w:rPr>
            </w:pPr>
          </w:p>
        </w:tc>
        <w:tc>
          <w:tcPr>
            <w:tcW w:w="13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806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38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2021</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103.36</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85.91</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June 30,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ROIC Performance Share Unit Grants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Return on Invested Capital ("ROIC") performance share unit grants for the six months ended June 30,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ROIC performance share units is equal to the closing share price on the date of the grant: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 units</w:t>
            </w:r>
          </w:p>
        </w:tc>
        <w:tc>
          <w:tcPr>
            <w:tcW w:w="140" w:type="dxa"/>
            <w:vAlign w:val="bottom"/>
          </w:tcPr>
          <w:p>
            <w:pPr>
              <w:spacing w:after="0"/>
              <w:rPr>
                <w:sz w:val="11"/>
                <w:szCs w:val="11"/>
                <w:color w:val="auto"/>
              </w:rPr>
            </w:pPr>
          </w:p>
        </w:tc>
        <w:tc>
          <w:tcPr>
            <w:tcW w:w="134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8220" w:type="dxa"/>
            <w:vAlign w:val="bottom"/>
          </w:tcPr>
          <w:p>
            <w:pPr>
              <w:spacing w:after="0"/>
              <w:rPr>
                <w:sz w:val="15"/>
                <w:szCs w:val="15"/>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(a)</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ROIC performance share unit awards forfeited during the period as a result of the final performance condition not being achieved on vest date.</w:t>
      </w:r>
    </w:p>
    <w:p>
      <w:pPr>
        <w:spacing w:after="0" w:line="8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TSR Performance Share Unit Grants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Shareholder Return ("TSR") performance share unit grants for the six months ended June 30,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 units</w:t>
            </w:r>
          </w:p>
        </w:tc>
        <w:tc>
          <w:tcPr>
            <w:tcW w:w="140" w:type="dxa"/>
            <w:vAlign w:val="bottom"/>
          </w:tcPr>
          <w:p>
            <w:pPr>
              <w:spacing w:after="0"/>
              <w:rPr>
                <w:sz w:val="11"/>
                <w:szCs w:val="11"/>
                <w:color w:val="auto"/>
              </w:rPr>
            </w:pPr>
          </w:p>
        </w:tc>
        <w:tc>
          <w:tcPr>
            <w:tcW w:w="132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82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5"/>
                <w:szCs w:val="15"/>
                <w:color w:val="auto"/>
              </w:rPr>
            </w:pPr>
          </w:p>
        </w:tc>
        <w:tc>
          <w:tcPr>
            <w:tcW w:w="1320" w:type="dxa"/>
            <w:vAlign w:val="bottom"/>
          </w:tcPr>
          <w:p>
            <w:pPr>
              <w:jc w:val="center"/>
              <w:ind w:right="37"/>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Vested</w:t>
            </w:r>
          </w:p>
        </w:tc>
        <w:tc>
          <w:tcPr>
            <w:tcW w:w="14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98.79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102.66</w:t>
            </w:r>
          </w:p>
        </w:tc>
        <w:tc>
          <w:tcPr>
            <w:tcW w:w="0" w:type="dxa"/>
            <w:vAlign w:val="bottom"/>
          </w:tcPr>
          <w:p>
            <w:pPr>
              <w:spacing w:after="0"/>
              <w:rPr>
                <w:sz w:val="1"/>
                <w:szCs w:val="1"/>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102.86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00" w:firstLine="8"/>
        <w:spacing w:after="0" w:line="260" w:lineRule="auto"/>
        <w:tabs>
          <w:tab w:leader="none" w:pos="243"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an increase in the number of original TSR performance share units awarded based on the final market condition achievement at the end of the performance period of such awards.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2021 grants: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39"/>
        </w:trPr>
        <w:tc>
          <w:tcPr>
            <w:tcW w:w="614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ESG Performance Share Unit Grants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first quarter of 2021, we issued a special grant of less than 0.1 million ESG performance share units. The shares will vest after five years based on our performance against certain of the Company's 2025 sustainability goals.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Capital Stock</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three and six months ended June 30, 2021, the Company repurchased less than 0.1 million shares of common stock for $1 million and approximately 0.7 million shares of common stock for $68 million, respectively. For the three and six months ended June 30, 2020, the Company repurchased less than 0.1 million shares of common stock for less than $1 million and approximately 0.8 million shares of common stock for $60 million, respectively. Repurchases include both share repurchase programs approved by the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ind w:right="500"/>
        <w:spacing w:after="0" w:line="261" w:lineRule="auto"/>
        <w:rPr>
          <w:sz w:val="20"/>
          <w:szCs w:val="20"/>
          <w:color w:val="auto"/>
        </w:rPr>
      </w:pPr>
      <w:r>
        <w:rPr>
          <w:rFonts w:ascii="Arial" w:cs="Arial" w:eastAsia="Arial" w:hAnsi="Arial"/>
          <w:sz w:val="18"/>
          <w:szCs w:val="18"/>
          <w:color w:val="auto"/>
        </w:rPr>
        <w:t>repurchases in relation to settlement of employee tax withholding obligations due as a result of the vesting of restricted stock units. The details of repurchases by each program are as follows:</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shareholders and maintains our focus on growth. There were no shares repurchased under the program for the three months ended June 30, 2021. For the six months ended June 30, 2021, we repurchased approximately 0.6 million shares for $ 60 million. There were no shares repurchased under the program for the three months ended June 30, 2020. For the six months ended June 30, 2020, we repurchased approximately 0.7 million shares for $50 million. There are up to $228 million in shares that may still be purchased under this plan as of June 30, 2021.</w:t>
      </w:r>
    </w:p>
    <w:p>
      <w:pPr>
        <w:spacing w:after="0" w:line="1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Aside from the aforementioned repurchase program, we repurchased less than 0.1 million shares and approximately 0.1 million shares for $1 million and $8 million for the three and six months ended June 30, 2021, respectively, in relation to settlement of employee tax withholding obligations due as a result of the vesting of restricted stock units. Likewise, we repurchased less than 0.1 million shares and approximately 0.1 million shares for less than $1 million and $10 million for the three and six months ended June 30, 2020, respectively.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six months ended June 30,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benefit on unrealized loss on derivative hedge</w:t>
            </w:r>
          </w:p>
        </w:tc>
        <w:tc>
          <w:tcPr>
            <w:tcW w:w="2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6"/>
                <w:szCs w:val="16"/>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tcPr>
          <w:p>
            <w:pPr>
              <w:spacing w:after="0"/>
              <w:rPr>
                <w:sz w:val="16"/>
                <w:szCs w:val="16"/>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6"/>
                <w:szCs w:val="16"/>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six months ended June 30, 2020: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Income tax benefit on unrealized gain on derivative hedge</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5240" w:type="dxa"/>
            <w:vAlign w:val="bottom"/>
          </w:tcPr>
          <w:p>
            <w:pPr>
              <w:ind w:left="140"/>
              <w:spacing w:after="0" w:line="189"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52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From time to time, claims may be asserted against Xylem alleging injury caused by any of our products resulting from asbestos exposure. We believe there are numerous legal defenses available for such claims and would defend ourselves vigorously. Pursuant to the Distribution Agreement among ITT Corporation (now ITT LLC; acquired by Delticus HoldCo, L.P., a portfolio company of Warburg Pincus LLC, on July 1, 2021), Exelis (acquired by Harris Corporation, now L3Harris Technologies, Inc.) and Xylem, ITT LLC has an obligation to indemnify, defend and hold Xylem harmless for asbestos product liability matters, including settlements, judgments, and legal defense costs associated with all pending and future claims that may arise from past sales of ITT’s legacy products. We believe ITT LLC remains a substantial entity with sufficient financial resources to honor its obligations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See Note 4, "Income Taxes", of our condensed consolidated financial statements for a description of a pending tax litigation matter.</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$5 million and $6 million as of June 30, 2021 and December 31, 2020, respectively, for these general legal matters.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part of our 2011 spin-off from our former parent, ITT Corporation (now ITT LLC; acquired by Delticus HoldCo, L.P., a portfolio company of Warburg Pincus LLC, on July 1, 2021), Exelis Inc. (acquired by Harris Corporation, now L3Harris Technologies, Inc.) and Xylem will indemnify, defend and hold harmless each of the other parties with respect to such parties’ assumed or retained liabilities under the Distribution Agreement and breaches of the Distribution Agreement or related spin agreements. ITT LLC's indemnification obligations include asserted and unasserted asbestos and silica liability claims that relate to the presence or alleged presence of asbestos or silica in products manufactured, repaired or sold prior to October 31, 2011, the Distribution Date, subject to limited exceptions with respect to certain employee claims, or in the structure or material of any building or facility, subject to exceptions with respect to employee claims relating to Xylem buildings or facilities. The indemnification associated with pending and future asbestos claims does not expire. Xylem has not recorded a liability for material matters for which we expect to be indemnified by the former parent or Exelis Inc. through the Distribution Agreement and we are not aware of any claims or other circumstances that would give rise to material payments from us under such indemnifications.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insurance-related requirements. As of June 30, 2021 and December 31, 2020, the amount of surety bonds, bank guarantees, insurance letters of credit and stand-by letters of credit was $410 million and $378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or for which we are responsible under the Distribution Agreement,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9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$3 million as of both June 30, 2021 and December 31, 2020 for environmental matters.</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39" w:lineRule="exact"/>
        <w:rPr>
          <w:sz w:val="20"/>
          <w:szCs w:val="20"/>
          <w:color w:val="auto"/>
        </w:rPr>
      </w:pPr>
    </w:p>
    <w:p>
      <w:pPr>
        <w:ind w:right="600"/>
        <w:spacing w:after="0" w:line="282" w:lineRule="auto"/>
        <w:rPr>
          <w:sz w:val="20"/>
          <w:szCs w:val="20"/>
          <w:color w:val="auto"/>
        </w:rPr>
      </w:pPr>
      <w:r>
        <w:rPr>
          <w:rFonts w:ascii="Arial" w:cs="Arial" w:eastAsia="Arial" w:hAnsi="Arial"/>
          <w:sz w:val="17"/>
          <w:szCs w:val="17"/>
          <w:color w:val="auto"/>
        </w:rPr>
        <w:t>We warrant numerous products, the terms of which vary widely. In general, we warrant products against defect and specific non-performance. The table below provides changes in the combined current and non-current product warranty accruals over each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2020</w:t>
            </w: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warranty claims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Warranty accrual - June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business has three reportable segments: Water Infrastructure, Applied Water and Measurement &amp; Control Solutions. The Water Infrastructure segment focuses on the transportation and treatment of water, offering a range of products including water, wastewater and storm water pumps, treatment equipment, and controls and systems.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ind w:right="220"/>
        <w:spacing w:after="0" w:line="261" w:lineRule="auto"/>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(see Note 1 in the 2020 Annual Report). The following table contains financial information for each reportable segment: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210"/>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Total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shd w:val="clear" w:color="auto" w:fill="CCEEFF"/>
          </w:tcPr>
          <w:p>
            <w:pPr>
              <w:ind w:left="140"/>
              <w:spacing w:after="0" w:line="197"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Other non-operating income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from sale of business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5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Regional selling locations (b)</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40" w:right="60" w:hanging="332"/>
        <w:spacing w:after="0" w:line="253" w:lineRule="auto"/>
        <w:tabs>
          <w:tab w:leader="none" w:pos="335" w:val="left"/>
        </w:tabs>
        <w:numPr>
          <w:ilvl w:val="0"/>
          <w:numId w:val="9"/>
        </w:numPr>
        <w:rPr>
          <w:rFonts w:ascii="Arial" w:cs="Arial" w:eastAsia="Arial" w:hAnsi="Arial"/>
          <w:sz w:val="16"/>
          <w:szCs w:val="16"/>
          <w:color w:val="auto"/>
        </w:rPr>
      </w:pPr>
      <w:r>
        <w:rPr>
          <w:rFonts w:ascii="Arial" w:cs="Arial" w:eastAsia="Arial" w:hAnsi="Arial"/>
          <w:sz w:val="16"/>
          <w:szCs w:val="16"/>
          <w:color w:val="auto"/>
        </w:rPr>
        <w:t>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spacing w:after="0" w:line="93" w:lineRule="exact"/>
        <w:rPr>
          <w:rFonts w:ascii="Arial" w:cs="Arial" w:eastAsia="Arial" w:hAnsi="Arial"/>
          <w:sz w:val="16"/>
          <w:szCs w:val="16"/>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9" w:name="page30"/>
    <w:bookmarkEnd w:id="29"/>
    <w:p>
      <w:pPr>
        <w:ind w:left="1560" w:right="1620" w:hanging="1538"/>
        <w:spacing w:after="0"/>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8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w:t>
      </w:r>
    </w:p>
    <w:p>
      <w:pPr>
        <w:spacing w:after="0" w:line="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“project,”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or address possible or future results of operations or financial performance, including statements relating to orders, revenues, operating margins and earnings per share growth.</w:t>
      </w:r>
    </w:p>
    <w:p>
      <w:pPr>
        <w:spacing w:after="0" w:line="81"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Additionally, many of these risks and uncertainties are, and may continue to be, amplified by the coronavirus (“COVID-19”) pandemic. Important factors that could cause our actual results, performance and achievements, or industry results to differ materially from estimates or projections contained in or implied by our forward-looking statements include, among others, the following: overall industry and economic conditions, including industrial, governmental and private sector spending and the strength of the residential and commercial real estate markets; geopolitical, regulatory, economic and other risks associated with international operations; continued uncertainty around the COVID-19 pandemic’s magnitude, duration and impacts on our business, operations, growth, and financial condition, as well as uncertainty around approved vaccines and the pace of recovery when the pandemic subsides; actual or potential other epidemics, pandemics or global health crises; manufacturing and operating cost increases due to inflation, prevailing price changes, tariffs and other factors; fluctuations in foreign currency exchange rates; disruption, competition and pricing pressures in the markets we serve; cybersecurity incidents or other disruptions of information technology systems on which we rely, or involving our products; disruptions in operations at our facilities or that of third parties upon which we rely; availability of products, parts, electronic components and raw materials from our supply chain; availability, regulation and interference with radio spectrum used by some of our products; our ability to retain and attract senior management and other key talent; uncertainty related to restructuring and realignment actions and related charges and savings; our ability to continue strategic investments for growth; our ability to successfully identify, execute and integrate acquisitions; risks relating to products, including defects, security, warranty and liability claims, and recalls; difficulty predicting our financial results, including uncertainties due to the nature of our short- and long-cycle businesses; volatility in our results due to weather conditions; our ability to borrow or refinance our existing indebtedness and the availability of liquidity sufficient to meet our needs; risk of future impairments to goodwill and other intangible assets; failure to comply with, or changes in, laws or regulations, including those pertaining to anti-corruption, data privacy and security, export and import, competition, and the environment and climate change; changes in our effective tax rates or tax expenses; legal, governmental or regulatory claims, investigations or proceedings and associated contingent liabilities; and other factors set forth under “Item 1A. Risk Factors” in our Annual Report on Form 10-K for the year ended December 31, 2020 ("2020 Annual Report") and in subsequent filings we make with the Securities and Exchange Commission (“SEC”).</w:t>
      </w:r>
    </w:p>
    <w:p>
      <w:pPr>
        <w:spacing w:after="0" w:line="96"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w:t>
      </w:r>
    </w:p>
    <w:p>
      <w:pPr>
        <w:spacing w:after="0" w:line="82" w:lineRule="exact"/>
        <w:rPr>
          <w:sz w:val="20"/>
          <w:szCs w:val="20"/>
          <w:color w:val="auto"/>
        </w:rPr>
      </w:pPr>
    </w:p>
    <w:p>
      <w:pPr>
        <w:ind w:left="660" w:right="40" w:hanging="328"/>
        <w:spacing w:after="0" w:line="25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spacing w:after="0" w:line="76"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9"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&amp;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surface water and coastal environments. Additionally, we offer software and services including cloud-based analytics, remote monitoring and data management, leak detection, condition assessment, asset management and pressure monitoring solutions.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Update</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Depending on the severity, magnitude and duration of the COVID-19 pandemic and its economic consequences, we anticipate that it will become more difficult to distinguish specific aspects of our operational and financial performance that are most directly related to the pandemic from those more broadly influenced by ongoing macroeconomic, market and industry dynamics that may be, to varying degrees, related to the pandemic and its consequences.</w:t>
      </w:r>
    </w:p>
    <w:p>
      <w:pPr>
        <w:spacing w:after="0" w:line="9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COVID-19 pandemic as well as broader market dynamics have adversely affected, and are expected to continue to adversely affect, our supply chains. We have experienced, and expect to continue experiencing, shortages in the supply of components, parts and raw materials, and, in some cases, unpredictable interruptions with our external suppliers in 2021. We have also experienced increased logistics costs related to the current global capacity shortages. We continue to enhance our supplier pulsing and redundancy to help mitigate these challenges. Additionally, we have in the past and may continue to take measures with respect to buffer stock or use of alternative suppliers to mitigate the impacts of freight and logistics delays and bolster our access to raw materials and components. If these shortages and interruptions are sustained, or if additional interruptions occur, they could have a negative impact on our results of operations. Our current overall operating capacity approximates normal levels globally.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jc w:val="both"/>
        <w:ind w:right="20"/>
        <w:spacing w:after="0"/>
        <w:rPr>
          <w:sz w:val="20"/>
          <w:szCs w:val="20"/>
          <w:color w:val="auto"/>
        </w:rPr>
      </w:pPr>
      <w:r>
        <w:rPr>
          <w:rFonts w:ascii="Arial" w:cs="Arial" w:eastAsia="Arial" w:hAnsi="Arial"/>
          <w:sz w:val="18"/>
          <w:szCs w:val="18"/>
          <w:color w:val="auto"/>
        </w:rPr>
        <w:t>Xylem Watermark, our corporate social responsibility program, continues to support our communities in addressing the challenges posed by this global pandemic through its partnership with Americares and UNICEF, as well as the Partner Community Grants program and matching donations program for employees and partners, and other philanthropic commitments.</w:t>
      </w:r>
    </w:p>
    <w:p>
      <w:pPr>
        <w:spacing w:after="0" w:line="9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Xylem continues to focus on the health and safety of our employees, working with our customers to help them minimize potential disruptions and positively impact our communities. Our support pay program for employees impacted by COVID-19 will remain in place into the fourth quarter of 2021 and is evaluated for continuation, as necessary.</w:t>
      </w:r>
    </w:p>
    <w:p>
      <w:pPr>
        <w:spacing w:after="0" w:line="9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Many of our offices globally remain in a substantially remote work from home status and our COVID-19 Response Team applies a set of Xylem "Return to Workplace" health and safety guidelines for remote workers to return to our facilities.</w:t>
      </w:r>
    </w:p>
    <w:p>
      <w:pPr>
        <w:spacing w:after="0" w:line="90"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We continue to assess the evolving nature of the pandemic and its possible implications to our business, employees, supply chain, customers and communities, and to take actions in an effort to mitigate adverse consequences.</w:t>
      </w:r>
    </w:p>
    <w:p>
      <w:pPr>
        <w:spacing w:after="0" w:line="9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Risk related to the impact of COVID-19 as well as our supply chain are described in further detail under "Item 1A. Risk Factors" in the Company's 2020 Annual Report.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Xylem reported revenue for the second quarter of 2021 of $1,351 million, an increase of 16.5% compared to $1,160 million reported in the second quarter of 2020. On a constant currency basis, revenue increased by $125 million, or 10.8%, driven by organic revenue growth across all segments and in all end markets.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generated operating income of $160 million (margin of 11.8%) during the second quarter of 2021, as compared to $54 million (margin of 4.7%) in 2020. Operating income in the second quarter of 2021 benefited from a decrease in restructuring and realignment costs of $37 million as compared to the second quarter of 2020 and special charges of $11 million incurred during 2020 that did not recur. Excluding the impact of these items, adjusted operating income was $166 million (adjusted margin of 12.3%) during the second quarter of 2021 as compared to $108 million (adjusted margin of 9.3%) in 2020. The increase in adjusted operating margin was primarily due to cost reductions from our productivity, restructuring and other cost saving initiatives and favorable volume, impacted by COVID-19 recovery. These impacts were partially offset by cost inflation and increased spending on strategic investments.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June 30, 2021 include the following:</w:t>
      </w:r>
    </w:p>
    <w:p>
      <w:pPr>
        <w:spacing w:after="0" w:line="11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Orders of $1,660 million, up 34.7% from $1,232 million in the prior year, and up 28.8% on an organic basis.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per share of $0.62, up 264.7% when compared to the prior year ($0.66, up 65.0% on an adjusted basis).</w:t>
      </w:r>
    </w:p>
    <w:p>
      <w:pPr>
        <w:spacing w:after="0" w:line="117" w:lineRule="exact"/>
        <w:rPr>
          <w:rFonts w:ascii="Arial" w:cs="Arial" w:eastAsia="Arial" w:hAnsi="Arial"/>
          <w:sz w:val="18"/>
          <w:szCs w:val="18"/>
          <w:color w:val="auto"/>
        </w:rPr>
      </w:pPr>
    </w:p>
    <w:p>
      <w:pPr>
        <w:ind w:left="340" w:right="100" w:hanging="332"/>
        <w:spacing w:after="0" w:line="261"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as a percent of revenue of 8.4%, up 570 basis points compared to 2.7% in the prior year. EBITDA margin of 16.2%, up 650 basis points when compared to 9.7% in the prior year (17.3%, up 200 basis points on an adjusted basis)</w:t>
      </w:r>
    </w:p>
    <w:p>
      <w:pPr>
        <w:spacing w:after="0" w:line="89" w:lineRule="exact"/>
        <w:rPr>
          <w:rFonts w:ascii="Arial" w:cs="Arial" w:eastAsia="Arial" w:hAnsi="Arial"/>
          <w:sz w:val="18"/>
          <w:szCs w:val="18"/>
          <w:color w:val="auto"/>
        </w:rPr>
      </w:pPr>
    </w:p>
    <w:p>
      <w:pPr>
        <w:ind w:left="340" w:right="240" w:hanging="332"/>
        <w:spacing w:after="0" w:line="261"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cash flow provided by operating activities of $206 million for the six months ended June 30, 2021, an increase of $27 million from cash provided in the same period of the prior year. Free cash flow was $126 million, up $42 million from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11"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operating income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items to represent the non-GAAP measures we consider to be key performance indicators, as well as the related reconciling items to the most directly comparable measure calculated and presented in accordance with GAAP. The non-GAAP measures may not be comparable to similarly-titled measures reported by other companies.</w:t>
      </w:r>
    </w:p>
    <w:p>
      <w:pPr>
        <w:spacing w:after="0" w:line="102" w:lineRule="exact"/>
        <w:rPr>
          <w:sz w:val="20"/>
          <w:szCs w:val="20"/>
          <w:color w:val="auto"/>
        </w:rPr>
      </w:pPr>
    </w:p>
    <w:p>
      <w:pPr>
        <w:ind w:left="660" w:right="20" w:hanging="328"/>
        <w:spacing w:after="0" w:line="25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97" w:lineRule="exact"/>
        <w:rPr>
          <w:rFonts w:ascii="Arial" w:cs="Arial" w:eastAsia="Arial" w:hAnsi="Arial"/>
          <w:sz w:val="18"/>
          <w:szCs w:val="18"/>
          <w:color w:val="auto"/>
        </w:rPr>
      </w:pPr>
    </w:p>
    <w:p>
      <w:pPr>
        <w:ind w:left="660" w:right="28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special charges, gain or loss from sale of businesses and tax-related special items, as applicable. A reconciliation of adjusted net income and adjusted earnings per share is provided below.</w:t>
      </w:r>
    </w:p>
    <w:p>
      <w:pPr>
        <w:spacing w:after="0" w:line="14"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left="59"/>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79"/>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20"/>
                <w:szCs w:val="20"/>
                <w:color w:val="auto"/>
              </w:rPr>
            </w:pPr>
            <w:r>
              <w:rPr>
                <w:rFonts w:ascii="Arial" w:cs="Arial" w:eastAsia="Arial" w:hAnsi="Arial"/>
                <w:sz w:val="14"/>
                <w:szCs w:val="14"/>
                <w:color w:val="auto"/>
              </w:rPr>
              <w:t>(In millions, except for per share data)</w:t>
            </w:r>
          </w:p>
        </w:tc>
        <w:tc>
          <w:tcPr>
            <w:tcW w:w="380" w:type="dxa"/>
            <w:vAlign w:val="bottom"/>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2020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2020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120"/>
              <w:spacing w:after="0"/>
              <w:rPr>
                <w:sz w:val="20"/>
                <w:szCs w:val="20"/>
                <w:color w:val="auto"/>
              </w:rPr>
            </w:pPr>
            <w:r>
              <w:rPr>
                <w:rFonts w:ascii="Arial" w:cs="Arial" w:eastAsia="Arial" w:hAnsi="Arial"/>
                <w:sz w:val="18"/>
                <w:szCs w:val="18"/>
                <w:b w:val="1"/>
                <w:bCs w:val="1"/>
                <w:color w:val="auto"/>
              </w:rPr>
              <w:t>Net income &amp; Earnings per share</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860" w:type="dxa"/>
            <w:vAlign w:val="bottom"/>
            <w:gridSpan w:val="2"/>
          </w:tcPr>
          <w:p>
            <w:pPr>
              <w:jc w:val="center"/>
              <w:ind w:left="273"/>
              <w:spacing w:after="0"/>
              <w:rPr>
                <w:sz w:val="20"/>
                <w:szCs w:val="20"/>
                <w:color w:val="auto"/>
              </w:rPr>
            </w:pPr>
            <w:r>
              <w:rPr>
                <w:rFonts w:ascii="Arial" w:cs="Arial" w:eastAsia="Arial" w:hAnsi="Arial"/>
                <w:sz w:val="18"/>
                <w:szCs w:val="18"/>
                <w:b w:val="1"/>
                <w:bCs w:val="1"/>
                <w:color w:val="auto"/>
                <w:w w:val="75"/>
              </w:rPr>
              <w:t>0.62</w:t>
            </w:r>
            <w:r>
              <w:rPr>
                <w:rFonts w:ascii="Arial" w:cs="Arial" w:eastAsia="Arial" w:hAnsi="Arial"/>
                <w:sz w:val="18"/>
                <w:szCs w:val="18"/>
                <w:color w:val="auto"/>
                <w:w w:val="75"/>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0.17</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1.10</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188"/>
        </w:trPr>
        <w:tc>
          <w:tcPr>
            <w:tcW w:w="44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Restructuring and realignment, net of tax of $1 and $3</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860" w:type="dxa"/>
            <w:vAlign w:val="bottom"/>
            <w:gridSpan w:val="2"/>
            <w:vMerge w:val="restart"/>
          </w:tcPr>
          <w:p>
            <w:pPr>
              <w:jc w:val="center"/>
              <w:ind w:left="273"/>
              <w:spacing w:after="0"/>
              <w:rPr>
                <w:sz w:val="20"/>
                <w:szCs w:val="20"/>
                <w:color w:val="auto"/>
              </w:rPr>
            </w:pPr>
            <w:r>
              <w:rPr>
                <w:rFonts w:ascii="Arial" w:cs="Arial" w:eastAsia="Arial" w:hAnsi="Arial"/>
                <w:sz w:val="18"/>
                <w:szCs w:val="18"/>
                <w:b w:val="1"/>
                <w:bCs w:val="1"/>
                <w:color w:val="auto"/>
                <w:w w:val="96"/>
              </w:rPr>
              <w:t>0.03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w:t>
            </w:r>
          </w:p>
        </w:tc>
        <w:tc>
          <w:tcPr>
            <w:tcW w:w="40" w:type="dxa"/>
            <w:vAlign w:val="bottom"/>
          </w:tcPr>
          <w:p>
            <w:pPr>
              <w:spacing w:after="0"/>
              <w:rPr>
                <w:sz w:val="16"/>
                <w:szCs w:val="16"/>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440"/>
              <w:spacing w:after="0"/>
              <w:rPr>
                <w:sz w:val="20"/>
                <w:szCs w:val="20"/>
                <w:color w:val="auto"/>
              </w:rPr>
            </w:pPr>
            <w:r>
              <w:rPr>
                <w:rFonts w:ascii="Arial" w:cs="Arial" w:eastAsia="Arial" w:hAnsi="Arial"/>
                <w:sz w:val="18"/>
                <w:szCs w:val="18"/>
                <w:color w:val="auto"/>
              </w:rPr>
              <w:t>for 2021 and $10 and $12 for 2020</w:t>
            </w:r>
          </w:p>
        </w:tc>
        <w:tc>
          <w:tcPr>
            <w:tcW w:w="3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88"/>
        </w:trPr>
        <w:tc>
          <w:tcPr>
            <w:tcW w:w="44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Special charges, net of tax of $1 and $1 for 2021 and</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860" w:type="dxa"/>
            <w:vAlign w:val="bottom"/>
            <w:gridSpan w:val="2"/>
            <w:vMerge w:val="restart"/>
          </w:tcPr>
          <w:p>
            <w:pPr>
              <w:jc w:val="center"/>
              <w:ind w:left="273"/>
              <w:spacing w:after="0"/>
              <w:rPr>
                <w:sz w:val="20"/>
                <w:szCs w:val="20"/>
                <w:color w:val="auto"/>
              </w:rPr>
            </w:pPr>
            <w:r>
              <w:rPr>
                <w:rFonts w:ascii="Arial" w:cs="Arial" w:eastAsia="Arial" w:hAnsi="Arial"/>
                <w:sz w:val="18"/>
                <w:szCs w:val="18"/>
                <w:b w:val="1"/>
                <w:bCs w:val="1"/>
                <w:color w:val="auto"/>
                <w:w w:val="96"/>
              </w:rPr>
              <w:t>0.01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6"/>
                <w:szCs w:val="16"/>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440"/>
              <w:spacing w:after="0"/>
              <w:rPr>
                <w:sz w:val="20"/>
                <w:szCs w:val="20"/>
                <w:color w:val="auto"/>
              </w:rPr>
            </w:pPr>
            <w:r>
              <w:rPr>
                <w:rFonts w:ascii="Arial" w:cs="Arial" w:eastAsia="Arial" w:hAnsi="Arial"/>
                <w:sz w:val="18"/>
                <w:szCs w:val="18"/>
                <w:color w:val="auto"/>
              </w:rPr>
              <w:t>$3 and $3 for 2020</w:t>
            </w:r>
          </w:p>
        </w:tc>
        <w:tc>
          <w:tcPr>
            <w:tcW w:w="3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4080" w:type="dxa"/>
            <w:vAlign w:val="bottom"/>
          </w:tcPr>
          <w:p>
            <w:pPr>
              <w:ind w:left="120"/>
              <w:spacing w:after="0"/>
              <w:rPr>
                <w:sz w:val="20"/>
                <w:szCs w:val="20"/>
                <w:color w:val="auto"/>
              </w:rPr>
            </w:pPr>
            <w:r>
              <w:rPr>
                <w:rFonts w:ascii="Arial" w:cs="Arial" w:eastAsia="Arial" w:hAnsi="Arial"/>
                <w:sz w:val="18"/>
                <w:szCs w:val="18"/>
                <w:color w:val="auto"/>
              </w:rPr>
              <w:t>Tax-related special items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860" w:type="dxa"/>
            <w:vAlign w:val="bottom"/>
            <w:gridSpan w:val="2"/>
          </w:tcPr>
          <w:p>
            <w:pPr>
              <w:jc w:val="center"/>
              <w:ind w:left="273"/>
              <w:spacing w:after="0"/>
              <w:rPr>
                <w:sz w:val="20"/>
                <w:szCs w:val="20"/>
                <w:color w:val="auto"/>
              </w:rPr>
            </w:pPr>
            <w:r>
              <w:rPr>
                <w:rFonts w:ascii="Arial" w:cs="Arial" w:eastAsia="Arial" w:hAnsi="Arial"/>
                <w:sz w:val="18"/>
                <w:szCs w:val="18"/>
                <w:b w:val="1"/>
                <w:bCs w:val="1"/>
                <w:color w:val="auto"/>
                <w:w w:val="96"/>
              </w:rPr>
              <w:t>0.01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Gain from sale of business, net of tax of $0 for 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center"/>
              <w:ind w:left="139"/>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080" w:type="dxa"/>
            <w:vAlign w:val="bottom"/>
          </w:tcPr>
          <w:p>
            <w:pPr>
              <w:ind w:left="120"/>
              <w:spacing w:after="0" w:line="156" w:lineRule="exact"/>
              <w:rPr>
                <w:sz w:val="20"/>
                <w:szCs w:val="20"/>
                <w:color w:val="auto"/>
              </w:rPr>
            </w:pPr>
            <w:r>
              <w:rPr>
                <w:rFonts w:ascii="Arial" w:cs="Arial" w:eastAsia="Arial" w:hAnsi="Arial"/>
                <w:sz w:val="18"/>
                <w:szCs w:val="18"/>
                <w:b w:val="1"/>
                <w:bCs w:val="1"/>
                <w:color w:val="auto"/>
              </w:rPr>
              <w:t>Adjusted net income &amp; Adjusted earnings per</w:t>
            </w:r>
          </w:p>
        </w:tc>
        <w:tc>
          <w:tcPr>
            <w:tcW w:w="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119$</w:t>
            </w:r>
          </w:p>
        </w:tc>
        <w:tc>
          <w:tcPr>
            <w:tcW w:w="860" w:type="dxa"/>
            <w:vAlign w:val="bottom"/>
            <w:gridSpan w:val="2"/>
            <w:vMerge w:val="restart"/>
          </w:tcPr>
          <w:p>
            <w:pPr>
              <w:jc w:val="center"/>
              <w:ind w:left="273"/>
              <w:spacing w:after="0"/>
              <w:rPr>
                <w:sz w:val="20"/>
                <w:szCs w:val="20"/>
                <w:color w:val="auto"/>
              </w:rPr>
            </w:pPr>
            <w:r>
              <w:rPr>
                <w:rFonts w:ascii="Arial" w:cs="Arial" w:eastAsia="Arial" w:hAnsi="Arial"/>
                <w:sz w:val="18"/>
                <w:szCs w:val="18"/>
                <w:b w:val="1"/>
                <w:bCs w:val="1"/>
                <w:color w:val="auto"/>
                <w:w w:val="75"/>
              </w:rPr>
              <w:t>0.66</w:t>
            </w:r>
            <w:r>
              <w:rPr>
                <w:rFonts w:ascii="Arial" w:cs="Arial" w:eastAsia="Arial" w:hAnsi="Arial"/>
                <w:sz w:val="18"/>
                <w:szCs w:val="18"/>
                <w:color w:val="auto"/>
                <w:w w:val="75"/>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0.40</w:t>
            </w:r>
            <w:r>
              <w:rPr>
                <w:rFonts w:ascii="Arial" w:cs="Arial" w:eastAsia="Arial" w:hAnsi="Arial"/>
                <w:sz w:val="18"/>
                <w:szCs w:val="18"/>
                <w:b w:val="1"/>
                <w:bCs w:val="1"/>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221$</w:t>
            </w:r>
          </w:p>
        </w:tc>
        <w:tc>
          <w:tcPr>
            <w:tcW w:w="40" w:type="dxa"/>
            <w:vAlign w:val="bottom"/>
          </w:tcPr>
          <w:p>
            <w:pPr>
              <w:spacing w:after="0"/>
              <w:rPr>
                <w:sz w:val="13"/>
                <w:szCs w:val="13"/>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1.23</w:t>
            </w: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w w:val="94"/>
              </w:rPr>
              <w:t>115$</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3"/>
        </w:trPr>
        <w:tc>
          <w:tcPr>
            <w:tcW w:w="4080" w:type="dxa"/>
            <w:vAlign w:val="bottom"/>
          </w:tcPr>
          <w:p>
            <w:pPr>
              <w:ind w:left="440"/>
              <w:spacing w:after="0" w:line="202" w:lineRule="exact"/>
              <w:rPr>
                <w:sz w:val="20"/>
                <w:szCs w:val="20"/>
                <w:color w:val="auto"/>
              </w:rPr>
            </w:pPr>
            <w:r>
              <w:rPr>
                <w:rFonts w:ascii="Arial" w:cs="Arial" w:eastAsia="Arial" w:hAnsi="Arial"/>
                <w:sz w:val="18"/>
                <w:szCs w:val="18"/>
                <w:b w:val="1"/>
                <w:bCs w:val="1"/>
                <w:color w:val="auto"/>
              </w:rPr>
              <w:t>share</w:t>
            </w:r>
          </w:p>
        </w:tc>
        <w:tc>
          <w:tcPr>
            <w:tcW w:w="3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-1233805</wp:posOffset>
            </wp:positionV>
            <wp:extent cx="672084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20840" cy="1543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-822325</wp:posOffset>
            </wp:positionV>
            <wp:extent cx="6720840" cy="257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20840" cy="25717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-419735</wp:posOffset>
            </wp:positionV>
            <wp:extent cx="672084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20840" cy="1460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60" w:right="24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restructuring and realignment costs and special charges.</w:t>
      </w:r>
    </w:p>
    <w:p>
      <w:pPr>
        <w:spacing w:after="0" w:line="89"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and special charges, and "adjusted operating margin" defined as adjusted operating income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ind w:left="328" w:right="260" w:hanging="328"/>
        <w:spacing w:after="0" w:line="254" w:lineRule="auto"/>
        <w:tabs>
          <w:tab w:leader="none" w:pos="3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special charges and gain or loss from sale of businesses, and "adjusted EBITDA margin" defined as adjusted EBITDA divided by total revenue.</w:t>
      </w:r>
    </w:p>
    <w:p>
      <w:pPr>
        <w:spacing w:after="0" w:line="16" w:lineRule="exact"/>
        <w:rPr>
          <w:sz w:val="20"/>
          <w:szCs w:val="20"/>
          <w:color w:val="auto"/>
        </w:rPr>
      </w:pPr>
    </w:p>
    <w:tbl>
      <w:tblPr>
        <w:tblLayout w:type="fixed"/>
        <w:tblInd w:w="28" w:type="dxa"/>
        <w:tblCellMar>
          <w:top w:w="0" w:type="dxa"/>
          <w:left w:w="0" w:type="dxa"/>
          <w:bottom w:w="0" w:type="dxa"/>
          <w:right w:w="0" w:type="dxa"/>
        </w:tblCellMar>
      </w:tblPr>
      <w:tr>
        <w:trPr>
          <w:trHeight w:val="189"/>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40" w:type="dxa"/>
            <w:vAlign w:val="bottom"/>
            <w:gridSpan w:val="4"/>
          </w:tcPr>
          <w:p>
            <w:pPr>
              <w:jc w:val="center"/>
              <w:ind w:left="12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41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2021</w:t>
            </w:r>
          </w:p>
        </w:tc>
        <w:tc>
          <w:tcPr>
            <w:tcW w:w="1460" w:type="dxa"/>
            <w:vAlign w:val="bottom"/>
            <w:gridSpan w:val="3"/>
          </w:tcPr>
          <w:p>
            <w:pPr>
              <w:jc w:val="right"/>
              <w:ind w:right="100"/>
              <w:spacing w:after="0"/>
              <w:rPr>
                <w:sz w:val="20"/>
                <w:szCs w:val="20"/>
                <w:color w:val="auto"/>
              </w:rPr>
            </w:pPr>
            <w:r>
              <w:rPr>
                <w:rFonts w:ascii="Arial" w:cs="Arial" w:eastAsia="Arial" w:hAnsi="Arial"/>
                <w:sz w:val="14"/>
                <w:szCs w:val="14"/>
                <w:color w:val="auto"/>
              </w:rPr>
              <w:t>2020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431"/>
              <w:spacing w:after="0"/>
              <w:rPr>
                <w:sz w:val="20"/>
                <w:szCs w:val="20"/>
                <w:color w:val="auto"/>
              </w:rPr>
            </w:pPr>
            <w:r>
              <w:rPr>
                <w:rFonts w:ascii="Arial" w:cs="Arial" w:eastAsia="Arial" w:hAnsi="Arial"/>
                <w:sz w:val="14"/>
                <w:szCs w:val="14"/>
                <w:color w:val="auto"/>
              </w:rPr>
              <w:t>2020</w:t>
            </w:r>
          </w:p>
        </w:tc>
      </w:tr>
      <w:tr>
        <w:trPr>
          <w:trHeight w:val="223"/>
        </w:trPr>
        <w:tc>
          <w:tcPr>
            <w:tcW w:w="410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Income</w:t>
            </w:r>
          </w:p>
        </w:tc>
        <w:tc>
          <w:tcPr>
            <w:tcW w:w="1800" w:type="dxa"/>
            <w:vAlign w:val="bottom"/>
          </w:tcPr>
          <w:p>
            <w:pPr>
              <w:jc w:val="right"/>
              <w:ind w:right="114"/>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Income tax expense</w:t>
            </w: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30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30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8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4100" w:type="dxa"/>
            <w:vAlign w:val="bottom"/>
            <w:gridSpan w:val="2"/>
          </w:tcPr>
          <w:p>
            <w:pPr>
              <w:ind w:left="120"/>
              <w:spacing w:after="0"/>
              <w:rPr>
                <w:sz w:val="20"/>
                <w:szCs w:val="20"/>
                <w:color w:val="auto"/>
              </w:rPr>
            </w:pPr>
            <w:r>
              <w:rPr>
                <w:rFonts w:ascii="Arial" w:cs="Arial" w:eastAsia="Arial" w:hAnsi="Arial"/>
                <w:sz w:val="18"/>
                <w:szCs w:val="18"/>
                <w:b w:val="1"/>
                <w:bCs w:val="1"/>
                <w:color w:val="auto"/>
              </w:rPr>
              <w:t>EBITDA</w:t>
            </w:r>
          </w:p>
        </w:tc>
        <w:tc>
          <w:tcPr>
            <w:tcW w:w="1800" w:type="dxa"/>
            <w:vAlign w:val="bottom"/>
          </w:tcPr>
          <w:p>
            <w:pPr>
              <w:jc w:val="right"/>
              <w:ind w:right="114"/>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4100" w:type="dxa"/>
            <w:vAlign w:val="bottom"/>
            <w:gridSpan w:val="2"/>
          </w:tcPr>
          <w:p>
            <w:pPr>
              <w:ind w:left="120"/>
              <w:spacing w:after="0"/>
              <w:rPr>
                <w:sz w:val="20"/>
                <w:szCs w:val="20"/>
                <w:color w:val="auto"/>
              </w:rPr>
            </w:pPr>
            <w:r>
              <w:rPr>
                <w:rFonts w:ascii="Arial" w:cs="Arial" w:eastAsia="Arial" w:hAnsi="Arial"/>
                <w:sz w:val="18"/>
                <w:szCs w:val="18"/>
                <w:b w:val="1"/>
                <w:bCs w:val="1"/>
                <w:color w:val="auto"/>
              </w:rPr>
              <w:t>EBITDA Margin</w:t>
            </w:r>
          </w:p>
        </w:tc>
        <w:tc>
          <w:tcPr>
            <w:tcW w:w="18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16.%2</w:t>
            </w:r>
          </w:p>
        </w:tc>
        <w:tc>
          <w:tcPr>
            <w:tcW w:w="2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1800" w:type="dxa"/>
            <w:vAlign w:val="bottom"/>
          </w:tcPr>
          <w:p>
            <w:pPr>
              <w:jc w:val="right"/>
              <w:ind w:right="114"/>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30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realignment</w:t>
            </w:r>
          </w:p>
        </w:tc>
        <w:tc>
          <w:tcPr>
            <w:tcW w:w="18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Special charges</w:t>
            </w: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4100" w:type="dxa"/>
            <w:vAlign w:val="bottom"/>
            <w:gridSpan w:val="2"/>
          </w:tcPr>
          <w:p>
            <w:pPr>
              <w:ind w:left="200"/>
              <w:spacing w:after="0"/>
              <w:rPr>
                <w:sz w:val="20"/>
                <w:szCs w:val="20"/>
                <w:color w:val="auto"/>
              </w:rPr>
            </w:pPr>
            <w:r>
              <w:rPr>
                <w:rFonts w:ascii="Arial" w:cs="Arial" w:eastAsia="Arial" w:hAnsi="Arial"/>
                <w:sz w:val="18"/>
                <w:szCs w:val="18"/>
                <w:color w:val="auto"/>
              </w:rPr>
              <w:t>Gain from sale of business</w:t>
            </w: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10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Adjusted EBITDA</w:t>
            </w:r>
          </w:p>
        </w:tc>
        <w:tc>
          <w:tcPr>
            <w:tcW w:w="1800" w:type="dxa"/>
            <w:vAlign w:val="bottom"/>
          </w:tcPr>
          <w:p>
            <w:pPr>
              <w:jc w:val="right"/>
              <w:ind w:right="114"/>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449</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48"/>
        </w:trPr>
        <w:tc>
          <w:tcPr>
            <w:tcW w:w="300" w:type="dxa"/>
            <w:vAlign w:val="bottom"/>
          </w:tcPr>
          <w:p>
            <w:pPr>
              <w:spacing w:after="0"/>
              <w:rPr>
                <w:sz w:val="21"/>
                <w:szCs w:val="21"/>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8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30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-1979295</wp:posOffset>
            </wp:positionV>
            <wp:extent cx="672084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20840" cy="15430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-1087755</wp:posOffset>
            </wp:positionV>
            <wp:extent cx="672084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20840" cy="15430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-487680</wp:posOffset>
            </wp:positionV>
            <wp:extent cx="672084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20840" cy="14541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28" w:right="360" w:hanging="328"/>
        <w:spacing w:after="0" w:line="261"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89" w:lineRule="exact"/>
        <w:rPr>
          <w:rFonts w:ascii="Arial" w:cs="Arial" w:eastAsia="Arial" w:hAnsi="Arial"/>
          <w:sz w:val="18"/>
          <w:szCs w:val="18"/>
          <w:color w:val="auto"/>
        </w:rPr>
      </w:pPr>
    </w:p>
    <w:p>
      <w:pPr>
        <w:ind w:left="328" w:right="100" w:hanging="328"/>
        <w:spacing w:after="0" w:line="261"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 charges" defined as costs incurred by the Company, such as acquisition and integration related costs, non-cash impairment charges and both operating and non-operating adjustments for pension costs.</w:t>
      </w:r>
    </w:p>
    <w:p>
      <w:pPr>
        <w:spacing w:after="0" w:line="89" w:lineRule="exact"/>
        <w:rPr>
          <w:rFonts w:ascii="Arial" w:cs="Arial" w:eastAsia="Arial" w:hAnsi="Arial"/>
          <w:sz w:val="18"/>
          <w:szCs w:val="18"/>
          <w:color w:val="auto"/>
        </w:rPr>
      </w:pPr>
    </w:p>
    <w:p>
      <w:pPr>
        <w:ind w:left="328" w:right="520" w:hanging="328"/>
        <w:spacing w:after="0" w:line="261"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103" w:lineRule="exact"/>
        <w:rPr>
          <w:rFonts w:ascii="Arial" w:cs="Arial" w:eastAsia="Arial" w:hAnsi="Arial"/>
          <w:sz w:val="18"/>
          <w:szCs w:val="18"/>
          <w:color w:val="auto"/>
        </w:rPr>
      </w:pPr>
    </w:p>
    <w:p>
      <w:pPr>
        <w:ind w:left="328" w:right="120" w:hanging="328"/>
        <w:spacing w:after="0" w:line="242" w:lineRule="auto"/>
        <w:tabs>
          <w:tab w:leader="none" w:pos="316" w:val="left"/>
        </w:tabs>
        <w:numPr>
          <w:ilvl w:val="0"/>
          <w:numId w:val="15"/>
        </w:numPr>
        <w:rPr>
          <w:rFonts w:ascii="Arial" w:cs="Arial" w:eastAsia="Arial" w:hAnsi="Arial"/>
          <w:sz w:val="20"/>
          <w:szCs w:val="20"/>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27" w:lineRule="exact"/>
        <w:rPr>
          <w:sz w:val="20"/>
          <w:szCs w:val="20"/>
          <w:color w:val="auto"/>
        </w:rPr>
      </w:pPr>
    </w:p>
    <w:tbl>
      <w:tblPr>
        <w:tblLayout w:type="fixed"/>
        <w:tblInd w:w="28" w:type="dxa"/>
        <w:tblCellMar>
          <w:top w:w="0" w:type="dxa"/>
          <w:left w:w="0" w:type="dxa"/>
          <w:bottom w:w="0" w:type="dxa"/>
          <w:right w:w="0" w:type="dxa"/>
        </w:tblCellMar>
      </w:tblPr>
      <w:tr>
        <w:trPr>
          <w:trHeight w:val="189"/>
        </w:trPr>
        <w:tc>
          <w:tcPr>
            <w:tcW w:w="3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84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737"/>
              <w:spacing w:after="0"/>
              <w:rPr>
                <w:sz w:val="20"/>
                <w:szCs w:val="20"/>
                <w:color w:val="auto"/>
              </w:rPr>
            </w:pPr>
            <w:r>
              <w:rPr>
                <w:rFonts w:ascii="Arial" w:cs="Arial" w:eastAsia="Arial" w:hAnsi="Arial"/>
                <w:sz w:val="14"/>
                <w:szCs w:val="14"/>
                <w:b w:val="1"/>
                <w:bCs w:val="1"/>
                <w:color w:val="auto"/>
                <w:w w:val="99"/>
              </w:rPr>
              <w:t>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80" w:type="dxa"/>
            <w:vAlign w:val="bottom"/>
          </w:tcPr>
          <w:p>
            <w:pPr>
              <w:spacing w:after="0"/>
              <w:rPr>
                <w:sz w:val="15"/>
                <w:szCs w:val="15"/>
                <w:color w:val="auto"/>
              </w:rPr>
            </w:pPr>
          </w:p>
        </w:tc>
        <w:tc>
          <w:tcPr>
            <w:tcW w:w="13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3"/>
        </w:trPr>
        <w:tc>
          <w:tcPr>
            <w:tcW w:w="596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cash provided by operating activities</w:t>
            </w:r>
          </w:p>
        </w:tc>
        <w:tc>
          <w:tcPr>
            <w:tcW w:w="20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206</w:t>
            </w: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5960" w:type="dxa"/>
            <w:vAlign w:val="bottom"/>
            <w:gridSpan w:val="2"/>
          </w:tcPr>
          <w:p>
            <w:pPr>
              <w:ind w:left="120"/>
              <w:spacing w:after="0"/>
              <w:rPr>
                <w:sz w:val="20"/>
                <w:szCs w:val="20"/>
                <w:color w:val="auto"/>
              </w:rPr>
            </w:pPr>
            <w:r>
              <w:rPr>
                <w:rFonts w:ascii="Arial" w:cs="Arial" w:eastAsia="Arial" w:hAnsi="Arial"/>
                <w:sz w:val="18"/>
                <w:szCs w:val="18"/>
                <w:color w:val="auto"/>
              </w:rPr>
              <w:t>Capital expenditures</w:t>
            </w:r>
          </w:p>
        </w:tc>
        <w:tc>
          <w:tcPr>
            <w:tcW w:w="2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208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Net cash used by investing activities</w:t>
            </w:r>
          </w:p>
        </w:tc>
        <w:tc>
          <w:tcPr>
            <w:tcW w:w="20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60" w:type="dxa"/>
            <w:vAlign w:val="bottom"/>
            <w:gridSpan w:val="2"/>
            <w:vMerge w:val="continue"/>
          </w:tcPr>
          <w:p>
            <w:pPr>
              <w:spacing w:after="0"/>
              <w:rPr>
                <w:sz w:val="17"/>
                <w:szCs w:val="17"/>
                <w:color w:val="auto"/>
              </w:rPr>
            </w:pPr>
          </w:p>
        </w:tc>
        <w:tc>
          <w:tcPr>
            <w:tcW w:w="2080" w:type="dxa"/>
            <w:vAlign w:val="bottom"/>
            <w:vMerge w:val="continue"/>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(69)</w:t>
            </w: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96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cash (used) provided by financing activities</w:t>
            </w:r>
          </w:p>
        </w:tc>
        <w:tc>
          <w:tcPr>
            <w:tcW w:w="20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(162)</w:t>
            </w: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-779780</wp:posOffset>
            </wp:positionV>
            <wp:extent cx="672084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20840" cy="15430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-145415</wp:posOffset>
            </wp:positionV>
            <wp:extent cx="672084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2084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1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2021 Outlook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total revenue growth in the range of 8% to 10% in 2021, with organic revenue growth anticipated to be in the range of 6%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The following is a summary of our organic revenue outlook by end markets:</w:t>
      </w:r>
    </w:p>
    <w:p>
      <w:pPr>
        <w:spacing w:after="0" w:line="117" w:lineRule="exact"/>
        <w:rPr>
          <w:sz w:val="20"/>
          <w:szCs w:val="20"/>
          <w:color w:val="auto"/>
        </w:rPr>
      </w:pPr>
    </w:p>
    <w:p>
      <w:pPr>
        <w:ind w:left="660" w:hanging="328"/>
        <w:spacing w:after="0" w:line="252"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Utilities revenue increased by approximately 5% organically through the first half of the year driven by strength in western Europe and the emerging markets, partially offset by weakness in North America. For 2021, we expect organic revenue growth in the mid to high-single-digit range with continued resilience on the wastewater side, as utilities remain focused on mission-critical applications and anticipate modest growth on a global basis through the year. The timing of large clean water utility project deployments has been impacted by the global shortage of electronic components, which we expect to continue throughout the remainder of 2021. We anticipate that these deployments will ramp up when supply constraints ease based on our strong backlog position and orders momentum. Additionally, we expect healthy momentum in the test and treatment markets globally and increased demand for our smart water solution and digital offerings.</w:t>
      </w:r>
    </w:p>
    <w:p>
      <w:pPr>
        <w:spacing w:after="0" w:line="97" w:lineRule="exact"/>
        <w:rPr>
          <w:rFonts w:ascii="Arial" w:cs="Arial" w:eastAsia="Arial" w:hAnsi="Arial"/>
          <w:sz w:val="18"/>
          <w:szCs w:val="18"/>
          <w:color w:val="auto"/>
        </w:rPr>
      </w:pPr>
    </w:p>
    <w:p>
      <w:pPr>
        <w:ind w:left="660" w:right="120" w:hanging="328"/>
        <w:spacing w:after="0" w:line="25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Industrial revenue increased by approximately 15% organically through the first half of the year driven by strength across all major geographic regions. For 2021, we expect organic revenue growth in the high-single-digit range as activity across all segments rebounds globally and our dewatering business continues to recover, especially in the emerging markets, as demand increases and site access restrictions continue to ease. We anticipate growth in during the second half of the year led by North America, with growth in emerging markets and western Europe as well.</w:t>
      </w:r>
    </w:p>
    <w:p>
      <w:pPr>
        <w:spacing w:after="0" w:line="97" w:lineRule="exact"/>
        <w:rPr>
          <w:rFonts w:ascii="Arial" w:cs="Arial" w:eastAsia="Arial" w:hAnsi="Arial"/>
          <w:sz w:val="18"/>
          <w:szCs w:val="18"/>
          <w:color w:val="auto"/>
        </w:rPr>
      </w:pPr>
    </w:p>
    <w:p>
      <w:pPr>
        <w:ind w:left="660" w:right="240" w:hanging="328"/>
        <w:spacing w:after="0" w:line="25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commercial markets, organic revenue growth was approximately 8% through the first half of the year driven by strength in western Europe, North America and the emerging markets. For 2021, we expect organic revenue growth in the mid to high-single-digit range. We expect replacement business in the U.S. to be stable during the year and anticipate continued healthy activity in Europe. We expect new construction activity in North America to be soft, however we are optimistic that conditions will begin to recover late in the year.</w:t>
      </w:r>
    </w:p>
    <w:p>
      <w:pPr>
        <w:spacing w:after="0" w:line="97" w:lineRule="exact"/>
        <w:rPr>
          <w:rFonts w:ascii="Arial" w:cs="Arial" w:eastAsia="Arial" w:hAnsi="Arial"/>
          <w:sz w:val="18"/>
          <w:szCs w:val="18"/>
          <w:color w:val="auto"/>
        </w:rPr>
      </w:pPr>
    </w:p>
    <w:p>
      <w:pPr>
        <w:ind w:left="660" w:right="40" w:hanging="328"/>
        <w:spacing w:after="0" w:line="25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residential markets, organic revenue growth was approximately 30% through the first half of the year driven by strength in the emerging markets, North America and western Europe. This market is primarily driven by replacement revenue serviced through our distribution network. For 2021, we expect organic revenue growth in the low-teens, driven by healthy demand activity from increased residential users in the U.S. and Europe. Additionally, we anticipate strong demand in China for secondary water supply product applications.</w:t>
      </w:r>
    </w:p>
    <w:p>
      <w:pPr>
        <w:spacing w:after="0" w:line="9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will continue to strategically execute restructuring and realignment actions in an effort to optimize our cost structure, improve our operational efficiency and effectiveness, strengthen our competitive positioning and better serve our customers. During 2021, we expect to incur between $30 million and $40 million in restructuring and realignment costs. We expect to realize between $35 million and $40 million of net savings in 2021, consisting of between $33 million and $35 million of incremental net savings from restructuring and realignment actions initiated in 2020, and between $2 million and $5 million of net savings from the restructuring, realignment and other structural cost actions initiated during this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2,607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2,283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06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520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1,010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bp</w:t>
            </w:r>
          </w:p>
        </w:tc>
        <w:tc>
          <w:tcPr>
            <w:tcW w:w="0" w:type="dxa"/>
            <w:vAlign w:val="bottom"/>
          </w:tcPr>
          <w:p>
            <w:pPr>
              <w:spacing w:after="0"/>
              <w:rPr>
                <w:sz w:val="1"/>
                <w:szCs w:val="1"/>
                <w:color w:val="auto"/>
              </w:rPr>
            </w:pPr>
          </w:p>
        </w:tc>
      </w:tr>
      <w:tr>
        <w:trPr>
          <w:trHeight w:val="229"/>
        </w:trPr>
        <w:tc>
          <w:tcPr>
            <w:tcW w:w="306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360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717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1360" w:type="dxa"/>
            <w:vAlign w:val="bottom"/>
            <w:gridSpan w:val="2"/>
          </w:tcPr>
          <w:p>
            <w:pPr>
              <w:jc w:val="right"/>
              <w:ind w:right="21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(620) bp</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(440) bp</w:t>
            </w: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Restructuring and realignment costs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(86.0)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360" w:type="dxa"/>
            <w:vAlign w:val="bottom"/>
            <w:gridSpan w:val="2"/>
          </w:tcPr>
          <w:p>
            <w:pPr>
              <w:jc w:val="right"/>
              <w:ind w:right="210"/>
              <w:spacing w:after="0"/>
              <w:rPr>
                <w:sz w:val="20"/>
                <w:szCs w:val="20"/>
                <w:color w:val="auto"/>
              </w:rPr>
            </w:pPr>
            <w:r>
              <w:rPr>
                <w:rFonts w:ascii="Arial" w:cs="Arial" w:eastAsia="Arial" w:hAnsi="Arial"/>
                <w:sz w:val="18"/>
                <w:szCs w:val="18"/>
                <w:color w:val="auto"/>
              </w:rPr>
              <w:t>(73.1) %</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charges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(81.8) %</w:t>
            </w:r>
          </w:p>
        </w:tc>
        <w:tc>
          <w:tcPr>
            <w:tcW w:w="0" w:type="dxa"/>
            <w:vAlign w:val="bottom"/>
          </w:tcPr>
          <w:p>
            <w:pPr>
              <w:spacing w:after="0"/>
              <w:rPr>
                <w:sz w:val="1"/>
                <w:szCs w:val="1"/>
                <w:color w:val="auto"/>
              </w:rPr>
            </w:pPr>
          </w:p>
        </w:tc>
      </w:tr>
      <w:tr>
        <w:trPr>
          <w:trHeight w:val="229"/>
        </w:trPr>
        <w:tc>
          <w:tcPr>
            <w:tcW w:w="3060" w:type="dxa"/>
            <w:vAlign w:val="bottom"/>
          </w:tcPr>
          <w:p>
            <w:pPr>
              <w:ind w:left="140"/>
              <w:spacing w:after="0"/>
              <w:rPr>
                <w:sz w:val="20"/>
                <w:szCs w:val="20"/>
                <w:color w:val="auto"/>
              </w:rPr>
            </w:pPr>
            <w:r>
              <w:rPr>
                <w:rFonts w:ascii="Arial" w:cs="Arial" w:eastAsia="Arial" w:hAnsi="Arial"/>
                <w:sz w:val="18"/>
                <w:szCs w:val="18"/>
                <w:color w:val="auto"/>
              </w:rPr>
              <w:t>Adjusted operating expenses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354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701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i w:val="1"/>
                <w:iCs w:val="1"/>
                <w:color w:val="auto"/>
              </w:rPr>
              <w:t>Adjusted operating expenses to</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26.2 %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26.9 %</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revenue ratio</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(190) bp</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(220) bp</w:t>
            </w: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293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bp</w:t>
            </w:r>
          </w:p>
        </w:tc>
        <w:tc>
          <w:tcPr>
            <w:tcW w:w="0" w:type="dxa"/>
            <w:vAlign w:val="bottom"/>
          </w:tcPr>
          <w:p>
            <w:pPr>
              <w:spacing w:after="0"/>
              <w:rPr>
                <w:sz w:val="1"/>
                <w:szCs w:val="1"/>
                <w:color w:val="auto"/>
              </w:rPr>
            </w:pPr>
          </w:p>
        </w:tc>
      </w:tr>
      <w:tr>
        <w:trPr>
          <w:trHeight w:val="188"/>
        </w:trPr>
        <w:tc>
          <w:tcPr>
            <w:tcW w:w="3060" w:type="dxa"/>
            <w:vAlign w:val="bottom"/>
          </w:tcPr>
          <w:p>
            <w:pPr>
              <w:ind w:left="140"/>
              <w:spacing w:after="0" w:line="189" w:lineRule="exact"/>
              <w:rPr>
                <w:sz w:val="20"/>
                <w:szCs w:val="20"/>
                <w:color w:val="auto"/>
              </w:rPr>
            </w:pPr>
            <w:r>
              <w:rPr>
                <w:rFonts w:ascii="Arial" w:cs="Arial" w:eastAsia="Arial" w:hAnsi="Arial"/>
                <w:sz w:val="18"/>
                <w:szCs w:val="18"/>
                <w:color w:val="auto"/>
              </w:rPr>
              <w:t>Interest and other non-operating</w:t>
            </w:r>
          </w:p>
        </w:tc>
        <w:tc>
          <w:tcPr>
            <w:tcW w:w="280" w:type="dxa"/>
            <w:vAlign w:val="bottom"/>
          </w:tcPr>
          <w:p>
            <w:pPr>
              <w:spacing w:after="0"/>
              <w:rPr>
                <w:sz w:val="16"/>
                <w:szCs w:val="16"/>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6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from sale of business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Tax rate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bp</w:t>
            </w:r>
          </w:p>
        </w:tc>
        <w:tc>
          <w:tcPr>
            <w:tcW w:w="0" w:type="dxa"/>
            <w:vAlign w:val="bottom"/>
          </w:tcPr>
          <w:p>
            <w:pPr>
              <w:spacing w:after="0"/>
              <w:rPr>
                <w:sz w:val="1"/>
                <w:szCs w:val="1"/>
                <w:color w:val="auto"/>
              </w:rPr>
            </w:pPr>
          </w:p>
        </w:tc>
      </w:tr>
      <w:tr>
        <w:trPr>
          <w:trHeight w:val="239"/>
        </w:trPr>
        <w:tc>
          <w:tcPr>
            <w:tcW w:w="30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264.5</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200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generated during the three and six months ended June 30, 2021 was $1,351 million and $2,607 million, reflecting increases of $191 million, or 16.5%, and $324 million, or 14.2%, respectively, compared to the same prior year periods. On a constant currency basis, revenue grew 10.8% and 9.4% for the three and six months ended June 30, 2021. The increases on a constant currency basis were driven by organic revenue growth of $128 million and $219 million, respectively, reflecting strong organic growth across all major geographic regions and segments.</w:t>
      </w:r>
    </w:p>
    <w:p>
      <w:pPr>
        <w:spacing w:after="0" w:line="9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following table illustrates the impact from organic growth, recent divestitures, and foreign currency translation in relation to revenue during the three and six months ended June 30, 2021:</w:t>
      </w:r>
    </w:p>
    <w:tbl>
      <w:tblPr>
        <w:tblLayout w:type="fixed"/>
        <w:tblInd w:w="0" w:type="dxa"/>
        <w:tblCellMar>
          <w:top w:w="0" w:type="dxa"/>
          <w:left w:w="0" w:type="dxa"/>
          <w:bottom w:w="0" w:type="dxa"/>
          <w:right w:w="0" w:type="dxa"/>
        </w:tblCellMar>
      </w:tblPr>
      <w:tr>
        <w:trPr>
          <w:trHeight w:val="158"/>
        </w:trPr>
        <w:tc>
          <w:tcPr>
            <w:tcW w:w="2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Water Infrastructure</w:t>
            </w:r>
          </w:p>
        </w:tc>
        <w:tc>
          <w:tcPr>
            <w:tcW w:w="260" w:type="dxa"/>
            <w:vAlign w:val="bottom"/>
          </w:tcPr>
          <w:p>
            <w:pPr>
              <w:spacing w:after="0"/>
              <w:rPr>
                <w:sz w:val="13"/>
                <w:szCs w:val="13"/>
                <w:color w:val="auto"/>
              </w:rPr>
            </w:pPr>
          </w:p>
        </w:tc>
        <w:tc>
          <w:tcPr>
            <w:tcW w:w="19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Applied Water</w:t>
            </w:r>
          </w:p>
        </w:tc>
        <w:tc>
          <w:tcPr>
            <w:tcW w:w="240" w:type="dxa"/>
            <w:vAlign w:val="bottom"/>
          </w:tcPr>
          <w:p>
            <w:pPr>
              <w:spacing w:after="0"/>
              <w:rPr>
                <w:sz w:val="13"/>
                <w:szCs w:val="13"/>
                <w:color w:val="auto"/>
              </w:rPr>
            </w:pPr>
          </w:p>
        </w:tc>
        <w:tc>
          <w:tcPr>
            <w:tcW w:w="1980" w:type="dxa"/>
            <w:vAlign w:val="bottom"/>
            <w:gridSpan w:val="3"/>
          </w:tcPr>
          <w:p>
            <w:pPr>
              <w:jc w:val="right"/>
              <w:ind w:right="360"/>
              <w:spacing w:after="0" w:line="158" w:lineRule="exact"/>
              <w:rPr>
                <w:sz w:val="20"/>
                <w:szCs w:val="20"/>
                <w:color w:val="auto"/>
              </w:rPr>
            </w:pPr>
            <w:r>
              <w:rPr>
                <w:rFonts w:ascii="Arial" w:cs="Arial" w:eastAsia="Arial" w:hAnsi="Arial"/>
                <w:sz w:val="14"/>
                <w:szCs w:val="14"/>
                <w:b w:val="1"/>
                <w:bCs w:val="1"/>
                <w:color w:val="auto"/>
              </w:rPr>
              <w:t>Measurement &amp; Control</w:t>
            </w:r>
          </w:p>
        </w:tc>
        <w:tc>
          <w:tcPr>
            <w:tcW w:w="260" w:type="dxa"/>
            <w:vAlign w:val="bottom"/>
          </w:tcPr>
          <w:p>
            <w:pPr>
              <w:spacing w:after="0"/>
              <w:rPr>
                <w:sz w:val="13"/>
                <w:szCs w:val="13"/>
                <w:color w:val="auto"/>
              </w:rPr>
            </w:pPr>
          </w:p>
        </w:tc>
        <w:tc>
          <w:tcPr>
            <w:tcW w:w="1900" w:type="dxa"/>
            <w:vAlign w:val="bottom"/>
            <w:gridSpan w:val="2"/>
            <w:vMerge w:val="restart"/>
          </w:tcPr>
          <w:p>
            <w:pPr>
              <w:jc w:val="right"/>
              <w:ind w:right="593"/>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ind w:left="48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5"/>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0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420" w:type="dxa"/>
            <w:vAlign w:val="bottom"/>
          </w:tcPr>
          <w:p>
            <w:pPr>
              <w:ind w:left="140"/>
              <w:spacing w:after="0"/>
              <w:rPr>
                <w:sz w:val="20"/>
                <w:szCs w:val="20"/>
                <w:color w:val="auto"/>
              </w:rPr>
            </w:pPr>
            <w:r>
              <w:rPr>
                <w:rFonts w:ascii="Arial" w:cs="Arial" w:eastAsia="Arial" w:hAnsi="Arial"/>
                <w:sz w:val="18"/>
                <w:szCs w:val="18"/>
                <w:color w:val="auto"/>
              </w:rPr>
              <w:t>2020 Revenue</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30"/>
        </w:trPr>
        <w:tc>
          <w:tcPr>
            <w:tcW w:w="2420" w:type="dxa"/>
            <w:vAlign w:val="bottom"/>
          </w:tcPr>
          <w:p>
            <w:pPr>
              <w:ind w:left="360"/>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188"/>
        </w:trPr>
        <w:tc>
          <w:tcPr>
            <w:tcW w:w="242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change in revenue</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23"/>
        </w:trPr>
        <w:tc>
          <w:tcPr>
            <w:tcW w:w="2420" w:type="dxa"/>
            <w:vAlign w:val="bottom"/>
          </w:tcPr>
          <w:p>
            <w:pPr>
              <w:ind w:left="140"/>
              <w:spacing w:after="0"/>
              <w:rPr>
                <w:sz w:val="20"/>
                <w:szCs w:val="20"/>
                <w:color w:val="auto"/>
              </w:rPr>
            </w:pPr>
            <w:r>
              <w:rPr>
                <w:rFonts w:ascii="Arial" w:cs="Arial" w:eastAsia="Arial" w:hAnsi="Arial"/>
                <w:sz w:val="18"/>
                <w:szCs w:val="18"/>
                <w:b w:val="1"/>
                <w:bCs w:val="1"/>
                <w:color w:val="auto"/>
              </w:rPr>
              <w:t>2021 Revenue</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340" w:right="160" w:hanging="332"/>
        <w:spacing w:after="0" w:line="260"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strengthening in value of various currencies against the U.S. Dollar, the largest being the Euro, the Chinese Yuan, the British Pound and the Australian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Water Infrastructure</w:t>
            </w:r>
          </w:p>
        </w:tc>
        <w:tc>
          <w:tcPr>
            <w:tcW w:w="260" w:type="dxa"/>
            <w:vAlign w:val="bottom"/>
          </w:tcPr>
          <w:p>
            <w:pPr>
              <w:spacing w:after="0"/>
              <w:rPr>
                <w:sz w:val="14"/>
                <w:szCs w:val="14"/>
                <w:color w:val="auto"/>
              </w:rPr>
            </w:pPr>
          </w:p>
        </w:tc>
        <w:tc>
          <w:tcPr>
            <w:tcW w:w="19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Applied Water</w:t>
            </w:r>
          </w:p>
        </w:tc>
        <w:tc>
          <w:tcPr>
            <w:tcW w:w="240" w:type="dxa"/>
            <w:vAlign w:val="bottom"/>
          </w:tcPr>
          <w:p>
            <w:pPr>
              <w:spacing w:after="0"/>
              <w:rPr>
                <w:sz w:val="14"/>
                <w:szCs w:val="14"/>
                <w:color w:val="auto"/>
              </w:rPr>
            </w:pPr>
          </w:p>
        </w:tc>
        <w:tc>
          <w:tcPr>
            <w:tcW w:w="1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Measurement &amp; Control</w:t>
            </w:r>
          </w:p>
        </w:tc>
        <w:tc>
          <w:tcPr>
            <w:tcW w:w="260" w:type="dxa"/>
            <w:vAlign w:val="bottom"/>
          </w:tcPr>
          <w:p>
            <w:pPr>
              <w:spacing w:after="0"/>
              <w:rPr>
                <w:sz w:val="14"/>
                <w:szCs w:val="14"/>
                <w:color w:val="auto"/>
              </w:rPr>
            </w:pPr>
          </w:p>
        </w:tc>
        <w:tc>
          <w:tcPr>
            <w:tcW w:w="1900" w:type="dxa"/>
            <w:vAlign w:val="bottom"/>
            <w:gridSpan w:val="2"/>
            <w:vMerge w:val="restart"/>
          </w:tcPr>
          <w:p>
            <w:pPr>
              <w:jc w:val="right"/>
              <w:ind w:right="593"/>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ind w:left="48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5"/>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0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420" w:type="dxa"/>
            <w:vAlign w:val="bottom"/>
          </w:tcPr>
          <w:p>
            <w:pPr>
              <w:ind w:left="140"/>
              <w:spacing w:after="0"/>
              <w:rPr>
                <w:sz w:val="20"/>
                <w:szCs w:val="20"/>
                <w:color w:val="auto"/>
              </w:rPr>
            </w:pPr>
            <w:r>
              <w:rPr>
                <w:rFonts w:ascii="Arial" w:cs="Arial" w:eastAsia="Arial" w:hAnsi="Arial"/>
                <w:sz w:val="18"/>
                <w:szCs w:val="18"/>
                <w:color w:val="auto"/>
              </w:rPr>
              <w:t>2020 Revenue</w:t>
            </w: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2,283</w:t>
            </w: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29"/>
        </w:trPr>
        <w:tc>
          <w:tcPr>
            <w:tcW w:w="2420" w:type="dxa"/>
            <w:vAlign w:val="bottom"/>
          </w:tcPr>
          <w:p>
            <w:pPr>
              <w:ind w:left="360"/>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188"/>
        </w:trPr>
        <w:tc>
          <w:tcPr>
            <w:tcW w:w="2420" w:type="dxa"/>
            <w:vAlign w:val="bottom"/>
          </w:tcPr>
          <w:p>
            <w:pPr>
              <w:ind w:left="360"/>
              <w:spacing w:after="0" w:line="189" w:lineRule="exact"/>
              <w:rPr>
                <w:sz w:val="20"/>
                <w:szCs w:val="20"/>
                <w:color w:val="auto"/>
              </w:rPr>
            </w:pPr>
            <w:r>
              <w:rPr>
                <w:rFonts w:ascii="Arial" w:cs="Arial" w:eastAsia="Arial" w:hAnsi="Arial"/>
                <w:sz w:val="18"/>
                <w:szCs w:val="18"/>
                <w:color w:val="auto"/>
              </w:rPr>
              <w:t>Foreign currency</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change in revenue</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23"/>
        </w:trPr>
        <w:tc>
          <w:tcPr>
            <w:tcW w:w="2420" w:type="dxa"/>
            <w:vAlign w:val="bottom"/>
          </w:tcPr>
          <w:p>
            <w:pPr>
              <w:ind w:left="140"/>
              <w:spacing w:after="0"/>
              <w:rPr>
                <w:sz w:val="20"/>
                <w:szCs w:val="20"/>
                <w:color w:val="auto"/>
              </w:rPr>
            </w:pPr>
            <w:r>
              <w:rPr>
                <w:rFonts w:ascii="Arial" w:cs="Arial" w:eastAsia="Arial" w:hAnsi="Arial"/>
                <w:sz w:val="18"/>
                <w:szCs w:val="18"/>
                <w:b w:val="1"/>
                <w:bCs w:val="1"/>
                <w:color w:val="auto"/>
              </w:rPr>
              <w:t>2021 Revenue</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1,078</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807</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2,607</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340" w:right="160" w:hanging="332"/>
        <w:spacing w:after="0" w:line="260"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strengthening in value of various currencies against the U.S. Dollar, the largest being the Euro, the Chinese Yuan, the Australian Dollar and the British Pound.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Water Infrastructure revenue increased $68 million, or 13.6%, for the second quarter of 2021 (6.4% increase on a constant currency basis) as compared to the prior year. Revenue benefited from $36 million of foreign currency translation, with the change at constant currency coming entirely from organic growth of $32 million. Organic growth for the quarter was driven by strength in the industrial end market, particularly across the emerging markets and, to a lesser extent, in western Europe. Organic growth for the quarter was also driven by strength in the utility end market, primarily in western Europe where we saw strong demand in utilities' operational spending coupled with recovery from prior year COVID-19 impacts. Organic growth in the utility end market was marginally offset by declines in North America during the quarter.</w:t>
      </w:r>
    </w:p>
    <w:p>
      <w:pPr>
        <w:spacing w:after="0" w:line="9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an application perspective, organic revenue growth for the second quarter was driven by our transport application. The transport application had strong revenue growth in the emerging markets, where the dewatering business in Latin America and Africa benefited from strong market conditions in mining during the quarter and Asia Pacific had strong revenue growth during the quarter, and in western Europe, where we had strong industrial and utility demand, positively impacted by COVID-19 recovery. Organic revenue growth from our transport application was partially offset by a modest decline in the treatment application, driven by the timing of project deliveries in the U.S. as compared to the prior year.</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the six months ended June 30, 2021, revenue increased $139 million, or 14.8% (8.4% increase on a constant currency basis) as compared to the prior year. Revenue benefited from $60 million of foreign currency translation during the six month period, with the change at constant currency coming entirely from organic growth of $ 79 million. Organic growth during the year was driven by strength in the both the utility and industrial end markets. Strength in the utility end market was led by western Europe, where utilities' operational spending continues to be strong, and in the emerging markets, where China benefited from healthy order intake coming into the year. Organic growth in the industrial end market was particularly strong across the emerging markets, which included growth from the COVID-19 recovery in Latin America and healthy order intake in China and Africa, and in western Europe.</w:t>
      </w:r>
    </w:p>
    <w:p>
      <w:pPr>
        <w:spacing w:after="0" w:line="9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From an application perspective, organic revenue growth during the six month period was primarily driven by our transport application. The transport application was driven by strong revenue growth across the emerging markets, where we benefited from healthy order intake in Asia Pacific and Africa and a favorable prior year comparison in Latin America, as well as growth from the COVID-19 recovery in western Europe. Organic revenue from our treatment application also contributed to the segment's growth during the period, driven by strength in the emerging markets, particularly in China, which was partially offset by the timing of project deliveries in the U.S. during the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Applied Water revenue increased $77 million, or 22.8%, for the second quarter of 2021 (17.5% increase on a constant currency basis) as compared to the prior year. Revenue benefited from $18 million of foreign currency translation, with the change at constant currency coming entirely from organic growth of $59 million. Organic growth for the quarter was driven by strength in every end market and across all major geographic regions, with particular strength in North America and western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37" w:name="page38"/>
    <w:bookmarkEnd w:id="37"/>
    <w:p>
      <w:pPr>
        <w:spacing w:after="0" w:line="252" w:lineRule="auto"/>
        <w:rPr>
          <w:sz w:val="20"/>
          <w:szCs w:val="20"/>
          <w:color w:val="auto"/>
        </w:rPr>
      </w:pPr>
      <w:r>
        <w:rPr>
          <w:rFonts w:ascii="Arial" w:cs="Arial" w:eastAsia="Arial" w:hAnsi="Arial"/>
          <w:sz w:val="18"/>
          <w:szCs w:val="18"/>
          <w:color w:val="auto"/>
        </w:rPr>
        <w:t>From an application perspective, organic revenue growth in the second quarter was led by strength in the industrial water application which was primarily driven by market growth across the emerging markets, strong order intake in North America, with particular strength in specialty flow control applications (marine and food &amp; beverage), and market recovery in western Europe, where the industry was more significantly impacted by the COVID-19 pandemic in the prior year. The residential building services application also had strong organic growth, primarily driven by western Europe, as market conditions recover from the COVID-19 pandemic, strength in North America, where we benefited from healthy backlog execution, and the emerging markets, specifically driven by strong second water supply business in China. The commercial building services application also contributed organic growth during the quarter, primarily driven by strength in the U.S. and western Europe, where the industry was more significantly impacted by the COVID-19 pandemic in the prior year.</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six months ended June 30, 2021, revenue increased $132 million, or 19.6% (15.3% increase on a constant currency basis) as compared to the prior year. Revenue benefited from $29 million of foreign currency translation during the six month period, with the change at constant currency coming entirely from organic growth of $103 million. Organic growth during the period was driven by strength in every end market and across all major geographic regions.</w:t>
      </w:r>
    </w:p>
    <w:p>
      <w:pPr>
        <w:spacing w:after="0" w:line="96"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From an application perspective, organic revenue growth during the six month period was led by strength in the industrial water application, which was primarily driven by market growth in the emerging markets, particularly in Asia Pacific where the industry was more significantly impacted by the COVID-19 pandemic in the first half of the prior year, strong order intake in North America and western Europe, reflecting recovery from the COVID-19 pandemic during the second quarter of the year. The residential building services application revenue also had strong organic growth during the first half of the year, primarily driven by the emerging markets where we experienced strong second water supply business and a favorable prior year comparison in China, as markets conditions recover from the COVID-19 pandemic. Strength in North America also contributed to the growth in the residential building services application, as we benefited from healthy backlog execution coming into the year, and market growth in western Europe during the period. The commercial building services application contributed organic growth during the first half of the year, primarily driven by strength in western Europe, North America and the emerging markets, particularly Asia Pacific.</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Measurement &amp; Control Solutions revenue increased $46 million, or 14.3%, for the second quarter of 2021 (10.6% increase on a constant currency basis) as compared to the prior year. Revenue benefited from $12 million of foreign currency translation, with the change at constant currency driven by organic growth of $37 million which was partially offset by reduced revenue related to divestiture impacts of $3 million. Organic revenue growth during the quarter was driven by strength in both the utility and industrial end markets and across all major geographic regions.</w:t>
      </w:r>
    </w:p>
    <w:p>
      <w:pPr>
        <w:spacing w:after="0" w:line="9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order to simplify and focus the application discussion, beginning with the first quarter of 2021, we are aggregating the test application into the water application and the software as a service and other application into the water and energy applications, as applicable, as both of these sub-applications provide products and services to the broader, ultimate applications of water and energy. From an application perspective, organic revenue growth was driven by the timing of project deployments in the water application, coupled with COVID-19 recovery in the U.S. and western Europe during the quarter. The energy application experienced a modest decrease during the quarter, primarily driven project timing and supply chain constraints in the U.S.</w:t>
      </w:r>
    </w:p>
    <w:p>
      <w:pPr>
        <w:spacing w:after="0" w:line="100" w:lineRule="exact"/>
        <w:rPr>
          <w:sz w:val="20"/>
          <w:szCs w:val="20"/>
          <w:color w:val="auto"/>
        </w:rPr>
      </w:pPr>
    </w:p>
    <w:p>
      <w:pPr>
        <w:jc w:val="both"/>
        <w:ind w:right="60"/>
        <w:spacing w:after="0" w:line="250" w:lineRule="auto"/>
        <w:rPr>
          <w:sz w:val="20"/>
          <w:szCs w:val="20"/>
          <w:color w:val="auto"/>
        </w:rPr>
      </w:pPr>
      <w:r>
        <w:rPr>
          <w:rFonts w:ascii="Arial" w:cs="Arial" w:eastAsia="Arial" w:hAnsi="Arial"/>
          <w:sz w:val="18"/>
          <w:szCs w:val="18"/>
          <w:color w:val="auto"/>
        </w:rPr>
        <w:t>For the six months ended June 30, 2021, revenue increased $53 million, or 7.9% (4.8% increase on a constant currency basis) as compared to the prior year. Revenue benefited from $21 million of foreign currency translation during the six month period, with the change at constant currency driven by organic growth of $37 million which was partially offset by reduced revenue related to divestiture impacts of $5 million.</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Organic revenue growth during the period was driven by strength in both end markets and across all major geographic regions, particularly in western Europe.</w:t>
      </w:r>
    </w:p>
    <w:p>
      <w:pPr>
        <w:spacing w:after="0" w:line="9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From an application perspective, organic revenue growth during the period was driven by the water application, particularly in the U.S. and western Europe, where regions benefited from a favorable prior year comparison during the period coupled with strong backlog execution. This organic revenue growth was partially offset by a decline in the energy application during the period driven by the gas business, where large project deployments in the U.S. during the prior year did not repeat and we experienced project delays driven by the COVID-19 pandemic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8" w:name="page39"/>
    <w:bookmarkEnd w:id="38"/>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the second quarter of 2021 were $1,660 million, an increase of $ 428 million, or 34.7%, over the prior year (28.7% increase on a constant currency basis). Orders received during the six months ended June 30, 2021 were $3,198 million, an increase of $705 million, or 28.3%, over the prior year (23.3% increase on a constant currency basis). Order intake benefited from $74 million and $123 million of foreign currency translation for the three and six months ended June 30, 2021, respectively. The increase on a constant currency basis was primarily driven by organic order growth of $355 million and $590 million for the three and six months ended June 30, 2021, respectively.</w:t>
      </w:r>
    </w:p>
    <w:p>
      <w:pPr>
        <w:spacing w:after="0" w:line="9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illustrates the impact from organic growth, recent divestitures, and foreign currency translation in relation to orders during the three and six months ended June 30, 2021:</w:t>
      </w:r>
    </w:p>
    <w:tbl>
      <w:tblPr>
        <w:tblLayout w:type="fixed"/>
        <w:tblInd w:w="0" w:type="dxa"/>
        <w:tblCellMar>
          <w:top w:w="0" w:type="dxa"/>
          <w:left w:w="0" w:type="dxa"/>
          <w:bottom w:w="0" w:type="dxa"/>
          <w:right w:w="0" w:type="dxa"/>
        </w:tblCellMar>
      </w:tblPr>
      <w:tr>
        <w:trPr>
          <w:trHeight w:val="172"/>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jc w:val="right"/>
              <w:ind w:right="173"/>
              <w:spacing w:after="0"/>
              <w:rPr>
                <w:sz w:val="20"/>
                <w:szCs w:val="20"/>
                <w:color w:val="auto"/>
              </w:rPr>
            </w:pPr>
            <w:r>
              <w:rPr>
                <w:rFonts w:ascii="Arial" w:cs="Arial" w:eastAsia="Arial" w:hAnsi="Arial"/>
                <w:sz w:val="16"/>
                <w:szCs w:val="16"/>
                <w:b w:val="1"/>
                <w:bCs w:val="1"/>
                <w:color w:val="auto"/>
                <w:w w:val="99"/>
              </w:rPr>
              <w:t>Water Infrastructure</w:t>
            </w:r>
          </w:p>
        </w:tc>
        <w:tc>
          <w:tcPr>
            <w:tcW w:w="2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jc w:val="right"/>
              <w:ind w:right="41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4"/>
                <w:szCs w:val="14"/>
                <w:color w:val="auto"/>
              </w:rPr>
            </w:pPr>
          </w:p>
        </w:tc>
        <w:tc>
          <w:tcPr>
            <w:tcW w:w="2260" w:type="dxa"/>
            <w:vAlign w:val="bottom"/>
            <w:gridSpan w:val="4"/>
          </w:tcPr>
          <w:p>
            <w:pPr>
              <w:ind w:left="120"/>
              <w:spacing w:after="0" w:line="171" w:lineRule="exact"/>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4"/>
                <w:szCs w:val="14"/>
                <w:color w:val="auto"/>
              </w:rPr>
            </w:pPr>
          </w:p>
        </w:tc>
        <w:tc>
          <w:tcPr>
            <w:tcW w:w="1800" w:type="dxa"/>
            <w:vAlign w:val="bottom"/>
            <w:gridSpan w:val="2"/>
            <w:vMerge w:val="restart"/>
          </w:tcPr>
          <w:p>
            <w:pPr>
              <w:jc w:val="right"/>
              <w:ind w:right="49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12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2020 Orders</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Growth</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69.8 %</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Divestitures</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69.5 %</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188"/>
        </w:trPr>
        <w:tc>
          <w:tcPr>
            <w:tcW w:w="2420" w:type="dxa"/>
            <w:vAlign w:val="bottom"/>
          </w:tcPr>
          <w:p>
            <w:pPr>
              <w:ind w:left="140"/>
              <w:spacing w:after="0" w:line="189" w:lineRule="exact"/>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49.1 %</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73.7 %</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2021 Orders</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40" w:right="160" w:hanging="332"/>
        <w:spacing w:after="0" w:line="260"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strengthening in value of various currencies against the U.S. Dollar, the largest being the Euro, the Chinese Yuan, the British Pound and the Australian Dollar.</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vMerge w:val="restart"/>
          </w:tcPr>
          <w:p>
            <w:pPr>
              <w:jc w:val="right"/>
              <w:ind w:right="153"/>
              <w:spacing w:after="0"/>
              <w:rPr>
                <w:sz w:val="20"/>
                <w:szCs w:val="20"/>
                <w:color w:val="auto"/>
              </w:rPr>
            </w:pPr>
            <w:r>
              <w:rPr>
                <w:rFonts w:ascii="Arial" w:cs="Arial" w:eastAsia="Arial" w:hAnsi="Arial"/>
                <w:sz w:val="16"/>
                <w:szCs w:val="16"/>
                <w:b w:val="1"/>
                <w:bCs w:val="1"/>
                <w:color w:val="auto"/>
              </w:rPr>
              <w:t>Water Infrastructure</w:t>
            </w:r>
          </w:p>
        </w:tc>
        <w:tc>
          <w:tcPr>
            <w:tcW w:w="20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vMerge w:val="restart"/>
          </w:tcPr>
          <w:p>
            <w:pPr>
              <w:jc w:val="right"/>
              <w:ind w:right="41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6"/>
                <w:szCs w:val="16"/>
                <w:color w:val="auto"/>
              </w:rPr>
            </w:pPr>
          </w:p>
        </w:tc>
        <w:tc>
          <w:tcPr>
            <w:tcW w:w="2260" w:type="dxa"/>
            <w:vAlign w:val="bottom"/>
            <w:gridSpan w:val="4"/>
          </w:tcPr>
          <w:p>
            <w:pPr>
              <w:ind w:left="120"/>
              <w:spacing w:after="0"/>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6"/>
                <w:szCs w:val="16"/>
                <w:color w:val="auto"/>
              </w:rPr>
            </w:pPr>
          </w:p>
        </w:tc>
        <w:tc>
          <w:tcPr>
            <w:tcW w:w="1800" w:type="dxa"/>
            <w:vAlign w:val="bottom"/>
            <w:gridSpan w:val="2"/>
            <w:vMerge w:val="restart"/>
          </w:tcPr>
          <w:p>
            <w:pPr>
              <w:jc w:val="right"/>
              <w:ind w:right="49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12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Orders</w:t>
            </w: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Organic Growth</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100" w:type="dxa"/>
            <w:vAlign w:val="bottom"/>
          </w:tcPr>
          <w:p>
            <w:pPr>
              <w:jc w:val="right"/>
              <w:spacing w:after="0"/>
              <w:rPr>
                <w:sz w:val="20"/>
                <w:szCs w:val="20"/>
                <w:color w:val="auto"/>
              </w:rPr>
            </w:pPr>
            <w:r>
              <w:rPr>
                <w:rFonts w:ascii="Arial" w:cs="Arial" w:eastAsia="Arial" w:hAnsi="Arial"/>
                <w:sz w:val="18"/>
                <w:szCs w:val="18"/>
                <w:color w:val="auto"/>
              </w:rPr>
              <w:t>6.3 %</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w:t>
            </w:r>
          </w:p>
        </w:tc>
        <w:tc>
          <w:tcPr>
            <w:tcW w:w="1120" w:type="dxa"/>
            <w:vAlign w:val="bottom"/>
          </w:tcPr>
          <w:p>
            <w:pPr>
              <w:jc w:val="right"/>
              <w:spacing w:after="0"/>
              <w:rPr>
                <w:sz w:val="20"/>
                <w:szCs w:val="20"/>
                <w:color w:val="auto"/>
              </w:rPr>
            </w:pPr>
            <w:r>
              <w:rPr>
                <w:rFonts w:ascii="Arial" w:cs="Arial" w:eastAsia="Arial" w:hAnsi="Arial"/>
                <w:sz w:val="18"/>
                <w:szCs w:val="18"/>
                <w:color w:val="auto"/>
              </w:rPr>
              <w:t>33.2 %</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w:t>
            </w:r>
          </w:p>
        </w:tc>
        <w:tc>
          <w:tcPr>
            <w:tcW w:w="1100" w:type="dxa"/>
            <w:vAlign w:val="bottom"/>
          </w:tcPr>
          <w:p>
            <w:pPr>
              <w:jc w:val="right"/>
              <w:spacing w:after="0"/>
              <w:rPr>
                <w:sz w:val="20"/>
                <w:szCs w:val="20"/>
                <w:color w:val="auto"/>
              </w:rPr>
            </w:pPr>
            <w:r>
              <w:rPr>
                <w:rFonts w:ascii="Arial" w:cs="Arial" w:eastAsia="Arial" w:hAnsi="Arial"/>
                <w:sz w:val="18"/>
                <w:szCs w:val="18"/>
                <w:color w:val="auto"/>
              </w:rPr>
              <w:t>42.2 %</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590</w:t>
            </w:r>
          </w:p>
        </w:tc>
        <w:tc>
          <w:tcPr>
            <w:tcW w:w="1120" w:type="dxa"/>
            <w:vAlign w:val="bottom"/>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Divestitures</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440" w:type="dxa"/>
            <w:vAlign w:val="bottom"/>
          </w:tcPr>
          <w:p>
            <w:pPr>
              <w:ind w:left="22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6.3 %</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33.2 %</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41.0 %</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188"/>
        </w:trPr>
        <w:tc>
          <w:tcPr>
            <w:tcW w:w="24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3"/>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change in orders</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12.4 %</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38.0 %</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44.2 %</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2021 Orders</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w:t>
            </w: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985</w:t>
            </w: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3,198</w:t>
            </w: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40" w:right="160" w:hanging="332"/>
        <w:spacing w:after="0" w:line="260"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strengthening in value of various currencies against the U.S. Dollar, the largest being the Euro, the Chinese Yuan, the Australian Dollar and the British Pound.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Water Infrastructure segment orders increased $41 million, or 6.9%, to $639 million (flat on a constant currency basis) for the second quarter of 2021 as compared to the prior year. Order growth for the quarter benefited from $41 million of foreign currency translation. Organic orders remained essentially flat during the quarter as strength in the treatment application, which was driven by strong order intake across all major geographies, was offset by decline in the transport application, which included a significant project order of greater than $100 million in India during the second quarter of 2020 that did not recur. Excluding the impact of the significant India order in 2020, the transport application had organic order growth driven by healthy market conditions in western Europe and North America during the quarter, including order growth in the dewatering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ind w:right="40"/>
        <w:spacing w:after="0" w:line="252" w:lineRule="auto"/>
        <w:rPr>
          <w:sz w:val="20"/>
          <w:szCs w:val="20"/>
          <w:color w:val="auto"/>
        </w:rPr>
      </w:pPr>
      <w:r>
        <w:rPr>
          <w:rFonts w:ascii="Arial" w:cs="Arial" w:eastAsia="Arial" w:hAnsi="Arial"/>
          <w:sz w:val="18"/>
          <w:szCs w:val="18"/>
          <w:color w:val="auto"/>
        </w:rPr>
        <w:t>For the six months ended June 30, 2021, orders increased $138 million, or 12.4%, to $1,250 million (6.3% increase on a constant currency basis) as compared to the same prior year period. Order growth during the period benefited from $ 68 million of foreign currency translation. The order increase on a constant currency basis consisted primarily of organic order growth in the treatment application. Organic growth in the treatment application was driven by strength in North America, the emerging markets, particularly in China, and western Europe. Organic orders for the transport application also increased during the period, primarily driven by healthy market conditions in western Europe and North America which were partially offset by weakness in the emerging markets, where we had a significant project order of greater than $100 million in India during the second quarter of 2020 which more than offset strength in Latin America and Africa during period.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Applied Water segment orders increased $160 million, or 49.1%, to $486 million (42.9% increase on a constant currency basis) for the second quarter of 2021 as compared to the prior year. Order growth for the quarter benefited from $20 million of foreign currency translation. The order increase on a constant currency basis was driven by organic order growth across all end markets, primarily in the U.S., where we benefited from strong demand recovery, amplified by longer lead times for delivering product, and to a lesser extent, in western Europe and the emerging markets.</w:t>
      </w:r>
    </w:p>
    <w:p>
      <w:pPr>
        <w:spacing w:after="0" w:line="9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the six months ended June 30, 2021, orders increased $265 million, or 38.0%, to $963 million (33.2% increase on a constant currency basis) as compared to the same prior year period. Order growth during the period benefited from $33 million of foreign currency translation. The order increase on a constant currency basis was driven by organic order growth across all end markets during the first half of the year, primarily in the U.S., where we benefited from strong demand, amplified by early ordering to mitigate longer lead times, and to a lesser extent, in western Europe and the emerging markets, particularly in China where order intake was weakened by COVID-19 impacts in the prior year.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Measurement &amp; Control Solutions segment orders increased $ 227 million, or 73.7%, to $ 535 million (69.5% increase on a constant currency basis) for the second quarter of 2021 as compared to the prior year. Order growth for the quarter benefited from $13 million of foreign currency translation. The order increase on a constant currency basis consisted almost entirely of organic order growth of $ 215 million, or 69.8%. Organic order growth was led by the water application, which experienced strong order intake in the U.S., amplified by increased ordering due to component shortages, and benefited from a favorable comparison, driven by COVID-19 recovery, as well as strength in western Europe. Order intake in the energy application also grew organically during the quarter, primarily in North America where the gas business benefited from a favorable comparison, driven by COVID-19 recovery, coupled with project related ordering in the electric business during the quarter.</w:t>
      </w:r>
    </w:p>
    <w:p>
      <w:pPr>
        <w:spacing w:after="0" w:line="97"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For the six months ended June 30, 2021, orders increased $302 million, or 44.2%, to $985 million (41.0% increase on a constant currency basis) as compared to the same prior year period. Order growth during the period benefited from $22 million of foreign currency translation. The order increase on a constant currency basis included organic order growth of $288 million, or 42.2%, which was partially offset by a $8 million reduction in orders related to divestiture impacts during the period. Organic order growth was led by the water application, which was driven by strong order intake in the U.S., amplified by increased ordering due to component shortages, and in western Europe, coupled with a favorable comparison, driven by COVID-19 recovery. Order intake in the energy application also grew organically during the first half of the year, primarily driven by large projects in North America.</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customer to customer based on their requirements. Annual or multi-year contracts are subject to rescheduling and cancellation by customers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to the long-term nature of the contracts. As such, beginning total backlog, plus orders, minus revenues, will not equal ending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backlog due to contract adjustments, foreign currency fluctuations, and other factors. Typically, large projects require longer lead production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cycles and deployment schedules and delays occur from time to time. Total backlog was $2,779 million at June 30, 2021, an increase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$766 million or 38.1%, as compared to June 30, 2020 backlog of $2,013 million, and an increase of $655 million or 30.8%, as compared 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backlog of $2,124 million driven by the significant increase in orders in the year. We anticipate that approximately 50%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backlog at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40" w:name="page41"/>
    <w:bookmarkEnd w:id="40"/>
    <w:p>
      <w:pPr>
        <w:ind w:right="1220"/>
        <w:spacing w:after="0" w:line="375" w:lineRule="auto"/>
        <w:rPr>
          <w:sz w:val="20"/>
          <w:szCs w:val="20"/>
          <w:color w:val="auto"/>
        </w:rPr>
      </w:pPr>
      <w:r>
        <w:rPr>
          <w:rFonts w:ascii="Arial" w:cs="Arial" w:eastAsia="Arial" w:hAnsi="Arial"/>
          <w:sz w:val="18"/>
          <w:szCs w:val="18"/>
          <w:color w:val="auto"/>
        </w:rPr>
        <w:t xml:space="preserve">2021 will be recognized as revenue in the remainder of 2021. There were no significant order cancellations during the quarter.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Gross margin as a percentage of revenue increased 110 and 180 basis points to 38.5% and 38.7% for the three and six months ended June 30, 2021, as compared to 37.4% and 36.9% for the comparative 2020 periods. The gross margin increase for both periods was primarily driven by cost reductions from our global procurement and productivity improvement initiatives and favorable volume, impacted by COVID-19 recovery, which were partially offset by cost inflation.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and six months ended June 30, 2021 and 2020:</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Six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3"/>
          </w:tcPr>
          <w:p>
            <w:pPr>
              <w:ind w:left="140"/>
              <w:spacing w:after="0"/>
              <w:rPr>
                <w:sz w:val="20"/>
                <w:szCs w:val="20"/>
                <w:color w:val="auto"/>
              </w:rPr>
            </w:pPr>
            <w:r>
              <w:rPr>
                <w:rFonts w:ascii="Arial" w:cs="Arial" w:eastAsia="Arial" w:hAnsi="Arial"/>
                <w:sz w:val="14"/>
                <w:szCs w:val="14"/>
                <w:color w:val="auto"/>
              </w:rPr>
              <w:t>Change</w:t>
            </w:r>
          </w:p>
        </w:tc>
        <w:tc>
          <w:tcPr>
            <w:tcW w:w="280" w:type="dxa"/>
            <w:vAlign w:val="bottom"/>
          </w:tcPr>
          <w:p>
            <w:pPr>
              <w:spacing w:after="0"/>
              <w:rPr>
                <w:sz w:val="15"/>
                <w:szCs w:val="15"/>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33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68"/>
        </w:trPr>
        <w:tc>
          <w:tcPr>
            <w:tcW w:w="3460" w:type="dxa"/>
            <w:vAlign w:val="bottom"/>
            <w:tcBorders>
              <w:top w:val="single" w:sz="8" w:color="CCEEFF"/>
            </w:tcBorders>
            <w:shd w:val="clear" w:color="auto" w:fill="CCEEFF"/>
          </w:tcPr>
          <w:p>
            <w:pPr>
              <w:ind w:left="140"/>
              <w:spacing w:after="0" w:line="168"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304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605</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 ("SG&amp;A")</w:t>
            </w:r>
          </w:p>
        </w:tc>
        <w:tc>
          <w:tcPr>
            <w:tcW w:w="2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rPr>
                <w:sz w:val="20"/>
                <w:szCs w:val="20"/>
                <w:color w:val="auto"/>
              </w:rPr>
            </w:pPr>
            <w:r>
              <w:rPr>
                <w:rFonts w:ascii="Arial" w:cs="Arial" w:eastAsia="Arial" w:hAnsi="Arial"/>
                <w:sz w:val="18"/>
                <w:szCs w:val="18"/>
                <w:i w:val="1"/>
                <w:iCs w:val="1"/>
                <w:color w:val="auto"/>
              </w:rPr>
              <w:t>SG&amp;A as a % of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22.5 %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(230) bp</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(240) bp</w:t>
            </w:r>
          </w:p>
        </w:tc>
        <w:tc>
          <w:tcPr>
            <w:tcW w:w="0" w:type="dxa"/>
            <w:vAlign w:val="bottom"/>
          </w:tcPr>
          <w:p>
            <w:pPr>
              <w:spacing w:after="0"/>
              <w:rPr>
                <w:sz w:val="1"/>
                <w:szCs w:val="1"/>
                <w:color w:val="auto"/>
              </w:rPr>
            </w:pPr>
          </w:p>
        </w:tc>
      </w:tr>
      <w:tr>
        <w:trPr>
          <w:trHeight w:val="188"/>
        </w:trPr>
        <w:tc>
          <w:tcPr>
            <w:tcW w:w="34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("R&amp;D")</w:t>
            </w: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i w:val="1"/>
                <w:iCs w:val="1"/>
                <w:color w:val="auto"/>
              </w:rPr>
              <w:t>R&amp;D as a % of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bp</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(10) bp</w:t>
            </w:r>
          </w:p>
        </w:tc>
        <w:tc>
          <w:tcPr>
            <w:tcW w:w="0" w:type="dxa"/>
            <w:vAlign w:val="bottom"/>
          </w:tcPr>
          <w:p>
            <w:pPr>
              <w:spacing w:after="0"/>
              <w:rPr>
                <w:sz w:val="1"/>
                <w:szCs w:val="1"/>
                <w:color w:val="auto"/>
              </w:rPr>
            </w:pPr>
          </w:p>
        </w:tc>
      </w:tr>
      <w:tr>
        <w:trPr>
          <w:trHeight w:val="188"/>
        </w:trPr>
        <w:tc>
          <w:tcPr>
            <w:tcW w:w="346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Restructuring and asset impairment</w:t>
            </w:r>
          </w:p>
        </w:tc>
        <w:tc>
          <w:tcPr>
            <w:tcW w:w="2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charges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(93.8)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(82.0) %</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rPr>
              <w:t>360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52"/>
              <w:spacing w:after="0"/>
              <w:rPr>
                <w:sz w:val="20"/>
                <w:szCs w:val="20"/>
                <w:color w:val="auto"/>
              </w:rPr>
            </w:pPr>
            <w:r>
              <w:rPr>
                <w:rFonts w:ascii="Arial" w:cs="Arial" w:eastAsia="Arial" w:hAnsi="Arial"/>
                <w:sz w:val="18"/>
                <w:szCs w:val="18"/>
                <w:b w:val="1"/>
                <w:bCs w:val="1"/>
                <w:color w:val="auto"/>
              </w:rPr>
              <w:t>717</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(620) bp</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(440) bp</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SG&amp;A expenses increased by $16 million to $ 304 million, or 22.5% of revenue, in the second quarter of 2021, as compared to $288 million, or 24.8% of revenue, in the comparable 2020 period; and increased by $20 million to $605 million, or 23.2% of revenue, in the six months ended June 30, 2021, as compared to $ 585 million, or 25.6% of revenue, in the comparable 2020 period. The improvement in SG&amp;A as a percent of revenue for both periods was primarily driven by cost reductions from our productivity, restructuring and other cost saving initiatives and decreased quality management costs, which were partially offset by cost inflation, additional investments in strategic growth initiatives and other costs.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R&amp;D expense was $53 million, or 3.9% of revenue, in the second quarter of 2021, as compared to $44 million, or 3.8% of revenue, in the comparable 2020 period; and was $ 103 million, or 4.0% of revenue, in the six months ended June 30, 2021, as compared to $93 million, or 4.1% of revenue, in the comparable 2020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During the three and six months ended June 30, 2021, we recognized restructuring charges of $3 million and $8 million, respectively, of which $2 million and $6 million relate to actions previously announced in 2020. These charges included reduction of headcount across all segments and asset impairments within our Measurement &amp; Control Solutions segment.</w:t>
      </w:r>
    </w:p>
    <w:p>
      <w:pPr>
        <w:spacing w:after="0" w:line="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response to the changes in business and economic conditions arising as a result of the COVID-19 pandemic, in June 2020 management committed to a restructuring plan that includes actions across our businesses and functions globally. The plan is designed to support our long-term financial resilience, simplify our operations, strengthen our competitive positioning and better serve our customers. During the three and six months ended June 30, 2020, we recognized restructuring charges of $38 million and $ 40 million, respectively. These charges included reduction of headcount across all segments and asset impairments within our Measurement &amp; Control Solutions segment.</w:t>
      </w:r>
    </w:p>
    <w:p>
      <w:pPr>
        <w:spacing w:after="0" w:line="200" w:lineRule="exact"/>
        <w:rPr>
          <w:sz w:val="20"/>
          <w:szCs w:val="20"/>
          <w:color w:val="auto"/>
        </w:rPr>
      </w:pPr>
    </w:p>
    <w:p>
      <w:pPr>
        <w:spacing w:after="0" w:line="248"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The following is a roll-forward for the six months ended June 30, 2021 and 2020 of employee position eliminations associated with restructuring activities: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2020</w:t>
            </w:r>
          </w:p>
        </w:tc>
      </w:tr>
      <w:tr>
        <w:trPr>
          <w:trHeight w:val="223"/>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74"/>
              <w:spacing w:after="0"/>
              <w:rPr>
                <w:sz w:val="20"/>
                <w:szCs w:val="20"/>
                <w:color w:val="auto"/>
              </w:rPr>
            </w:pPr>
            <w:r>
              <w:rPr>
                <w:rFonts w:ascii="Arial" w:cs="Arial" w:eastAsia="Arial" w:hAnsi="Arial"/>
                <w:sz w:val="18"/>
                <w:szCs w:val="18"/>
                <w:color w:val="auto"/>
                <w:w w:val="99"/>
              </w:rPr>
              <w:t>196</w:t>
            </w:r>
          </w:p>
        </w:tc>
      </w:tr>
      <w:tr>
        <w:trPr>
          <w:trHeight w:val="229"/>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19"/>
                <w:szCs w:val="19"/>
                <w:color w:val="auto"/>
              </w:rPr>
            </w:pPr>
          </w:p>
        </w:tc>
        <w:tc>
          <w:tcPr>
            <w:tcW w:w="1220" w:type="dxa"/>
            <w:vAlign w:val="bottom"/>
          </w:tcPr>
          <w:p>
            <w:pPr>
              <w:jc w:val="center"/>
              <w:ind w:left="674"/>
              <w:spacing w:after="0"/>
              <w:rPr>
                <w:sz w:val="20"/>
                <w:szCs w:val="20"/>
                <w:color w:val="auto"/>
              </w:rPr>
            </w:pPr>
            <w:r>
              <w:rPr>
                <w:rFonts w:ascii="Arial" w:cs="Arial" w:eastAsia="Arial" w:hAnsi="Arial"/>
                <w:sz w:val="18"/>
                <w:szCs w:val="18"/>
                <w:color w:val="auto"/>
                <w:w w:val="99"/>
              </w:rPr>
              <w:t>579</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color w:val="auto"/>
                <w:w w:val="99"/>
              </w:rPr>
              <w:t>(115)</w:t>
            </w:r>
          </w:p>
        </w:tc>
      </w:tr>
      <w:tr>
        <w:trPr>
          <w:trHeight w:val="223"/>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Planned reductions - June 30</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19"/>
                <w:szCs w:val="19"/>
                <w:color w:val="auto"/>
              </w:rPr>
            </w:pPr>
          </w:p>
        </w:tc>
        <w:tc>
          <w:tcPr>
            <w:tcW w:w="1220" w:type="dxa"/>
            <w:vAlign w:val="bottom"/>
          </w:tcPr>
          <w:p>
            <w:pPr>
              <w:jc w:val="center"/>
              <w:ind w:left="674"/>
              <w:spacing w:after="0"/>
              <w:rPr>
                <w:sz w:val="20"/>
                <w:szCs w:val="20"/>
                <w:color w:val="auto"/>
              </w:rPr>
            </w:pPr>
            <w:r>
              <w:rPr>
                <w:rFonts w:ascii="Arial" w:cs="Arial" w:eastAsia="Arial" w:hAnsi="Arial"/>
                <w:sz w:val="18"/>
                <w:szCs w:val="18"/>
                <w:color w:val="auto"/>
                <w:w w:val="99"/>
              </w:rPr>
              <w:t>660</w:t>
            </w:r>
          </w:p>
        </w:tc>
      </w:tr>
      <w:tr>
        <w:trPr>
          <w:trHeight w:val="21"/>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expected restructuring spend in 2021 and thereafter: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4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20" w:type="dxa"/>
            <w:vAlign w:val="bottom"/>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2020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Q1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Q2 2021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Water Infrastructure actions commenced in 2021 consist primarily of severance charges. These actions are expected to continue through the second quarter of 2022.</w:t>
      </w:r>
    </w:p>
    <w:p>
      <w:pPr>
        <w:spacing w:after="0" w:line="198"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2020 consist primarily of severance charges across segments and asset impairment charges in our Measurement &amp; Control Solutions segment. These actions are expected to continue through the second quarter of 2022.</w:t>
      </w:r>
    </w:p>
    <w:p>
      <w:pPr>
        <w:spacing w:after="0" w:line="9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During the second quarter of 2020 the discontinuance of a product line resulted in $17 million of asset impairments, primarily related to customer relationships, trademarks and fixed assets within our Measurement &amp; Control Solutions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currently expect to incur between $15 million and $25 million in restructuring costs for the full year.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ind w:right="20"/>
        <w:spacing w:after="0" w:line="253" w:lineRule="auto"/>
        <w:rPr>
          <w:sz w:val="20"/>
          <w:szCs w:val="20"/>
          <w:color w:val="auto"/>
        </w:rPr>
      </w:pPr>
      <w:r>
        <w:rPr>
          <w:rFonts w:ascii="Arial" w:cs="Arial" w:eastAsia="Arial" w:hAnsi="Arial"/>
          <w:sz w:val="18"/>
          <w:szCs w:val="18"/>
          <w:color w:val="auto"/>
        </w:rPr>
        <w:t>restructuring charges are primarily related to actions taken in response to the changes in business and economic conditions arising as a result of the COVID-19 pandemic as well as other efforts to optimize our cost structure, improve our operational efficiency and effectiveness, strengthen our competitive positioning and better serve our customers. We expect to realize between $33 million and $35 million of incremental net savings in 2021 from restructuring actions initiated in 2020. As a result of all of the actions taken and expected to be taken in 2021, we anticipate between $1 million and $3 million of total net savings to be realized during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second quarter of 2020 we determined that internally developed in-process software within our Measurement &amp; Control Solutions segment was impaired as a result of actions taken to prioritize strategic investments. Accordingly, we recognized an impairment charge of $10 million. Refer to Note 7, "Goodwill and Other Intangible Assets," for additional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income during the second quarter of 2021 was $160 million, reflecting an increase of 196.3% compared to $54 million in the second quarter of 2020. Operating margin was 11.8% for the second quarter of 2021 versus 4.7% for the comparable period in 2020, an increase of 710 basis points. Operating margin benefited from a decrease in restructuring and realignment costs of $37 million as compared to the second quarter of 2020 and special charges of $11 million incurred during 2020 that did not recur. Excluding the impact of these items, adjusted operating income was $166 million with an adjusted operating margin of 12.3% in the second quarter of 2021 as compared to adjusted operating income of $ 108 million with an adjusted operating margin of 9.3% in the second quarter of 2020. The increase in adjusted operating margin was primarily due to cost reductions from our productivity, restructuring and other cost saving initiatives and favorable volume, impacted by COVID-19 recovery. These impacts were partially offset by cost inflation and increased spending on strategic investments.</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Operating income for the six months ended June 30, 2021 was $293 million, reflecting an increase of 154.8% compared to $ 115 million in 2020. Operating margin was 11.2% for the six months ended June 30, 2021 versus 5.0% for the comparable period in 2020, an increase of 620 basis points. Operating margin benefited from a decrease in restructuring and realignment costs of $38 million and a decrease in special charges of $9 million as compared to 2020. Excluding the impact of these items, adjusted operating income was $309 million with an adjusted operating margin of 11.9% for the six months ended June 30, 2021 as compared to adjusted operating income of $178 million with an adjusted operating margin of 7.8% in 2020. The increase in adjusted operating margin was primarily due to cost reductions from our productivity, restructuring and other cost saving initiatives and favorable volume, impacted by COVID-19 recovery. These impacts were partially offset by cost inflation and increased spending on strategic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9" w:right="379" w:bottom="1440" w:gutter="0" w:footer="0" w:header="0"/>
        </w:sectPr>
      </w:pPr>
    </w:p>
    <w:bookmarkStart w:id="43" w:name="page44"/>
    <w:bookmarkEnd w:id="43"/>
    <w:p>
      <w:pPr>
        <w:ind w:right="200"/>
        <w:spacing w:after="0" w:line="261"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9"/>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r>
      <w:tr>
        <w:trPr>
          <w:trHeight w:val="183"/>
        </w:trPr>
        <w:tc>
          <w:tcPr>
            <w:tcW w:w="38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91"/>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5"/>
                <w:szCs w:val="15"/>
                <w:color w:val="auto"/>
              </w:rPr>
            </w:pPr>
          </w:p>
        </w:tc>
        <w:tc>
          <w:tcPr>
            <w:tcW w:w="840" w:type="dxa"/>
            <w:vAlign w:val="bottom"/>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310"/>
              <w:spacing w:after="0"/>
              <w:rPr>
                <w:sz w:val="20"/>
                <w:szCs w:val="20"/>
                <w:color w:val="auto"/>
              </w:rPr>
            </w:pPr>
            <w:r>
              <w:rPr>
                <w:rFonts w:ascii="Arial" w:cs="Arial" w:eastAsia="Arial" w:hAnsi="Arial"/>
                <w:sz w:val="14"/>
                <w:szCs w:val="14"/>
                <w:color w:val="auto"/>
              </w:rPr>
              <w:t>Change</w:t>
            </w:r>
          </w:p>
        </w:tc>
      </w:tr>
      <w:tr>
        <w:trPr>
          <w:trHeight w:val="209"/>
        </w:trPr>
        <w:tc>
          <w:tcPr>
            <w:tcW w:w="3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Water Infrastructure</w:t>
            </w: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93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164</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9"/>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170</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38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Restructuring and realignment costs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(50.0)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(30.8) %</w:t>
            </w:r>
          </w:p>
        </w:tc>
      </w:tr>
      <w:tr>
        <w:trPr>
          <w:trHeight w:val="223"/>
        </w:trPr>
        <w:tc>
          <w:tcPr>
            <w:tcW w:w="3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97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17.0 %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16.2 %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i w:val="1"/>
                <w:iCs w:val="1"/>
                <w:color w:val="auto"/>
              </w:rPr>
              <w:t>80</w:t>
            </w:r>
          </w:p>
        </w:tc>
        <w:tc>
          <w:tcPr>
            <w:tcW w:w="540" w:type="dxa"/>
            <w:vAlign w:val="bottom"/>
            <w:gridSpan w:val="2"/>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270</w:t>
            </w:r>
          </w:p>
        </w:tc>
        <w:tc>
          <w:tcPr>
            <w:tcW w:w="4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Applied Water</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64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130</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330</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382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260" w:type="dxa"/>
            <w:vAlign w:val="bottom"/>
          </w:tcPr>
          <w:p>
            <w:pPr>
              <w:spacing w:after="0"/>
              <w:rPr>
                <w:sz w:val="19"/>
                <w:szCs w:val="19"/>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(50.0)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(50.0) %</w:t>
            </w:r>
          </w:p>
        </w:tc>
      </w:tr>
      <w:tr>
        <w:trPr>
          <w:trHeight w:val="229"/>
        </w:trPr>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spacing w:after="0"/>
              <w:rPr>
                <w:sz w:val="19"/>
                <w:szCs w:val="19"/>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9"/>
                <w:szCs w:val="19"/>
                <w:color w:val="auto"/>
              </w:rPr>
            </w:pPr>
          </w:p>
        </w:tc>
      </w:tr>
      <w:tr>
        <w:trPr>
          <w:trHeight w:val="223"/>
        </w:trPr>
        <w:tc>
          <w:tcPr>
            <w:tcW w:w="382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66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9"/>
        </w:trPr>
        <w:tc>
          <w:tcPr>
            <w:tcW w:w="3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250</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b w:val="1"/>
                <w:bCs w:val="1"/>
                <w:color w:val="auto"/>
              </w:rPr>
              <w:t>Measurement &amp; Control Solutions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(14.3)%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i w:val="1"/>
                <w:iCs w:val="1"/>
                <w:color w:val="auto"/>
              </w:rPr>
              <w:t>1,780</w:t>
            </w:r>
          </w:p>
        </w:tc>
        <w:tc>
          <w:tcPr>
            <w:tcW w:w="540" w:type="dxa"/>
            <w:vAlign w:val="bottom"/>
            <w:gridSpan w:val="2"/>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1,170</w:t>
            </w:r>
          </w:p>
        </w:tc>
        <w:tc>
          <w:tcPr>
            <w:tcW w:w="4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i w:val="1"/>
                <w:iCs w:val="1"/>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i w:val="1"/>
                <w:iCs w:val="1"/>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(93.9) %</w:t>
            </w:r>
          </w:p>
        </w:tc>
      </w:tr>
      <w:tr>
        <w:trPr>
          <w:trHeight w:val="229"/>
        </w:trPr>
        <w:tc>
          <w:tcPr>
            <w:tcW w:w="38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Special charges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i w:val="1"/>
                <w:iCs w:val="1"/>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i w:val="1"/>
                <w:iCs w:val="1"/>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CCEEFF"/>
            </w:tcBorders>
          </w:tcPr>
          <w:p>
            <w:pPr>
              <w:spacing w:after="0"/>
              <w:rPr>
                <w:sz w:val="19"/>
                <w:szCs w:val="19"/>
                <w:color w:val="auto"/>
              </w:rPr>
            </w:pPr>
          </w:p>
        </w:tc>
      </w:tr>
      <w:tr>
        <w:trPr>
          <w:trHeight w:val="223"/>
        </w:trPr>
        <w:tc>
          <w:tcPr>
            <w:tcW w:w="3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i w:val="1"/>
                <w:iCs w:val="1"/>
                <w:color w:val="auto"/>
                <w:w w:val="99"/>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i w:val="1"/>
                <w:iCs w:val="1"/>
                <w:color w:val="auto"/>
              </w:rPr>
              <w:t>13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w w:val="99"/>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i w:val="1"/>
                <w:iCs w:val="1"/>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i w:val="1"/>
                <w:iCs w:val="1"/>
                <w:color w:val="auto"/>
              </w:rPr>
              <w:t>510</w:t>
            </w:r>
          </w:p>
        </w:tc>
        <w:tc>
          <w:tcPr>
            <w:tcW w:w="540" w:type="dxa"/>
            <w:vAlign w:val="bottom"/>
            <w:gridSpan w:val="2"/>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550</w:t>
            </w:r>
          </w:p>
        </w:tc>
        <w:tc>
          <w:tcPr>
            <w:tcW w:w="4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Corporate and other</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b w:val="1"/>
                <w:bCs w:val="1"/>
                <w:color w:val="auto"/>
              </w:rPr>
              <w:t>(10)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(28.6) %</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11"/>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(14.8) %</w:t>
            </w:r>
          </w:p>
        </w:tc>
      </w:tr>
      <w:tr>
        <w:trPr>
          <w:trHeight w:val="230"/>
        </w:trPr>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r>
      <w:tr>
        <w:trPr>
          <w:trHeight w:val="223"/>
        </w:trPr>
        <w:tc>
          <w:tcPr>
            <w:tcW w:w="3820" w:type="dxa"/>
            <w:vAlign w:val="bottom"/>
          </w:tcPr>
          <w:p>
            <w:pPr>
              <w:ind w:left="680"/>
              <w:spacing w:after="0"/>
              <w:rPr>
                <w:sz w:val="20"/>
                <w:szCs w:val="20"/>
                <w:color w:val="auto"/>
              </w:rPr>
            </w:pPr>
            <w:r>
              <w:rPr>
                <w:rFonts w:ascii="Arial" w:cs="Arial" w:eastAsia="Arial" w:hAnsi="Arial"/>
                <w:sz w:val="18"/>
                <w:szCs w:val="18"/>
                <w:color w:val="auto"/>
              </w:rPr>
              <w:t>Adjusted operating loss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b w:val="1"/>
                <w:bCs w:val="1"/>
                <w:color w:val="auto"/>
              </w:rPr>
              <w:t>(10)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(23.1) %</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11"/>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(15.4) %</w:t>
            </w:r>
          </w:p>
        </w:tc>
      </w:tr>
      <w:tr>
        <w:trPr>
          <w:trHeight w:val="230"/>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Xylem</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160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293</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710</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620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382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260" w:type="dxa"/>
            <w:vAlign w:val="bottom"/>
          </w:tcPr>
          <w:p>
            <w:pPr>
              <w:spacing w:after="0"/>
              <w:rPr>
                <w:sz w:val="19"/>
                <w:szCs w:val="19"/>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(86.0)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(73.1) %</w:t>
            </w:r>
          </w:p>
        </w:tc>
      </w:tr>
      <w:tr>
        <w:trPr>
          <w:trHeight w:val="230"/>
        </w:trPr>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(81.8) %</w:t>
            </w:r>
          </w:p>
        </w:tc>
      </w:tr>
      <w:tr>
        <w:trPr>
          <w:trHeight w:val="223"/>
        </w:trPr>
        <w:tc>
          <w:tcPr>
            <w:tcW w:w="382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51"/>
              <w:spacing w:after="0"/>
              <w:rPr>
                <w:sz w:val="20"/>
                <w:szCs w:val="20"/>
                <w:color w:val="auto"/>
              </w:rPr>
            </w:pPr>
            <w:r>
              <w:rPr>
                <w:rFonts w:ascii="Arial" w:cs="Arial" w:eastAsia="Arial" w:hAnsi="Arial"/>
                <w:sz w:val="18"/>
                <w:szCs w:val="18"/>
                <w:b w:val="1"/>
                <w:bCs w:val="1"/>
                <w:color w:val="auto"/>
              </w:rPr>
              <w:t>166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309</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300</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410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Operating income for our Water Infrastructure segment increased $20 million, or 27.4%, for the second quarter of 2021 compared to the prior year, with operating margin also increasing from 14.6% to 16.3%. Operating margin benefited from a decrease in restructuring and realignment costs of $ 4 million during the quarter. Excluding these restructuring and realignment costs, adjusted operating income increased $16 million, or 19.8%, with adjusted operating margin increasing from 16.2% to 17.0%. The increase in adjusted operating margin for the quarter was primarily due to cost reductions from our productivity, restructuring and other cost saving initiatives, favorable volume and decreased inventory management costs. These impacts were partially offset by cost inflation, increased spending on strategic investments, increased employee-related costs and negative foreign currency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4" w:name="page45"/>
    <w:bookmarkEnd w:id="44"/>
    <w:p>
      <w:pPr>
        <w:ind w:right="60"/>
        <w:spacing w:after="0" w:line="252" w:lineRule="auto"/>
        <w:rPr>
          <w:sz w:val="20"/>
          <w:szCs w:val="20"/>
          <w:color w:val="auto"/>
        </w:rPr>
      </w:pPr>
      <w:r>
        <w:rPr>
          <w:rFonts w:ascii="Arial" w:cs="Arial" w:eastAsia="Arial" w:hAnsi="Arial"/>
          <w:sz w:val="18"/>
          <w:szCs w:val="18"/>
          <w:color w:val="auto"/>
        </w:rPr>
        <w:t>For the six months ended June 30, 2021, operating income for our Water Infrastructure segment increased $52 million, or 46.4%, as compared to the prior year, with operating margin also increasing from 11.9% to 15.2%. Operating margin benefited from a decrease in restructuring and realignment costs of $4 million in 2021. Excluding these restructuring and realignment costs, adjusted operating income increased $48 million, or 38.4%, with adjusted operating margin increasing from 13.3% to 16.0%. The increase in adjusted operating margin during the period was primarily due to cost reductions from our productivity, restructuring and other cost saving initiatives and favorable volume. These impacts were partially offset by cost inflation, increased spending on strategic investments, increased employee-related costs and other lesser impacts.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Operating income for our Applied Water segment increased $23 million, or 56.1%, for the second quarter of 2021 compared to the prior year, with operating margin also increasing from 12.2% to 15.5%. Operating margin benefited from a decrease in restructuring and realignment costs of $2 million during the quarter. Excluding these restructuring and realignment costs, adjusted operating income increased $21 million, or 46.7%, with adjusted operating margin increasing from 13.4% to 15.9%. The increase in adjusted operating margin for the quarter was primarily due to favorable volume, impacted by COVID-19 recovery, and cost reductions from our productivity, restructuring and other cost saving initiatives. These impacts were partially offset by cost inflation, increased logistics costs, increased employee-related costs and increased spending on strategic investments.</w:t>
      </w:r>
    </w:p>
    <w:p>
      <w:pPr>
        <w:spacing w:after="0" w:line="9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six months ended June 30, 2021, operating income for our Applied Water segment increased $ 42 million, or 47.7%, as compared to the prior year, with operating margin also increasing from 13.0% to 16.1%. Operating margin benefited from a decrease in restructuring and realignment costs of $3 million during the year which was partially offset by $1 million of special charges incurred in 2021. Excluding these items, adjusted operating income increased $40 million, or 42.6%, with adjusted operating margin increasing from 13.9% to 16.6%. The increase in adjusted operating margin during the period was primarily due to cost reductions from our productivity, restructuring and other cost saving initiatives and favorable volume, impacted by COVID-19 recovery. These impacts were partially offset by cost inflation, increased logistics costs, increased spending on strategic investments and increased employee-related costs.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income for our Measurement &amp; Control Solutions segment increased $59 million, or 128.3%, for the second quarter of 2021 compared to the prior year, with operating margin increasing from (14.3)% to 3.5%. Operating margin benefited from $31 million of restructuring and realignment costs and $10 million of special charges that were incurred during 2020 that did not recur during the quarter. Excluding these items, adjusted operating income increased $18 million, or 360.0%, with adjusted operating margin increasing from (1.6)% to 3.5%. The increase in adjusted operating margin for the quarter was primarily due to cost reductions from our restructuring, productivity and other cost saving initiatives, favorable volume, impacted by COVID-19 recovery, and favorable mix. These impacts were partially offset by cost inflation, increased spending on strategic investments and increased employee-related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2021, operating income for our Measurement &amp; Control Solutions segment increased $80 million, or</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137.9%, as compared to the prior year, with operating margin increasing from (8.7)% to 3.0%. Operating margin benefited from a decrease in restructuring and realignment costs of $31 million during the year and $10 million of special charges incurred in 2020 that did not recur. Excluding these items, adjusted operating income increased $39 million, or 260.0%, with adjusted operating margin increasing from (2.2)% to 3.3%. The increase in adjusted operating margin during the period was primarily due to cost reductions from our restructuring, productivity and other cost saving initiatives, decreased quality management costs, primarily due to a specific warranty charge recorded during the prior year that did not recur related to a firmware issue that was identified and addressed timely, favorable volume, driven by COVID-19 recovery and favorable mix. These impacts were partially offset by cost inflation, increased spending on strategic investments, increased employee-related costs and other lesser impacts.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3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Operating loss for corporate and other decreased $ 4 million, or 28.6%, during the second quarter of 2021 compared to the prior year period. For the six months ended June 30, 2021, operating loss for corporate and other decreased $4 million, or 14.8%, compared to the same prior year period. The decreases in cost are driven by reduced costs related to COVID-19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Interest expense was $21 million and $42 million for the three and six months ended June 30, 2021 and $18 million and $34 million for the three and six months ended June 30, 2020. The increase in interest expense for both periods is primarily driven by the issuance of our Green Bond during the second quarter of 2020. See Note 10, "Credit Facilities and Debt", of our condensed consolidated financial statements for a description of our credit facilities and long-term debt and related interest.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income tax provision for the three months ended June 30, 2021 was $25 million resulting in an effective tax rate of 18.5%, compared to a $4 million expense resulting in an effective tax rate of 10.9% for the same period in 2020. The income tax provision for the six months ended June 30, 2021 was $52 million resulting in an effective tax rate of 20.7%, compared to a $8 million expense resulting in an effective tax rate of 10.4% for the same period in 2020. The effective tax rate for the three and six month periods ended June 30, 2021 was lower than the U.S. federal statutory rate primarily due to favorable earnings mix, partially offset by the Global Intangible Low Taxed Income ("GILTI") inclusion. Additionally, the effective tax rate for the three and six month periods ended June 30, 2021 differ from the same periods in 2020 due to unfavorable earnings mix as compared to the prior year and favorable equity compensation deductions in the prior year. The effective tax rate for the six month period ended June 30, 2021 differs from the same period in 2020 due to the impact of tax settlements in the current period.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June 30,</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23"/>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r>
      <w:tr>
        <w:trPr>
          <w:trHeight w:val="230"/>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(a)</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340" w:right="140" w:hanging="332"/>
        <w:spacing w:after="0" w:line="260"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impact is primarily due to the strengthening of the Canadian Dollar, the Chinese Yuan, the Russian Ruble and various other currencies against the U.S. Dollar.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cash provided by operating activities was $206 million for the six months ended June 30, 2021 as compared to $179 million in the comparable prior year period. This increase was primarily driven by increased net cash earnings, partially offset by higher tax payments and increased working capital levels to support year-over-year growth.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Cash used in investing activities was $69 million for the six months ended June 30, 2021 as compared to $88 million in the comparable prior year period. This decrease in cash used of $19 million was mainly driven by lower spending on capital expenditures compared to the prior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Cash used by financing activities was $162 million for the six months ended June 30, 2021 as compared to cash generated of $774 million in the comparable prior year period. This net decrease in cash generated by financing activities during the period was primarily driven by the issuance of our Green Bond and higher levels of short-term debt during the prior year period, partially offset by the repayment of short-term debt during 2020 and an increase in share repurchase activity of $8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39"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As a result of uncertainties caused by the COVID-19 pandemic, we continue to evaluate aspects of our spending, including capital expenditures, strategic investments and dividends. We will continue to evaluate aspects of our spending as the year progresses and anticipate our capital expenditures will gradually begin to increase to normal levels during the year as the markets we operate in recover.</w:t>
      </w: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Historically, we have generated operating cash flow sufficient to fund our primary cash needs. We will continue to monitor the economic effects of the COVID-19 pandemic and its impact on the Company's future operating cash flows going forward. 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10, "Credit Facilities and Debt", of our condensed consolidated financial statements for a description of limitations on obtaining additional funding.</w:t>
      </w:r>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As of June 30, 2021, the COVID-19 pandemic has not materially impacted our borrowing costs or other costs of capital, however the future impact of the COVID-19 pandemic is uncertain and may increase our borrowing costs and other costs of capital and otherwise adversely affect our business, results of operations, financial condition and liquidity.</w:t>
      </w:r>
    </w:p>
    <w:p>
      <w:pPr>
        <w:spacing w:after="0" w:line="96" w:lineRule="exact"/>
        <w:rPr>
          <w:sz w:val="20"/>
          <w:szCs w:val="20"/>
          <w:color w:val="auto"/>
        </w:rPr>
      </w:pPr>
    </w:p>
    <w:p>
      <w:pPr>
        <w:jc w:val="both"/>
        <w:ind w:right="120"/>
        <w:spacing w:after="0" w:line="252" w:lineRule="auto"/>
        <w:rPr>
          <w:sz w:val="20"/>
          <w:szCs w:val="20"/>
          <w:color w:val="auto"/>
        </w:rPr>
      </w:pPr>
      <w:r>
        <w:rPr>
          <w:rFonts w:ascii="Arial" w:cs="Arial" w:eastAsia="Arial" w:hAnsi="Arial"/>
          <w:sz w:val="18"/>
          <w:szCs w:val="18"/>
          <w:color w:val="auto"/>
        </w:rPr>
        <w:t>We have considered the impacts of the COVID-19 pandemic on our liquidity and capital resources and do not currently expect it to impact our ability to meet future liquidity needs or continue to comply with debt covenants. Based on our current global cash positions, cash flows from operations and access to the capital markets, we believe there is sufficient liquidity to meet our funding requirements and service debt and other obligations in both the U.S. and outside of the U.S. during the year. In addition, we believe our existing committed credit facilities and access to the public debt markets would provide further liquidity if required. Currently, we have available liquidity of approximately $2.6 billion, consisting of $1.8 billion of cash and $800 million of available credit facilities as disclosed in Note 10, "Credit Facilities and Debt", of our condensed consolidated financial statements. Our debt repayment obligations in 2021 consist of $600 million in Senior Notes, which we expect to pay out of cash. Our next long-term debt maturity is March 2023.</w:t>
      </w:r>
    </w:p>
    <w:p>
      <w:pPr>
        <w:spacing w:after="0" w:line="97" w:lineRule="exact"/>
        <w:rPr>
          <w:sz w:val="20"/>
          <w:szCs w:val="20"/>
          <w:color w:val="auto"/>
        </w:rPr>
      </w:pPr>
    </w:p>
    <w:p>
      <w:pPr>
        <w:ind w:right="160"/>
        <w:spacing w:after="0" w:line="375" w:lineRule="auto"/>
        <w:rPr>
          <w:sz w:val="20"/>
          <w:szCs w:val="20"/>
          <w:color w:val="auto"/>
        </w:rPr>
      </w:pPr>
      <w:r>
        <w:rPr>
          <w:rFonts w:ascii="Arial" w:cs="Arial" w:eastAsia="Arial" w:hAnsi="Arial"/>
          <w:sz w:val="18"/>
          <w:szCs w:val="18"/>
          <w:color w:val="auto"/>
        </w:rPr>
        <w:t xml:space="preserve">Risk related to these items are described in our risk factor disclosures referenced under “Item 1A. Risk Factors" in our 2020 Annual Report. </w:t>
      </w:r>
      <w:r>
        <w:rPr>
          <w:rFonts w:ascii="Arial" w:cs="Arial" w:eastAsia="Arial" w:hAnsi="Arial"/>
          <w:sz w:val="18"/>
          <w:szCs w:val="18"/>
          <w:i w:val="1"/>
          <w:iCs w:val="1"/>
          <w:color w:val="auto"/>
        </w:rPr>
        <w:t>Credit Facilities &amp; Long-Term Contractual Commitments</w:t>
      </w:r>
    </w:p>
    <w:p>
      <w:pPr>
        <w:spacing w:after="0" w:line="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See Note 10, "Credit Facilities and Debt", of our condensed consolidated financial statements for a description of our credit facilities and long-term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generated approximately 56% of our revenue from non-U.S. operations for both the three and six months ended June 30, 2021 and approximately 51% and 50% for the three and six months ended June 30, 2020, respectively. As we continue to grow our operations in the emerging markets and elsewhere outside of the U.S., we expect to continue to generate significant revenue from non-U.S. operations and expect that a substantial portion of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 As of June 30, 2021, we have provided a deferred tax liability of $6 million for net foreign withholding taxes and state income taxes on $235 million of earnings expected to be repatriated to the U.S. parent as deemed necessary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particularly at this time and moving forward given the uncertainty around the magnitude and duration of the COVID-19 pandemic. Management’s Discussion and Analysis of Financial Condition and Results of Operations in the 2020 Annual Report describes the critical accounting estimates used in preparation of the condensed consolidated financial statements. Actual results in these areas could differ from management’s estimates. Other than as discussed below, there have been no significant changes in the information concerning our critical accounting estimates as stated in our 2020 Annual Report.</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third quarter of 2020, management updated forecasts of future cash flows for the Advanced Infrastructure Analytics ("AIA") businesses, which reflected significant negative volume impacts from the COVID-19 pandemic, primarily on our assessment services business. Our ongoing investment in the AIA businesses also continues to impact near-term profitability. Based on these factors, we determined that there were indicators that the AIA reporting unit’s goodwill may be impaired, and accordingly, we performed an interim goodwill impairment test as of July 1, 2020. The results of the impairment test showed that the fair value of the AIA reporting unit was lower than the carrying value, resulting in a $58 million goodwill impairment charge. As of June 30, 2021, the remaining goodwill balance in our AIA reporting unit after recording the goodwill impairment charge was $112 million.</w:t>
      </w:r>
    </w:p>
    <w:p>
      <w:pPr>
        <w:spacing w:after="0" w:line="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uncertainty of the future impact of the COVID-19 pandemic may also contribute to further deterioration of our future cash flows. If we do not achieve our forecasts, it is possible that the goodwill of the AIA reporting unit could be deemed to be impaired again in a future period. The risks and potential impacts of COVID-19 on the fair value of our assets are included in our risk factor disclosures referenced under “Item 1A. Risk Factors" in the Company's 2020 Annual Report.</w:t>
      </w:r>
    </w:p>
    <w:p>
      <w:pPr>
        <w:spacing w:after="0" w:line="200" w:lineRule="exact"/>
        <w:rPr>
          <w:sz w:val="20"/>
          <w:szCs w:val="20"/>
          <w:color w:val="auto"/>
        </w:rPr>
      </w:pP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concerning market risk as stated in our 2020 Annual Report.</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 See Note 16, "Commitments and Contingencies", to the condensed consolidated financial statements for further information and any updates.</w:t>
      </w:r>
    </w:p>
    <w:p>
      <w:pPr>
        <w:spacing w:after="0" w:line="200" w:lineRule="exact"/>
        <w:rPr>
          <w:sz w:val="20"/>
          <w:szCs w:val="20"/>
          <w:color w:val="auto"/>
        </w:rPr>
      </w:pPr>
    </w:p>
    <w:p>
      <w:pPr>
        <w:spacing w:after="0" w:line="22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Risk Factors" of our 2020 Annual Report.</w:t>
      </w:r>
    </w:p>
    <w:p>
      <w:pPr>
        <w:spacing w:after="0" w:line="200" w:lineRule="exact"/>
        <w:rPr>
          <w:sz w:val="20"/>
          <w:szCs w:val="20"/>
          <w:color w:val="auto"/>
        </w:rPr>
      </w:pPr>
    </w:p>
    <w:p>
      <w:pPr>
        <w:spacing w:after="0" w:line="24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3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June 30, 2021:</w:t>
      </w:r>
    </w:p>
    <w:tbl>
      <w:tblPr>
        <w:tblLayout w:type="fixed"/>
        <w:tblInd w:w="0" w:type="dxa"/>
        <w:tblCellMar>
          <w:top w:w="0" w:type="dxa"/>
          <w:left w:w="0" w:type="dxa"/>
          <w:bottom w:w="0" w:type="dxa"/>
          <w:right w:w="0" w:type="dxa"/>
        </w:tblCellMar>
      </w:tblPr>
      <w:tr>
        <w:trPr>
          <w:trHeight w:val="158"/>
        </w:trPr>
        <w:tc>
          <w:tcPr>
            <w:tcW w:w="27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TOTAL NUMBER OF</w:t>
            </w:r>
          </w:p>
        </w:tc>
        <w:tc>
          <w:tcPr>
            <w:tcW w:w="2080" w:type="dxa"/>
            <w:vAlign w:val="bottom"/>
          </w:tcPr>
          <w:p>
            <w:pPr>
              <w:jc w:val="center"/>
              <w:ind w:left="1"/>
              <w:spacing w:after="0" w:line="158"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 AS</w:t>
            </w:r>
          </w:p>
        </w:tc>
        <w:tc>
          <w:tcPr>
            <w:tcW w:w="2080" w:type="dxa"/>
            <w:vAlign w:val="bottom"/>
          </w:tcPr>
          <w:p>
            <w:pPr>
              <w:jc w:val="center"/>
              <w:ind w:left="21"/>
              <w:spacing w:after="0" w:line="13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2760" w:type="dxa"/>
            <w:vAlign w:val="bottom"/>
            <w:vMerge w:val="continue"/>
          </w:tcPr>
          <w:p>
            <w:pPr>
              <w:spacing w:after="0"/>
              <w:rPr>
                <w:sz w:val="11"/>
                <w:szCs w:val="11"/>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PART OF PUBLICLY</w:t>
            </w:r>
          </w:p>
        </w:tc>
        <w:tc>
          <w:tcPr>
            <w:tcW w:w="2080" w:type="dxa"/>
            <w:vAlign w:val="bottom"/>
          </w:tcPr>
          <w:p>
            <w:pPr>
              <w:jc w:val="center"/>
              <w:ind w:left="21"/>
              <w:spacing w:after="0" w:line="135"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27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2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 OR</w:t>
            </w:r>
          </w:p>
        </w:tc>
        <w:tc>
          <w:tcPr>
            <w:tcW w:w="2080" w:type="dxa"/>
            <w:vAlign w:val="bottom"/>
          </w:tcPr>
          <w:p>
            <w:pPr>
              <w:jc w:val="center"/>
              <w:ind w:left="21"/>
              <w:spacing w:after="0" w:line="13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76"/>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4/1/21 - 4/30/21</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$228</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5/1/21 - 5/31/21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Pr>
          <w:p>
            <w:pPr>
              <w:jc w:val="center"/>
              <w:ind w:left="1"/>
              <w:spacing w:after="0"/>
              <w:rPr>
                <w:sz w:val="20"/>
                <w:szCs w:val="20"/>
                <w:color w:val="auto"/>
              </w:rPr>
            </w:pPr>
            <w:r>
              <w:rPr>
                <w:rFonts w:ascii="Arial" w:cs="Arial" w:eastAsia="Arial" w:hAnsi="Arial"/>
                <w:sz w:val="18"/>
                <w:szCs w:val="18"/>
                <w:b w:val="1"/>
                <w:bCs w:val="1"/>
                <w:color w:val="auto"/>
                <w:w w:val="99"/>
              </w:rPr>
              <w:t>$228</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6/1/21 - 6/30/21</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$228</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40" w:right="400"/>
        <w:spacing w:after="0" w:line="260"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87"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13" w:lineRule="exact"/>
        <w:rPr>
          <w:rFonts w:ascii="Arial" w:cs="Arial" w:eastAsia="Arial" w:hAnsi="Arial"/>
          <w:sz w:val="16"/>
          <w:szCs w:val="16"/>
          <w:color w:val="auto"/>
        </w:rPr>
      </w:pPr>
    </w:p>
    <w:p>
      <w:pPr>
        <w:ind w:left="340" w:right="40" w:hanging="332"/>
        <w:spacing w:after="0" w:line="251" w:lineRule="auto"/>
        <w:tabs>
          <w:tab w:leader="none" w:pos="3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August 24, 2015, our Board of Directors authorized the repurchase of up to $500 million in shares with no expiration date. The program's objective is to deploy our capital in a manner that benefits our shareholders and maintains our focus on growth. There were no shares repurchased under this program during the three months ended June 30, 2021. There are up to $228 million in shares that may still be purchased under this plan as of June 30, 2021.</w:t>
      </w:r>
    </w:p>
    <w:p>
      <w:pPr>
        <w:spacing w:after="0" w:line="31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XYLEM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5"/>
          </w:tcPr>
          <w:p>
            <w:pPr>
              <w:jc w:val="cente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488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534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75"/>
        </w:trPr>
        <w:tc>
          <w:tcPr>
            <w:tcW w:w="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5"/>
                <w:szCs w:val="15"/>
                <w:color w:val="auto"/>
              </w:rPr>
            </w:pPr>
          </w:p>
        </w:tc>
        <w:tc>
          <w:tcPr>
            <w:tcW w:w="4880" w:type="dxa"/>
            <w:vAlign w:val="bottom"/>
            <w:tcBorders>
              <w:bottom w:val="single" w:sz="8" w:color="auto"/>
            </w:tcBorders>
            <w:vMerge w:val="continue"/>
          </w:tcPr>
          <w:p>
            <w:pPr>
              <w:spacing w:after="0"/>
              <w:rPr>
                <w:sz w:val="15"/>
                <w:szCs w:val="15"/>
                <w:color w:val="auto"/>
              </w:rPr>
            </w:pPr>
          </w:p>
        </w:tc>
        <w:tc>
          <w:tcPr>
            <w:tcW w:w="5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00" w:type="dxa"/>
            <w:vAlign w:val="bottom"/>
            <w:gridSpan w:val="4"/>
          </w:tcPr>
          <w:p>
            <w:pPr>
              <w:jc w:val="center"/>
              <w:ind w:left="174"/>
              <w:spacing w:after="0"/>
              <w:rPr>
                <w:rFonts w:ascii="Arial" w:cs="Arial" w:eastAsia="Arial" w:hAnsi="Arial"/>
                <w:sz w:val="18"/>
                <w:szCs w:val="18"/>
                <w:color w:val="0000FF"/>
              </w:rPr>
            </w:pPr>
            <w:hyperlink r:id="rId71">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Fourth Amended and Restated Articles of Incorporation of</w:t>
            </w:r>
          </w:p>
        </w:tc>
        <w:tc>
          <w:tcPr>
            <w:tcW w:w="5340" w:type="dxa"/>
            <w:vAlign w:val="bottom"/>
          </w:tcPr>
          <w:p>
            <w:pPr>
              <w:ind w:left="100"/>
              <w:spacing w:after="0"/>
              <w:rPr>
                <w:sz w:val="20"/>
                <w:szCs w:val="20"/>
                <w:color w:val="auto"/>
              </w:rPr>
            </w:pPr>
            <w:r>
              <w:rPr>
                <w:rFonts w:ascii="Arial" w:cs="Arial" w:eastAsia="Arial" w:hAnsi="Arial"/>
                <w:sz w:val="18"/>
                <w:szCs w:val="18"/>
                <w:color w:val="auto"/>
              </w:rPr>
              <w:t>Incorporated by reference to Exhibit 3.1 of Xylem Inc.’s Form 8-K</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ind w:left="80"/>
              <w:spacing w:after="0" w:line="197" w:lineRule="exact"/>
              <w:rPr>
                <w:sz w:val="20"/>
                <w:szCs w:val="20"/>
                <w:color w:val="auto"/>
              </w:rPr>
            </w:pPr>
            <w:r>
              <w:rPr>
                <w:rFonts w:ascii="Arial" w:cs="Arial" w:eastAsia="Arial" w:hAnsi="Arial"/>
                <w:sz w:val="18"/>
                <w:szCs w:val="18"/>
                <w:color w:val="auto"/>
              </w:rPr>
              <w:t>Xylem Inc.</w:t>
            </w:r>
          </w:p>
        </w:tc>
        <w:tc>
          <w:tcPr>
            <w:tcW w:w="5340" w:type="dxa"/>
            <w:vAlign w:val="bottom"/>
          </w:tcPr>
          <w:p>
            <w:pPr>
              <w:ind w:left="100"/>
              <w:spacing w:after="0" w:line="197" w:lineRule="exact"/>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242"/>
        </w:trPr>
        <w:tc>
          <w:tcPr>
            <w:tcW w:w="600" w:type="dxa"/>
            <w:vAlign w:val="bottom"/>
            <w:gridSpan w:val="4"/>
          </w:tcPr>
          <w:p>
            <w:pPr>
              <w:jc w:val="center"/>
              <w:ind w:left="174"/>
              <w:spacing w:after="0"/>
              <w:rPr>
                <w:rFonts w:ascii="Arial" w:cs="Arial" w:eastAsia="Arial" w:hAnsi="Arial"/>
                <w:sz w:val="18"/>
                <w:szCs w:val="18"/>
                <w:color w:val="0000FF"/>
              </w:rPr>
            </w:pPr>
            <w:hyperlink r:id="rId72">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Fourth Amended and Restated By-laws of Xylem Inc.</w:t>
            </w:r>
          </w:p>
        </w:tc>
        <w:tc>
          <w:tcPr>
            <w:tcW w:w="5340" w:type="dxa"/>
            <w:vAlign w:val="bottom"/>
          </w:tcPr>
          <w:p>
            <w:pPr>
              <w:ind w:left="100"/>
              <w:spacing w:after="0"/>
              <w:rPr>
                <w:sz w:val="20"/>
                <w:szCs w:val="20"/>
                <w:color w:val="auto"/>
              </w:rPr>
            </w:pPr>
            <w:r>
              <w:rPr>
                <w:rFonts w:ascii="Arial" w:cs="Arial" w:eastAsia="Arial" w:hAnsi="Arial"/>
                <w:sz w:val="18"/>
                <w:szCs w:val="18"/>
                <w:color w:val="auto"/>
              </w:rPr>
              <w:t>Incorporated by reference to Exhibit 3.2 of Xylem Inc.’s Form 8-K</w:t>
            </w: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5340" w:type="dxa"/>
            <w:vAlign w:val="bottom"/>
          </w:tcPr>
          <w:p>
            <w:pPr>
              <w:ind w:left="100"/>
              <w:spacing w:after="0" w:line="197" w:lineRule="exact"/>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242"/>
        </w:trPr>
        <w:tc>
          <w:tcPr>
            <w:tcW w:w="780" w:type="dxa"/>
            <w:vAlign w:val="bottom"/>
            <w:gridSpan w:val="5"/>
          </w:tcPr>
          <w:p>
            <w:pPr>
              <w:jc w:val="center"/>
              <w:spacing w:after="0"/>
              <w:rPr>
                <w:rFonts w:ascii="Arial" w:cs="Arial" w:eastAsia="Arial" w:hAnsi="Arial"/>
                <w:sz w:val="18"/>
                <w:szCs w:val="18"/>
                <w:color w:val="0000FF"/>
                <w:w w:val="96"/>
              </w:rPr>
            </w:pPr>
            <w:hyperlink w:anchor="page52">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80" w:type="dxa"/>
            <w:vAlign w:val="bottom"/>
          </w:tcPr>
          <w:p>
            <w:pPr>
              <w:ind w:left="80"/>
              <w:spacing w:after="0"/>
              <w:rPr>
                <w:sz w:val="20"/>
                <w:szCs w:val="20"/>
                <w:color w:val="auto"/>
              </w:rPr>
            </w:pPr>
            <w:r>
              <w:rPr>
                <w:rFonts w:ascii="Arial" w:cs="Arial" w:eastAsia="Arial" w:hAnsi="Arial"/>
                <w:sz w:val="18"/>
                <w:szCs w:val="18"/>
                <w:color w:val="auto"/>
              </w:rPr>
              <w:t>Form of Xylem 2011 Omnibus Incentive Plan Non-Qualified</w:t>
            </w:r>
          </w:p>
        </w:tc>
        <w:tc>
          <w:tcPr>
            <w:tcW w:w="534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80" w:type="dxa"/>
            <w:vAlign w:val="bottom"/>
          </w:tcPr>
          <w:p>
            <w:pPr>
              <w:ind w:left="80"/>
              <w:spacing w:after="0" w:line="156" w:lineRule="exact"/>
              <w:rPr>
                <w:sz w:val="20"/>
                <w:szCs w:val="20"/>
                <w:color w:val="auto"/>
              </w:rPr>
            </w:pPr>
            <w:r>
              <w:rPr>
                <w:rFonts w:ascii="Arial" w:cs="Arial" w:eastAsia="Arial" w:hAnsi="Arial"/>
                <w:sz w:val="18"/>
                <w:szCs w:val="18"/>
                <w:color w:val="auto"/>
              </w:rPr>
              <w:t>Stock Option Award Agreement for Certain Executives and</w:t>
            </w:r>
          </w:p>
        </w:tc>
        <w:tc>
          <w:tcPr>
            <w:tcW w:w="5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80" w:type="dxa"/>
            <w:vAlign w:val="bottom"/>
          </w:tcPr>
          <w:p>
            <w:pPr>
              <w:ind w:left="80"/>
              <w:spacing w:after="0" w:line="176" w:lineRule="exact"/>
              <w:rPr>
                <w:sz w:val="20"/>
                <w:szCs w:val="20"/>
                <w:color w:val="auto"/>
              </w:rPr>
            </w:pPr>
            <w:r>
              <w:rPr>
                <w:rFonts w:ascii="Arial" w:cs="Arial" w:eastAsia="Arial" w:hAnsi="Arial"/>
                <w:sz w:val="18"/>
                <w:szCs w:val="18"/>
                <w:color w:val="auto"/>
              </w:rPr>
              <w:t>Executive Officers as Approved by the Leadership</w:t>
            </w:r>
          </w:p>
        </w:tc>
        <w:tc>
          <w:tcPr>
            <w:tcW w:w="5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Development &amp; Compensation Committee</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80" w:type="dxa"/>
            <w:vAlign w:val="bottom"/>
            <w:gridSpan w:val="5"/>
          </w:tcPr>
          <w:p>
            <w:pPr>
              <w:jc w:val="center"/>
              <w:spacing w:after="0"/>
              <w:rPr>
                <w:rFonts w:ascii="Arial" w:cs="Arial" w:eastAsia="Arial" w:hAnsi="Arial"/>
                <w:sz w:val="18"/>
                <w:szCs w:val="18"/>
                <w:color w:val="0000FF"/>
                <w:w w:val="96"/>
              </w:rPr>
            </w:pPr>
            <w:hyperlink w:anchor="page58">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240" w:type="dxa"/>
            <w:vAlign w:val="bottom"/>
          </w:tcPr>
          <w:p>
            <w:pPr>
              <w:spacing w:after="0"/>
              <w:rPr>
                <w:sz w:val="21"/>
                <w:szCs w:val="21"/>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Certification pursuant to Rule 13a-14(a)/15d-14(a) of the</w:t>
            </w:r>
          </w:p>
        </w:tc>
        <w:tc>
          <w:tcPr>
            <w:tcW w:w="534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80" w:type="dxa"/>
            <w:vAlign w:val="bottom"/>
          </w:tcPr>
          <w:p>
            <w:pPr>
              <w:ind w:left="80"/>
              <w:spacing w:after="0" w:line="156" w:lineRule="exact"/>
              <w:rPr>
                <w:sz w:val="20"/>
                <w:szCs w:val="20"/>
                <w:color w:val="auto"/>
              </w:rPr>
            </w:pPr>
            <w:r>
              <w:rPr>
                <w:rFonts w:ascii="Arial" w:cs="Arial" w:eastAsia="Arial" w:hAnsi="Arial"/>
                <w:sz w:val="18"/>
                <w:szCs w:val="18"/>
                <w:color w:val="auto"/>
              </w:rPr>
              <w:t>Securities Exchange Act of 1934, as adopted pursuant to</w:t>
            </w:r>
          </w:p>
        </w:tc>
        <w:tc>
          <w:tcPr>
            <w:tcW w:w="5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Section 302 of the Sarbanes-Oxley Act of 2002</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80" w:type="dxa"/>
            <w:vAlign w:val="bottom"/>
            <w:gridSpan w:val="5"/>
          </w:tcPr>
          <w:p>
            <w:pPr>
              <w:jc w:val="center"/>
              <w:spacing w:after="0"/>
              <w:rPr>
                <w:rFonts w:ascii="Arial" w:cs="Arial" w:eastAsia="Arial" w:hAnsi="Arial"/>
                <w:sz w:val="18"/>
                <w:szCs w:val="18"/>
                <w:color w:val="0000FF"/>
                <w:w w:val="96"/>
              </w:rPr>
            </w:pPr>
            <w:hyperlink w:anchor="page59">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240" w:type="dxa"/>
            <w:vAlign w:val="bottom"/>
          </w:tcPr>
          <w:p>
            <w:pPr>
              <w:spacing w:after="0"/>
              <w:rPr>
                <w:sz w:val="21"/>
                <w:szCs w:val="21"/>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Certification pursuant to Rule 13a-14(a)/15d-14(a) of the</w:t>
            </w:r>
          </w:p>
        </w:tc>
        <w:tc>
          <w:tcPr>
            <w:tcW w:w="5340" w:type="dxa"/>
            <w:vAlign w:val="bottom"/>
          </w:tcPr>
          <w:p>
            <w:pPr>
              <w:ind w:left="10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80" w:type="dxa"/>
            <w:vAlign w:val="bottom"/>
          </w:tcPr>
          <w:p>
            <w:pPr>
              <w:ind w:left="80"/>
              <w:spacing w:after="0" w:line="156" w:lineRule="exact"/>
              <w:rPr>
                <w:sz w:val="20"/>
                <w:szCs w:val="20"/>
                <w:color w:val="auto"/>
              </w:rPr>
            </w:pPr>
            <w:r>
              <w:rPr>
                <w:rFonts w:ascii="Arial" w:cs="Arial" w:eastAsia="Arial" w:hAnsi="Arial"/>
                <w:sz w:val="18"/>
                <w:szCs w:val="18"/>
                <w:color w:val="auto"/>
              </w:rPr>
              <w:t>Securities Exchange Act of 1934, as adopted pursuant to</w:t>
            </w:r>
          </w:p>
        </w:tc>
        <w:tc>
          <w:tcPr>
            <w:tcW w:w="5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Section 302 of the Sarbanes-Oxley Act of 2002</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80" w:type="dxa"/>
            <w:vAlign w:val="bottom"/>
            <w:gridSpan w:val="5"/>
          </w:tcPr>
          <w:p>
            <w:pPr>
              <w:jc w:val="center"/>
              <w:spacing w:after="0"/>
              <w:rPr>
                <w:rFonts w:ascii="Arial" w:cs="Arial" w:eastAsia="Arial" w:hAnsi="Arial"/>
                <w:sz w:val="18"/>
                <w:szCs w:val="18"/>
                <w:color w:val="0000FF"/>
                <w:w w:val="96"/>
              </w:rPr>
            </w:pPr>
            <w:hyperlink w:anchor="page60">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240" w:type="dxa"/>
            <w:vAlign w:val="bottom"/>
          </w:tcPr>
          <w:p>
            <w:pPr>
              <w:spacing w:after="0"/>
              <w:rPr>
                <w:sz w:val="21"/>
                <w:szCs w:val="21"/>
                <w:color w:val="auto"/>
              </w:rPr>
            </w:pPr>
          </w:p>
        </w:tc>
        <w:tc>
          <w:tcPr>
            <w:tcW w:w="10220" w:type="dxa"/>
            <w:vAlign w:val="bottom"/>
            <w:gridSpan w:val="2"/>
          </w:tcPr>
          <w:p>
            <w:pPr>
              <w:ind w:left="80"/>
              <w:spacing w:after="0"/>
              <w:rPr>
                <w:sz w:val="20"/>
                <w:szCs w:val="20"/>
                <w:color w:val="auto"/>
              </w:rPr>
            </w:pPr>
            <w:r>
              <w:rPr>
                <w:rFonts w:ascii="Arial" w:cs="Arial" w:eastAsia="Arial" w:hAnsi="Arial"/>
                <w:sz w:val="18"/>
                <w:szCs w:val="18"/>
                <w:color w:val="auto"/>
              </w:rPr>
              <w:t>Certification Pursuant to 18 U.S.C. Section 1350, as adopted This Exhibit is intended to be furnished in accordance with</w:t>
            </w: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80" w:type="dxa"/>
            <w:vAlign w:val="bottom"/>
          </w:tcPr>
          <w:p>
            <w:pPr>
              <w:ind w:left="80"/>
              <w:spacing w:after="0" w:line="156" w:lineRule="exact"/>
              <w:rPr>
                <w:sz w:val="20"/>
                <w:szCs w:val="20"/>
                <w:color w:val="auto"/>
              </w:rPr>
            </w:pPr>
            <w:r>
              <w:rPr>
                <w:rFonts w:ascii="Arial" w:cs="Arial" w:eastAsia="Arial" w:hAnsi="Arial"/>
                <w:sz w:val="18"/>
                <w:szCs w:val="18"/>
                <w:color w:val="auto"/>
              </w:rPr>
              <w:t>pursuant to Section 906 of the Sarbanes-Oxley Act of 2002</w:t>
            </w:r>
          </w:p>
        </w:tc>
        <w:tc>
          <w:tcPr>
            <w:tcW w:w="5340" w:type="dxa"/>
            <w:vAlign w:val="bottom"/>
          </w:tcPr>
          <w:p>
            <w:pPr>
              <w:ind w:left="100"/>
              <w:spacing w:after="0" w:line="156" w:lineRule="exact"/>
              <w:rPr>
                <w:sz w:val="20"/>
                <w:szCs w:val="20"/>
                <w:color w:val="auto"/>
              </w:rPr>
            </w:pPr>
            <w:r>
              <w:rPr>
                <w:rFonts w:ascii="Arial" w:cs="Arial" w:eastAsia="Arial" w:hAnsi="Arial"/>
                <w:sz w:val="18"/>
                <w:szCs w:val="18"/>
                <w:color w:val="auto"/>
              </w:rPr>
              <w:t>Regulation S-K Item 601(b) (32) (ii) and shall not be deemed to</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5340" w:type="dxa"/>
            <w:vAlign w:val="bottom"/>
          </w:tcPr>
          <w:p>
            <w:pPr>
              <w:ind w:left="100"/>
              <w:spacing w:after="0" w:line="176" w:lineRule="exact"/>
              <w:rPr>
                <w:sz w:val="20"/>
                <w:szCs w:val="20"/>
                <w:color w:val="auto"/>
              </w:rPr>
            </w:pPr>
            <w:r>
              <w:rPr>
                <w:rFonts w:ascii="Arial" w:cs="Arial" w:eastAsia="Arial" w:hAnsi="Arial"/>
                <w:sz w:val="18"/>
                <w:szCs w:val="18"/>
                <w:color w:val="auto"/>
              </w:rPr>
              <w:t>be filed for purposes of Section 18 of the Securities Exchange</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5340" w:type="dxa"/>
            <w:vAlign w:val="bottom"/>
          </w:tcPr>
          <w:p>
            <w:pPr>
              <w:ind w:left="100"/>
              <w:spacing w:after="0" w:line="176" w:lineRule="exact"/>
              <w:rPr>
                <w:sz w:val="20"/>
                <w:szCs w:val="20"/>
                <w:color w:val="auto"/>
              </w:rPr>
            </w:pPr>
            <w:r>
              <w:rPr>
                <w:rFonts w:ascii="Arial" w:cs="Arial" w:eastAsia="Arial" w:hAnsi="Arial"/>
                <w:sz w:val="18"/>
                <w:szCs w:val="18"/>
                <w:color w:val="auto"/>
              </w:rPr>
              <w:t>Act of 1934 or incorporated by reference into any filing under the</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5340" w:type="dxa"/>
            <w:vAlign w:val="bottom"/>
          </w:tcPr>
          <w:p>
            <w:pPr>
              <w:ind w:left="100"/>
              <w:spacing w:after="0" w:line="176" w:lineRule="exact"/>
              <w:rPr>
                <w:sz w:val="20"/>
                <w:szCs w:val="20"/>
                <w:color w:val="auto"/>
              </w:rPr>
            </w:pPr>
            <w:r>
              <w:rPr>
                <w:rFonts w:ascii="Arial" w:cs="Arial" w:eastAsia="Arial" w:hAnsi="Arial"/>
                <w:sz w:val="18"/>
                <w:szCs w:val="18"/>
                <w:color w:val="auto"/>
              </w:rPr>
              <w:t>Securities Act of 1933 or the Securities Exchange Act of 1934,</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except as shall be expressly set forth by specific reference.</w:t>
            </w:r>
          </w:p>
        </w:tc>
        <w:tc>
          <w:tcPr>
            <w:tcW w:w="0" w:type="dxa"/>
            <w:vAlign w:val="bottom"/>
          </w:tcPr>
          <w:p>
            <w:pPr>
              <w:spacing w:after="0"/>
              <w:rPr>
                <w:sz w:val="1"/>
                <w:szCs w:val="1"/>
                <w:color w:val="auto"/>
              </w:rPr>
            </w:pPr>
          </w:p>
        </w:tc>
      </w:tr>
      <w:tr>
        <w:trPr>
          <w:trHeight w:val="242"/>
        </w:trPr>
        <w:tc>
          <w:tcPr>
            <w:tcW w:w="780" w:type="dxa"/>
            <w:vAlign w:val="bottom"/>
            <w:gridSpan w:val="5"/>
          </w:tcPr>
          <w:p>
            <w:pPr>
              <w:jc w:val="center"/>
              <w:spacing w:after="0"/>
              <w:rPr>
                <w:rFonts w:ascii="Arial" w:cs="Arial" w:eastAsia="Arial" w:hAnsi="Arial"/>
                <w:sz w:val="18"/>
                <w:szCs w:val="18"/>
                <w:color w:val="0000FF"/>
                <w:w w:val="96"/>
              </w:rPr>
            </w:pPr>
            <w:hyperlink w:anchor="page61">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hyperlink>
          </w:p>
        </w:tc>
        <w:tc>
          <w:tcPr>
            <w:tcW w:w="240" w:type="dxa"/>
            <w:vAlign w:val="bottom"/>
          </w:tcPr>
          <w:p>
            <w:pPr>
              <w:spacing w:after="0"/>
              <w:rPr>
                <w:sz w:val="21"/>
                <w:szCs w:val="21"/>
                <w:color w:val="auto"/>
              </w:rPr>
            </w:pPr>
          </w:p>
        </w:tc>
        <w:tc>
          <w:tcPr>
            <w:tcW w:w="10220" w:type="dxa"/>
            <w:vAlign w:val="bottom"/>
            <w:gridSpan w:val="2"/>
          </w:tcPr>
          <w:p>
            <w:pPr>
              <w:ind w:left="80"/>
              <w:spacing w:after="0"/>
              <w:rPr>
                <w:sz w:val="20"/>
                <w:szCs w:val="20"/>
                <w:color w:val="auto"/>
              </w:rPr>
            </w:pPr>
            <w:r>
              <w:rPr>
                <w:rFonts w:ascii="Arial" w:cs="Arial" w:eastAsia="Arial" w:hAnsi="Arial"/>
                <w:sz w:val="18"/>
                <w:szCs w:val="18"/>
                <w:color w:val="auto"/>
              </w:rPr>
              <w:t>Certification Pursuant to 18 U.S.C. Section 1350, as adopted This Exhibit is intended to be furnished in accordance with</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80" w:type="dxa"/>
            <w:vAlign w:val="bottom"/>
          </w:tcPr>
          <w:p>
            <w:pPr>
              <w:ind w:left="80"/>
              <w:spacing w:after="0" w:line="156" w:lineRule="exact"/>
              <w:rPr>
                <w:sz w:val="20"/>
                <w:szCs w:val="20"/>
                <w:color w:val="auto"/>
              </w:rPr>
            </w:pPr>
            <w:r>
              <w:rPr>
                <w:rFonts w:ascii="Arial" w:cs="Arial" w:eastAsia="Arial" w:hAnsi="Arial"/>
                <w:sz w:val="18"/>
                <w:szCs w:val="18"/>
                <w:color w:val="auto"/>
              </w:rPr>
              <w:t>pursuant to Section 906 of the Sarbanes-Oxley Act of 2002</w:t>
            </w:r>
          </w:p>
        </w:tc>
        <w:tc>
          <w:tcPr>
            <w:tcW w:w="5340" w:type="dxa"/>
            <w:vAlign w:val="bottom"/>
          </w:tcPr>
          <w:p>
            <w:pPr>
              <w:ind w:left="100"/>
              <w:spacing w:after="0" w:line="156" w:lineRule="exact"/>
              <w:rPr>
                <w:sz w:val="20"/>
                <w:szCs w:val="20"/>
                <w:color w:val="auto"/>
              </w:rPr>
            </w:pPr>
            <w:r>
              <w:rPr>
                <w:rFonts w:ascii="Arial" w:cs="Arial" w:eastAsia="Arial" w:hAnsi="Arial"/>
                <w:sz w:val="18"/>
                <w:szCs w:val="18"/>
                <w:color w:val="auto"/>
              </w:rPr>
              <w:t>Regulation S-K Item 601(b) (32) (ii) and shall not be deemed to</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5340" w:type="dxa"/>
            <w:vAlign w:val="bottom"/>
          </w:tcPr>
          <w:p>
            <w:pPr>
              <w:ind w:left="100"/>
              <w:spacing w:after="0" w:line="176" w:lineRule="exact"/>
              <w:rPr>
                <w:sz w:val="20"/>
                <w:szCs w:val="20"/>
                <w:color w:val="auto"/>
              </w:rPr>
            </w:pPr>
            <w:r>
              <w:rPr>
                <w:rFonts w:ascii="Arial" w:cs="Arial" w:eastAsia="Arial" w:hAnsi="Arial"/>
                <w:sz w:val="18"/>
                <w:szCs w:val="18"/>
                <w:color w:val="auto"/>
              </w:rPr>
              <w:t>be filed for purposes of Section 18 of the Securities Exchange</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5340" w:type="dxa"/>
            <w:vAlign w:val="bottom"/>
          </w:tcPr>
          <w:p>
            <w:pPr>
              <w:ind w:left="100"/>
              <w:spacing w:after="0" w:line="176" w:lineRule="exact"/>
              <w:rPr>
                <w:sz w:val="20"/>
                <w:szCs w:val="20"/>
                <w:color w:val="auto"/>
              </w:rPr>
            </w:pPr>
            <w:r>
              <w:rPr>
                <w:rFonts w:ascii="Arial" w:cs="Arial" w:eastAsia="Arial" w:hAnsi="Arial"/>
                <w:sz w:val="18"/>
                <w:szCs w:val="18"/>
                <w:color w:val="auto"/>
              </w:rPr>
              <w:t>Act of 1934 or incorporated by reference into any filing under the</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5340" w:type="dxa"/>
            <w:vAlign w:val="bottom"/>
          </w:tcPr>
          <w:p>
            <w:pPr>
              <w:ind w:left="100"/>
              <w:spacing w:after="0" w:line="176" w:lineRule="exact"/>
              <w:rPr>
                <w:sz w:val="20"/>
                <w:szCs w:val="20"/>
                <w:color w:val="auto"/>
              </w:rPr>
            </w:pPr>
            <w:r>
              <w:rPr>
                <w:rFonts w:ascii="Arial" w:cs="Arial" w:eastAsia="Arial" w:hAnsi="Arial"/>
                <w:sz w:val="18"/>
                <w:szCs w:val="18"/>
                <w:color w:val="auto"/>
              </w:rPr>
              <w:t>Securities Act of 1933 or the Securities Exchange Act of 1934,</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except as shall be expressly set forth by specific reference.</w:t>
            </w: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240"/>
          </w:cols>
          <w:pgMar w:left="320" w:top="886" w:right="339" w:bottom="1440" w:gutter="0" w:footer="0" w:header="0"/>
        </w:sectPr>
      </w:pPr>
    </w:p>
    <w:p>
      <w:pPr>
        <w:ind w:left="1100" w:hanging="890"/>
        <w:spacing w:after="0" w:line="208" w:lineRule="auto"/>
        <w:tabs>
          <w:tab w:leader="none" w:pos="10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The following materials from Xylem Inc.’s Quarterly Report on Form 10-Q for the quarterly period ended June 30, 2021, formatted in Inline Extensible Business Reporting Language (Inline XBRL): (i) Condensed Consolidated Income Statements, (ii) Condensed Consolidated Statements of Comprehensive Income, (iii) Condensed Consolidated Balance Sheets, (iv) Condensed Consolidated Statements of Cash Flows and (v) Notes to Condensed Consolidated Financial Statements</w:t>
      </w:r>
    </w:p>
    <w:p>
      <w:pPr>
        <w:spacing w:after="0" w:line="19" w:lineRule="exact"/>
        <w:rPr>
          <w:sz w:val="20"/>
          <w:szCs w:val="20"/>
          <w:color w:val="auto"/>
        </w:rPr>
      </w:pPr>
    </w:p>
    <w:p>
      <w:pPr>
        <w:jc w:val="both"/>
        <w:ind w:left="1100" w:right="80" w:hanging="890"/>
        <w:spacing w:after="0" w:line="219" w:lineRule="auto"/>
        <w:tabs>
          <w:tab w:leader="none" w:pos="108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The cover page from Xylem Inc.'s Quarterly Report on Form 10-Q for the period ended June 30, 2021 formatted in Inline XBRL and contained in Exhibit 101.0.</w:t>
      </w:r>
    </w:p>
    <w:p>
      <w:pPr>
        <w:spacing w:after="0" w:line="20" w:lineRule="exact"/>
        <w:rPr>
          <w:sz w:val="20"/>
          <w:szCs w:val="20"/>
          <w:color w:val="auto"/>
        </w:rPr>
      </w:pPr>
      <w:r>
        <w:rPr>
          <w:sz w:val="20"/>
          <w:szCs w:val="20"/>
          <w:color w:val="auto"/>
        </w:rPr>
        <w:br w:type="column"/>
      </w:r>
    </w:p>
    <w:p>
      <w:pPr>
        <w:ind w:right="120"/>
        <w:spacing w:after="0" w:line="219"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1833" w:lineRule="exact"/>
        <w:rPr>
          <w:sz w:val="20"/>
          <w:szCs w:val="20"/>
          <w:color w:val="auto"/>
        </w:rPr>
      </w:pPr>
    </w:p>
    <w:p>
      <w:pPr>
        <w:sectPr>
          <w:pgSz w:w="11900" w:h="16838" w:orient="portrait"/>
          <w:cols w:equalWidth="0" w:num="2">
            <w:col w:w="5940" w:space="60"/>
            <w:col w:w="5240"/>
          </w:cols>
          <w:pgMar w:left="320" w:top="886" w:right="3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50" w:name="page51"/>
    <w:bookmarkEnd w:id="50"/>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4500"/>
        <w:spacing w:after="0"/>
        <w:rPr>
          <w:sz w:val="20"/>
          <w:szCs w:val="20"/>
          <w:color w:val="auto"/>
        </w:rPr>
      </w:pPr>
      <w:r>
        <w:rPr>
          <w:rFonts w:ascii="Arial" w:cs="Arial" w:eastAsia="Arial" w:hAnsi="Arial"/>
          <w:sz w:val="18"/>
          <w:szCs w:val="18"/>
          <w:b w:val="1"/>
          <w:bCs w:val="1"/>
          <w:u w:val="single" w:color="auto"/>
          <w:color w:val="auto"/>
        </w:rPr>
        <w:t>XYLEM INC.</w:t>
      </w:r>
    </w:p>
    <w:p>
      <w:pPr>
        <w:spacing w:after="0" w:line="4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Geri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6350</wp:posOffset>
            </wp:positionV>
            <wp:extent cx="37973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Geri McShane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Controller and Chief Accounting Officer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August 3, 2021</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20"/>
          </w:cols>
          <w:pgMar w:left="320" w:top="1089" w:right="4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XYLEM</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OMNIBUS INCENTIVE PLAN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[YEAR] NON-QUALIFIED STOCK OPTION AWARD AGREEMENT FOR CERTAIN EXECUTIVES &amp; EXECUTIVE OFFICERS AS APPROVED BY THE LEADERSHIP DEVELOPMENT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between Xylem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###PARTICIPANT_NAME###</w:t>
      </w:r>
      <w:r>
        <w:rPr>
          <w:rFonts w:ascii="Arial" w:cs="Arial" w:eastAsia="Arial" w:hAnsi="Arial"/>
          <w:sz w:val="18"/>
          <w:szCs w:val="18"/>
          <w:color w:val="auto"/>
        </w:rPr>
        <w:t xml:space="preserve"> (the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is effective as of </w:t>
      </w:r>
      <w:r>
        <w:rPr>
          <w:rFonts w:ascii="Arial" w:cs="Arial" w:eastAsia="Arial" w:hAnsi="Arial"/>
          <w:sz w:val="18"/>
          <w:szCs w:val="18"/>
          <w:b w:val="1"/>
          <w:bCs w:val="1"/>
          <w:color w:val="auto"/>
        </w:rPr>
        <w:t>###GRANT_DATE###</w:t>
      </w:r>
      <w:r>
        <w:rPr>
          <w:rFonts w:ascii="Arial" w:cs="Arial" w:eastAsia="Arial" w:hAnsi="Arial"/>
          <w:sz w:val="18"/>
          <w:szCs w:val="18"/>
          <w:color w:val="auto"/>
        </w:rPr>
        <w:t>. Terms used in this Agreement that are not defined in this Agreement are defined in the Company’s 2011 Omnibus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This Agreement is only being provided in English. The Participant is an employee of the Company or an Affiliate. In recognition of the Participant’s valued services, the Company, through the Leadership Development and Compensation Committee of its Board of Directors (the “</w:t>
      </w:r>
      <w:r>
        <w:rPr>
          <w:rFonts w:ascii="Arial" w:cs="Arial" w:eastAsia="Arial" w:hAnsi="Arial"/>
          <w:sz w:val="18"/>
          <w:szCs w:val="18"/>
          <w:b w:val="1"/>
          <w:bCs w:val="1"/>
          <w:color w:val="auto"/>
        </w:rPr>
        <w:t>Committee</w:t>
      </w:r>
      <w:r>
        <w:rPr>
          <w:rFonts w:ascii="Arial" w:cs="Arial" w:eastAsia="Arial" w:hAnsi="Arial"/>
          <w:sz w:val="18"/>
          <w:szCs w:val="18"/>
          <w:color w:val="auto"/>
        </w:rPr>
        <w:t>”), is providing the Participant an inducement to remain employed and an incentive for increased efforts while employed. In consideration of the terms and conditions in this Agreement, the parties agree as follows:</w:t>
      </w:r>
    </w:p>
    <w:p>
      <w:pPr>
        <w:spacing w:after="0" w:line="211" w:lineRule="exact"/>
        <w:rPr>
          <w:sz w:val="20"/>
          <w:szCs w:val="20"/>
          <w:color w:val="auto"/>
        </w:rPr>
      </w:pPr>
    </w:p>
    <w:p>
      <w:pPr>
        <w:jc w:val="both"/>
        <w:ind w:left="340" w:hanging="332"/>
        <w:spacing w:after="0" w:line="268" w:lineRule="auto"/>
        <w:tabs>
          <w:tab w:leader="none" w:pos="328"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Non-Qualified Stock Options</w:t>
      </w:r>
      <w:r>
        <w:rPr>
          <w:rFonts w:ascii="Arial" w:cs="Arial" w:eastAsia="Arial" w:hAnsi="Arial"/>
          <w:sz w:val="18"/>
          <w:szCs w:val="18"/>
          <w:color w:val="auto"/>
        </w:rPr>
        <w:t>. The Company confirms the grant on</w:t>
      </w:r>
      <w:r>
        <w:rPr>
          <w:rFonts w:ascii="Arial" w:cs="Arial" w:eastAsia="Arial" w:hAnsi="Arial"/>
          <w:sz w:val="18"/>
          <w:szCs w:val="18"/>
          <w:b w:val="1"/>
          <w:bCs w:val="1"/>
          <w:color w:val="auto"/>
        </w:rPr>
        <w:t xml:space="preserve"> ###GRANT_DATE###</w:t>
      </w:r>
      <w:r>
        <w:rPr>
          <w:rFonts w:ascii="Arial" w:cs="Arial" w:eastAsia="Arial" w:hAnsi="Arial"/>
          <w:sz w:val="18"/>
          <w:szCs w:val="18"/>
          <w:color w:val="auto"/>
        </w:rPr>
        <w:t>, (the “</w:t>
      </w:r>
      <w:r>
        <w:rPr>
          <w:rFonts w:ascii="Arial" w:cs="Arial" w:eastAsia="Arial" w:hAnsi="Arial"/>
          <w:sz w:val="18"/>
          <w:szCs w:val="18"/>
          <w:b w:val="1"/>
          <w:bCs w:val="1"/>
          <w:color w:val="auto"/>
        </w:rPr>
        <w:t>Grant Date</w:t>
      </w:r>
      <w:r>
        <w:rPr>
          <w:rFonts w:ascii="Arial" w:cs="Arial" w:eastAsia="Arial" w:hAnsi="Arial"/>
          <w:sz w:val="18"/>
          <w:szCs w:val="18"/>
          <w:color w:val="auto"/>
        </w:rPr>
        <w: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of the option to purchase from the Company all or any part of an aggregate of </w:t>
      </w:r>
      <w:r>
        <w:rPr>
          <w:rFonts w:ascii="Arial" w:cs="Arial" w:eastAsia="Arial" w:hAnsi="Arial"/>
          <w:sz w:val="18"/>
          <w:szCs w:val="18"/>
          <w:b w:val="1"/>
          <w:bCs w:val="1"/>
          <w:color w:val="auto"/>
        </w:rPr>
        <w:t>###TOTAL_AWARDS###</w:t>
      </w:r>
      <w:r>
        <w:rPr>
          <w:rFonts w:ascii="Arial" w:cs="Arial" w:eastAsia="Arial" w:hAnsi="Arial"/>
          <w:sz w:val="18"/>
          <w:szCs w:val="18"/>
          <w:color w:val="auto"/>
        </w:rPr>
        <w:t xml:space="preserve"> shares (the “</w:t>
      </w:r>
      <w:r>
        <w:rPr>
          <w:rFonts w:ascii="Arial" w:cs="Arial" w:eastAsia="Arial" w:hAnsi="Arial"/>
          <w:sz w:val="18"/>
          <w:szCs w:val="18"/>
          <w:b w:val="1"/>
          <w:bCs w:val="1"/>
          <w:color w:val="auto"/>
        </w:rPr>
        <w:t>Options</w:t>
      </w:r>
      <w:r>
        <w:rPr>
          <w:rFonts w:ascii="Arial" w:cs="Arial" w:eastAsia="Arial" w:hAnsi="Arial"/>
          <w:sz w:val="18"/>
          <w:szCs w:val="18"/>
          <w:color w:val="auto"/>
        </w:rPr>
        <w:t xml:space="preserve">”), at the purchase price of </w:t>
      </w:r>
      <w:r>
        <w:rPr>
          <w:rFonts w:ascii="Arial" w:cs="Arial" w:eastAsia="Arial" w:hAnsi="Arial"/>
          <w:sz w:val="18"/>
          <w:szCs w:val="18"/>
          <w:b w:val="1"/>
          <w:bCs w:val="1"/>
          <w:color w:val="auto"/>
        </w:rPr>
        <w:t>###GRANT_PRICE###</w:t>
      </w:r>
      <w:r>
        <w:rPr>
          <w:rFonts w:ascii="Arial" w:cs="Arial" w:eastAsia="Arial" w:hAnsi="Arial"/>
          <w:sz w:val="18"/>
          <w:szCs w:val="18"/>
          <w:color w:val="auto"/>
        </w:rPr>
        <w:t xml:space="preserve"> per share (the “</w:t>
      </w:r>
      <w:r>
        <w:rPr>
          <w:rFonts w:ascii="Arial" w:cs="Arial" w:eastAsia="Arial" w:hAnsi="Arial"/>
          <w:sz w:val="18"/>
          <w:szCs w:val="18"/>
          <w:b w:val="1"/>
          <w:bCs w:val="1"/>
          <w:color w:val="auto"/>
        </w:rPr>
        <w:t>Exercise Price</w:t>
      </w:r>
      <w:r>
        <w:rPr>
          <w:rFonts w:ascii="Arial" w:cs="Arial" w:eastAsia="Arial" w:hAnsi="Arial"/>
          <w:sz w:val="18"/>
          <w:szCs w:val="18"/>
          <w:color w:val="auto"/>
        </w:rPr>
        <w:t>”).</w:t>
      </w:r>
    </w:p>
    <w:p>
      <w:pPr>
        <w:spacing w:after="0" w:line="19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Grant:</w:t>
      </w:r>
    </w:p>
    <w:p>
      <w:pPr>
        <w:spacing w:after="0" w:line="274" w:lineRule="exact"/>
        <w:rPr>
          <w:rFonts w:ascii="Arial" w:cs="Arial" w:eastAsia="Arial" w:hAnsi="Arial"/>
          <w:sz w:val="18"/>
          <w:szCs w:val="18"/>
          <w:b w:val="1"/>
          <w:bCs w:val="1"/>
          <w:color w:val="auto"/>
        </w:rPr>
      </w:pPr>
    </w:p>
    <w:p>
      <w:pPr>
        <w:jc w:val="both"/>
        <w:ind w:left="660" w:hanging="328"/>
        <w:spacing w:after="0" w:line="256" w:lineRule="auto"/>
        <w:tabs>
          <w:tab w:leader="none" w:pos="843"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grant of Options is voluntary and occasional and does not create any contractual or other right to receive future grants of Options, or benefits in lieu of Options, even if Options have been granted in the past. All decisions with respect to future grants will be at the sole discretion of the Company;</w:t>
      </w:r>
    </w:p>
    <w:p>
      <w:pPr>
        <w:spacing w:after="0" w:line="228" w:lineRule="exact"/>
        <w:rPr>
          <w:rFonts w:ascii="Arial" w:cs="Arial" w:eastAsia="Arial" w:hAnsi="Arial"/>
          <w:sz w:val="18"/>
          <w:szCs w:val="18"/>
          <w:color w:val="auto"/>
        </w:rPr>
      </w:pPr>
    </w:p>
    <w:p>
      <w:pPr>
        <w:ind w:left="740" w:hanging="408"/>
        <w:spacing w:after="0"/>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52" w:lineRule="exact"/>
        <w:rPr>
          <w:rFonts w:ascii="Arial" w:cs="Arial" w:eastAsia="Arial" w:hAnsi="Arial"/>
          <w:sz w:val="18"/>
          <w:szCs w:val="18"/>
          <w:color w:val="auto"/>
        </w:rPr>
      </w:pPr>
    </w:p>
    <w:p>
      <w:pPr>
        <w:jc w:val="both"/>
        <w:ind w:left="660" w:hanging="328"/>
        <w:spacing w:after="0" w:line="256" w:lineRule="auto"/>
        <w:tabs>
          <w:tab w:leader="none" w:pos="752"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Options are not part of normal or expected compensation for any purpose, including for purposes of calculating any severance, resignation, termination, redundancy, dismissal, end-of-service payments, bonuses, pension or retirement or welfare benefits or similar payments;</w:t>
      </w:r>
    </w:p>
    <w:p>
      <w:pPr>
        <w:spacing w:after="0" w:line="228" w:lineRule="exact"/>
        <w:rPr>
          <w:rFonts w:ascii="Arial" w:cs="Arial" w:eastAsia="Arial" w:hAnsi="Arial"/>
          <w:sz w:val="18"/>
          <w:szCs w:val="18"/>
          <w:color w:val="auto"/>
        </w:rPr>
      </w:pPr>
    </w:p>
    <w:p>
      <w:pPr>
        <w:ind w:left="760" w:hanging="428"/>
        <w:spacing w:after="0"/>
        <w:tabs>
          <w:tab w:leader="none" w:pos="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Future value of the underlying shares is unknown, indeterminable and cannot be predicted with certainty;</w:t>
      </w:r>
    </w:p>
    <w:p>
      <w:pPr>
        <w:spacing w:after="0" w:line="252" w:lineRule="exact"/>
        <w:rPr>
          <w:rFonts w:ascii="Arial" w:cs="Arial" w:eastAsia="Arial" w:hAnsi="Arial"/>
          <w:sz w:val="18"/>
          <w:szCs w:val="18"/>
          <w:color w:val="auto"/>
        </w:rPr>
      </w:pPr>
    </w:p>
    <w:p>
      <w:pPr>
        <w:ind w:left="660" w:hanging="328"/>
        <w:spacing w:after="0" w:line="261" w:lineRule="auto"/>
        <w:tabs>
          <w:tab w:leader="none" w:pos="8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will arise from forfeiture of the Options resulting from the termination of the Participant's employment; and</w:t>
      </w:r>
    </w:p>
    <w:p>
      <w:pPr>
        <w:spacing w:after="0" w:line="224" w:lineRule="exact"/>
        <w:rPr>
          <w:rFonts w:ascii="Arial" w:cs="Arial" w:eastAsia="Arial" w:hAnsi="Arial"/>
          <w:sz w:val="18"/>
          <w:szCs w:val="18"/>
          <w:color w:val="auto"/>
        </w:rPr>
      </w:pPr>
    </w:p>
    <w:p>
      <w:pPr>
        <w:jc w:val="both"/>
        <w:ind w:left="660" w:hanging="328"/>
        <w:spacing w:after="0" w:line="256" w:lineRule="auto"/>
        <w:tabs>
          <w:tab w:leader="none" w:pos="7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will not be liable for any foreign exchange rate fluctuation between the Participant’s local currency and the United States Dollar that may affect the value of the Options or of any amounts due to the Participant on exercise of the Options or on the subsequent sale of any shares acquired on exercise.</w:t>
      </w:r>
    </w:p>
    <w:p>
      <w:pPr>
        <w:spacing w:after="0" w:line="206"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w:t>
      </w:r>
      <w:r>
        <w:rPr>
          <w:rFonts w:ascii="Arial" w:cs="Arial" w:eastAsia="Arial" w:hAnsi="Arial"/>
          <w:sz w:val="18"/>
          <w:szCs w:val="18"/>
          <w:color w:val="auto"/>
        </w:rPr>
        <w:t>. The Options are subject to the following additional terms and conditions:</w:t>
      </w:r>
    </w:p>
    <w:p>
      <w:pPr>
        <w:spacing w:after="0" w:line="252" w:lineRule="exact"/>
        <w:rPr>
          <w:rFonts w:ascii="Arial" w:cs="Arial" w:eastAsia="Arial" w:hAnsi="Arial"/>
          <w:sz w:val="18"/>
          <w:szCs w:val="18"/>
          <w:b w:val="1"/>
          <w:bCs w:val="1"/>
          <w:color w:val="auto"/>
        </w:rPr>
      </w:pPr>
    </w:p>
    <w:p>
      <w:pPr>
        <w:ind w:left="660" w:hanging="328"/>
        <w:spacing w:after="0" w:line="287" w:lineRule="auto"/>
        <w:tabs>
          <w:tab w:leader="none" w:pos="769"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Expiration Date</w:t>
      </w:r>
      <w:r>
        <w:rPr>
          <w:rFonts w:ascii="Arial" w:cs="Arial" w:eastAsia="Arial" w:hAnsi="Arial"/>
          <w:sz w:val="18"/>
          <w:szCs w:val="18"/>
          <w:color w:val="auto"/>
        </w:rPr>
        <w:t>. The Options will expire on</w:t>
      </w:r>
      <w:r>
        <w:rPr>
          <w:rFonts w:ascii="Arial" w:cs="Arial" w:eastAsia="Arial" w:hAnsi="Arial"/>
          <w:sz w:val="18"/>
          <w:szCs w:val="18"/>
          <w:b w:val="1"/>
          <w:bCs w:val="1"/>
          <w:color w:val="auto"/>
        </w:rPr>
        <w:t xml:space="preserve"> ###EXPIRY_DATE###</w:t>
      </w:r>
      <w:r>
        <w:rPr>
          <w:rFonts w:ascii="Arial" w:cs="Arial" w:eastAsia="Arial" w:hAnsi="Arial"/>
          <w:sz w:val="18"/>
          <w:szCs w:val="18"/>
          <w:color w:val="auto"/>
        </w:rPr>
        <w:t>, or, if the Participant’s employment terminates before that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specified in subsection 2(e)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52" w:name="page53"/>
    <w:bookmarkEnd w:id="52"/>
    <w:p>
      <w:pPr>
        <w:ind w:left="428" w:hanging="428"/>
        <w:spacing w:after="0"/>
        <w:tabs>
          <w:tab w:leader="none" w:pos="428"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Exercise of Options</w:t>
      </w:r>
      <w:r>
        <w:rPr>
          <w:rFonts w:ascii="Arial" w:cs="Arial" w:eastAsia="Arial" w:hAnsi="Arial"/>
          <w:sz w:val="18"/>
          <w:szCs w:val="18"/>
          <w:color w:val="auto"/>
        </w:rPr>
        <w:t>. The Options cannot be exercised until vested.</w:t>
      </w:r>
    </w:p>
    <w:p>
      <w:pPr>
        <w:spacing w:after="0" w:line="252" w:lineRule="exact"/>
        <w:rPr>
          <w:rFonts w:ascii="Arial" w:cs="Arial" w:eastAsia="Arial" w:hAnsi="Arial"/>
          <w:sz w:val="18"/>
          <w:szCs w:val="18"/>
          <w:color w:val="auto"/>
        </w:rPr>
      </w:pPr>
    </w:p>
    <w:p>
      <w:pPr>
        <w:ind w:left="328" w:hanging="328"/>
        <w:spacing w:after="0" w:line="287" w:lineRule="auto"/>
        <w:tabs>
          <w:tab w:leader="none" w:pos="427"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Options will vest if the Participant has been actively employed by the Company or an Affiliate from the Grant Date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vesting date. Active employment does not include any potential severance period.</w:t>
      </w:r>
    </w:p>
    <w:p>
      <w:pPr>
        <w:spacing w:after="0" w:line="20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Subject to subsections 2(a), 2(d), and 2(e), the Options will vest in 3 installments as follows:</w:t>
      </w: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###VEST_SCHEDULE_TABLE###</w:t>
      </w:r>
    </w:p>
    <w:p>
      <w:pPr>
        <w:spacing w:after="0" w:line="252" w:lineRule="exact"/>
        <w:rPr>
          <w:sz w:val="20"/>
          <w:szCs w:val="20"/>
          <w:color w:val="auto"/>
        </w:rPr>
      </w:pPr>
    </w:p>
    <w:p>
      <w:pPr>
        <w:ind w:left="328"/>
        <w:spacing w:after="0"/>
        <w:rPr>
          <w:sz w:val="20"/>
          <w:szCs w:val="20"/>
          <w:color w:val="auto"/>
        </w:rPr>
      </w:pPr>
      <w:r>
        <w:rPr>
          <w:rFonts w:ascii="Arial" w:cs="Arial" w:eastAsia="Arial" w:hAnsi="Arial"/>
          <w:sz w:val="18"/>
          <w:szCs w:val="18"/>
          <w:b w:val="1"/>
          <w:bCs w:val="1"/>
          <w:color w:val="auto"/>
        </w:rPr>
        <w:t>March 1, 2021</w:t>
      </w:r>
      <w:r>
        <w:rPr>
          <w:rFonts w:ascii="Arial" w:cs="Arial" w:eastAsia="Arial" w:hAnsi="Arial"/>
          <w:sz w:val="18"/>
          <w:szCs w:val="18"/>
          <w:color w:val="auto"/>
        </w:rPr>
        <w:t>,</w:t>
      </w:r>
      <w:r>
        <w:rPr>
          <w:rFonts w:ascii="Arial" w:cs="Arial" w:eastAsia="Arial" w:hAnsi="Arial"/>
          <w:sz w:val="18"/>
          <w:szCs w:val="18"/>
          <w:b w:val="1"/>
          <w:bCs w:val="1"/>
          <w:color w:val="auto"/>
        </w:rPr>
        <w:t xml:space="preserve"> March 1, 2022</w:t>
      </w:r>
      <w:r>
        <w:rPr>
          <w:rFonts w:ascii="Arial" w:cs="Arial" w:eastAsia="Arial" w:hAnsi="Arial"/>
          <w:sz w:val="18"/>
          <w:szCs w:val="18"/>
          <w:color w:val="auto"/>
        </w:rPr>
        <w:t>,</w:t>
      </w:r>
      <w:r>
        <w:rPr>
          <w:rFonts w:ascii="Arial" w:cs="Arial" w:eastAsia="Arial" w:hAnsi="Arial"/>
          <w:sz w:val="18"/>
          <w:szCs w:val="18"/>
          <w:b w:val="1"/>
          <w:bCs w:val="1"/>
          <w:color w:val="auto"/>
        </w:rPr>
        <w:t xml:space="preserve"> March 1, 2023 </w:t>
      </w:r>
      <w:r>
        <w:rPr>
          <w:rFonts w:ascii="Arial" w:cs="Arial" w:eastAsia="Arial" w:hAnsi="Arial"/>
          <w:sz w:val="18"/>
          <w:szCs w:val="18"/>
          <w:color w:val="auto"/>
        </w:rPr>
        <w:t>are the respective “</w:t>
      </w:r>
      <w:r>
        <w:rPr>
          <w:rFonts w:ascii="Arial" w:cs="Arial" w:eastAsia="Arial" w:hAnsi="Arial"/>
          <w:sz w:val="18"/>
          <w:szCs w:val="18"/>
          <w:b w:val="1"/>
          <w:bCs w:val="1"/>
          <w:color w:val="auto"/>
        </w:rPr>
        <w:t>Vest Period Start Dates</w:t>
      </w:r>
      <w:r>
        <w:rPr>
          <w:rFonts w:ascii="Arial" w:cs="Arial" w:eastAsia="Arial" w:hAnsi="Arial"/>
          <w:sz w:val="18"/>
          <w:szCs w:val="18"/>
          <w:color w:val="auto"/>
        </w:rPr>
        <w:t>” for each of the 3 installments.</w:t>
      </w:r>
    </w:p>
    <w:p>
      <w:pPr>
        <w:spacing w:after="0" w:line="252" w:lineRule="exact"/>
        <w:rPr>
          <w:sz w:val="20"/>
          <w:szCs w:val="20"/>
          <w:color w:val="auto"/>
        </w:rPr>
      </w:pPr>
    </w:p>
    <w:p>
      <w:pPr>
        <w:jc w:val="both"/>
        <w:ind w:left="328" w:hanging="328"/>
        <w:spacing w:after="0" w:line="256" w:lineRule="auto"/>
        <w:tabs>
          <w:tab w:leader="none" w:pos="437"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r>
        <w:rPr>
          <w:rFonts w:ascii="Arial" w:cs="Arial" w:eastAsia="Arial" w:hAnsi="Arial"/>
          <w:sz w:val="18"/>
          <w:szCs w:val="18"/>
          <w:color w:val="auto"/>
        </w:rPr>
        <w:t>. In the event of a Change in Control prior to the vesting date, if the acquiring or surviving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transaction assumes or continues any then outstanding Options, then the unvested Options will continue to vest based on the Options’ service-based vesting criteria until the vesting date. If the Participant's active employment with the Company or an Affiliate is terminated by the Company or an Affiliate without Cause or by the Participant (for applicable Participants only) for Good Reason within 2 years of a Change in Control, any unvested and any converted Options will become 100% vested on the termination date. Any vested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months</w:t>
      </w:r>
      <w:r>
        <w:rPr>
          <w:rFonts w:ascii="Arial" w:cs="Arial" w:eastAsia="Arial" w:hAnsi="Arial"/>
          <w:sz w:val="18"/>
          <w:szCs w:val="18"/>
          <w:color w:val="auto"/>
        </w:rPr>
        <w:t xml:space="preserve"> after the Participant's termination of active employment.</w:t>
      </w:r>
    </w:p>
    <w:p>
      <w:pPr>
        <w:spacing w:after="0" w:line="210"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Participant’s willful and continued failure to substantially perform his, her or their duties with the Company or an Affiliate (other than any such failure resulting from the Participant’s incapacity due to physical or mental illness) or (ii) the Participant willfully engaging in conduct that demonstrably and materially injures the Company or its Affiliates, monetarily or otherwise. “</w:t>
      </w:r>
      <w:r>
        <w:rPr>
          <w:rFonts w:ascii="Arial" w:cs="Arial" w:eastAsia="Arial" w:hAnsi="Arial"/>
          <w:sz w:val="18"/>
          <w:szCs w:val="18"/>
          <w:b w:val="1"/>
          <w:bCs w:val="1"/>
          <w:color w:val="auto"/>
        </w:rPr>
        <w:t>Willful</w:t>
      </w:r>
      <w:r>
        <w:rPr>
          <w:rFonts w:ascii="Arial" w:cs="Arial" w:eastAsia="Arial" w:hAnsi="Arial"/>
          <w:sz w:val="18"/>
          <w:szCs w:val="18"/>
          <w:color w:val="auto"/>
        </w:rPr>
        <w:t>” means the action is done or omitted in bad faith or without reasonable belief that the action or omission was in the best interests of the Company.</w:t>
      </w:r>
    </w:p>
    <w:p>
      <w:pPr>
        <w:spacing w:after="0" w:line="206" w:lineRule="exact"/>
        <w:rPr>
          <w:sz w:val="20"/>
          <w:szCs w:val="20"/>
          <w:color w:val="auto"/>
        </w:rPr>
      </w:pPr>
    </w:p>
    <w:p>
      <w:pPr>
        <w:jc w:val="both"/>
        <w:ind w:left="32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(i) a reduction in annual target total cash compensation (base salary and target bonus), (ii) the assignment of any duties inconsistent in any material adverse respect with the Participant’s position, authority, duties or responsibilities, (iii) any other action by the Company or an Affiliate which results in a material diminution in such position, authority, duties or responsibilities; or (iv) the Company or an Affiliate requiring the Participant to relocate to a work location 50 miles or more from the location where the Participant was principally working immediately prior to the Change in Control. The Participant must give notice within 90 days of any Good Reason event.</w:t>
      </w:r>
    </w:p>
    <w:p>
      <w:pPr>
        <w:spacing w:after="0" w:line="231" w:lineRule="exact"/>
        <w:rPr>
          <w:sz w:val="20"/>
          <w:szCs w:val="20"/>
          <w:color w:val="auto"/>
        </w:rPr>
      </w:pPr>
    </w:p>
    <w:p>
      <w:pPr>
        <w:jc w:val="both"/>
        <w:ind w:left="328"/>
        <w:spacing w:after="0" w:line="254" w:lineRule="auto"/>
        <w:rPr>
          <w:sz w:val="20"/>
          <w:szCs w:val="20"/>
          <w:color w:val="auto"/>
        </w:rPr>
      </w:pPr>
      <w:r>
        <w:rPr>
          <w:rFonts w:ascii="Arial" w:cs="Arial" w:eastAsia="Arial" w:hAnsi="Arial"/>
          <w:sz w:val="18"/>
          <w:szCs w:val="18"/>
          <w:color w:val="auto"/>
        </w:rPr>
        <w:t>Good Reason only applies to Company or Affiliate employees who are, at the time of termination of employment, covered by the Xylem Special Senior Executive Severance Pay Plan or the Xylem Enhanced Severance Pay Plan and will exclude an isolated, insubstantial and inadvertent action not taken in bad faith that is resolved by the Company or an Affiliate within 30 days of receiving notice.</w:t>
      </w:r>
    </w:p>
    <w:p>
      <w:pPr>
        <w:spacing w:after="0" w:line="209" w:lineRule="exact"/>
        <w:rPr>
          <w:sz w:val="20"/>
          <w:szCs w:val="20"/>
          <w:color w:val="auto"/>
        </w:rPr>
      </w:pPr>
    </w:p>
    <w:p>
      <w:pPr>
        <w:jc w:val="both"/>
        <w:ind w:left="328" w:hanging="328"/>
        <w:spacing w:after="0" w:line="259" w:lineRule="auto"/>
        <w:tabs>
          <w:tab w:leader="none" w:pos="491"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r>
        <w:rPr>
          <w:rFonts w:ascii="Arial" w:cs="Arial" w:eastAsia="Arial" w:hAnsi="Arial"/>
          <w:sz w:val="18"/>
          <w:szCs w:val="18"/>
          <w:color w:val="auto"/>
        </w:rPr>
        <w:t>. Options will only vest while the Participant is actively employed by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If the Participant's active employment with the Company or an Affiliate is terminated for any reason prior to the vesting date, and such termination constitutes a “separation from service” within the meaning of Section 409A of the Code and any related regulations or other effective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subject to subsection 2(d), the following would apply to any outstanding Options:</w:t>
      </w:r>
    </w:p>
    <w:p>
      <w:pPr>
        <w:spacing w:after="0" w:line="228" w:lineRule="exact"/>
        <w:rPr>
          <w:rFonts w:ascii="Arial" w:cs="Arial" w:eastAsia="Arial" w:hAnsi="Arial"/>
          <w:sz w:val="18"/>
          <w:szCs w:val="18"/>
          <w:color w:val="auto"/>
        </w:rPr>
      </w:pPr>
    </w:p>
    <w:p>
      <w:pPr>
        <w:ind w:left="648" w:hanging="324"/>
        <w:spacing w:after="0" w:line="261" w:lineRule="auto"/>
        <w:tabs>
          <w:tab w:leader="none" w:pos="819"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Any unvested Options will immediately become 100% vested on the Participant’s termination of employment. Any vested Options will expire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13" w:right="339" w:bottom="1440" w:gutter="0" w:footer="0" w:header="0"/>
        </w:sectPr>
      </w:pPr>
    </w:p>
    <w:bookmarkStart w:id="53" w:name="page54"/>
    <w:bookmarkEnd w:id="53"/>
    <w:p>
      <w:pPr>
        <w:ind w:left="648"/>
        <w:spacing w:after="0"/>
        <w:rPr>
          <w:sz w:val="20"/>
          <w:szCs w:val="20"/>
          <w:color w:val="auto"/>
        </w:rPr>
      </w:pPr>
      <w:r>
        <w:rPr>
          <w:rFonts w:ascii="Arial" w:cs="Arial" w:eastAsia="Arial" w:hAnsi="Arial"/>
          <w:sz w:val="18"/>
          <w:szCs w:val="18"/>
          <w:color w:val="auto"/>
        </w:rPr>
        <w:t xml:space="preserve">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years</w:t>
      </w:r>
      <w:r>
        <w:rPr>
          <w:rFonts w:ascii="Arial" w:cs="Arial" w:eastAsia="Arial" w:hAnsi="Arial"/>
          <w:sz w:val="18"/>
          <w:szCs w:val="18"/>
          <w:color w:val="auto"/>
        </w:rPr>
        <w:t xml:space="preserve"> after the Participant’s termination of employment.</w:t>
      </w:r>
    </w:p>
    <w:p>
      <w:pPr>
        <w:spacing w:after="0" w:line="274" w:lineRule="exact"/>
        <w:rPr>
          <w:sz w:val="20"/>
          <w:szCs w:val="20"/>
          <w:color w:val="auto"/>
        </w:rPr>
      </w:pPr>
    </w:p>
    <w:p>
      <w:pPr>
        <w:jc w:val="both"/>
        <w:ind w:left="648" w:hanging="324"/>
        <w:spacing w:after="0" w:line="254" w:lineRule="auto"/>
        <w:tabs>
          <w:tab w:leader="none" w:pos="77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Termination due to Retirement or while Retirement Eligible</w:t>
      </w:r>
      <w:r>
        <w:rPr>
          <w:rFonts w:ascii="Arial" w:cs="Arial" w:eastAsia="Arial" w:hAnsi="Arial"/>
          <w:sz w:val="18"/>
          <w:szCs w:val="18"/>
          <w:color w:val="auto"/>
        </w:rPr>
        <w:t xml:space="preserve">. A prorated portion (as described below) of the unvested Options with a vesting date within 12 months of termination will immediately vest on the Participant’s termination of employment. All other unvested Options will automatically be forfeited. Any vested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years</w:t>
      </w:r>
      <w:r>
        <w:rPr>
          <w:rFonts w:ascii="Arial" w:cs="Arial" w:eastAsia="Arial" w:hAnsi="Arial"/>
          <w:sz w:val="18"/>
          <w:szCs w:val="18"/>
          <w:color w:val="auto"/>
        </w:rPr>
        <w:t xml:space="preserve"> after the Participant’s termination of employment.</w:t>
      </w:r>
    </w:p>
    <w:p>
      <w:pPr>
        <w:spacing w:after="0" w:line="230" w:lineRule="exact"/>
        <w:rPr>
          <w:rFonts w:ascii="Arial" w:cs="Arial" w:eastAsia="Arial" w:hAnsi="Arial"/>
          <w:sz w:val="18"/>
          <w:szCs w:val="18"/>
          <w:color w:val="auto"/>
        </w:rPr>
      </w:pPr>
    </w:p>
    <w:p>
      <w:pPr>
        <w:jc w:val="both"/>
        <w:ind w:left="648" w:hanging="324"/>
        <w:spacing w:after="0" w:line="256" w:lineRule="auto"/>
        <w:tabs>
          <w:tab w:leader="none" w:pos="80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Termination other than for Death, Disability and Retirement</w:t>
      </w:r>
      <w:r>
        <w:rPr>
          <w:rFonts w:ascii="Arial" w:cs="Arial" w:eastAsia="Arial" w:hAnsi="Arial"/>
          <w:sz w:val="18"/>
          <w:szCs w:val="18"/>
          <w:color w:val="auto"/>
        </w:rPr>
        <w:t xml:space="preserve">. Any unvested Options will automatically forfeit on the date of the Participant’s termination of employment. Any vested portion of the Options will expire on the earlier of </w:t>
      </w:r>
      <w:r>
        <w:rPr>
          <w:rFonts w:ascii="Arial" w:cs="Arial" w:eastAsia="Arial" w:hAnsi="Arial"/>
          <w:sz w:val="18"/>
          <w:szCs w:val="18"/>
          <w:b w:val="1"/>
          <w:bCs w:val="1"/>
          <w:color w:val="auto"/>
        </w:rPr>
        <w:t>###EXPIRY_DATE###</w:t>
      </w:r>
      <w:r>
        <w:rPr>
          <w:rFonts w:ascii="Arial" w:cs="Arial" w:eastAsia="Arial" w:hAnsi="Arial"/>
          <w:sz w:val="18"/>
          <w:szCs w:val="18"/>
          <w:color w:val="auto"/>
        </w:rPr>
        <w:t xml:space="preserve">, or the date </w:t>
      </w:r>
      <w:r>
        <w:rPr>
          <w:rFonts w:ascii="Arial" w:cs="Arial" w:eastAsia="Arial" w:hAnsi="Arial"/>
          <w:sz w:val="18"/>
          <w:szCs w:val="18"/>
          <w:b w:val="1"/>
          <w:bCs w:val="1"/>
          <w:color w:val="auto"/>
        </w:rPr>
        <w:t>3 years</w:t>
      </w:r>
      <w:r>
        <w:rPr>
          <w:rFonts w:ascii="Arial" w:cs="Arial" w:eastAsia="Arial" w:hAnsi="Arial"/>
          <w:sz w:val="18"/>
          <w:szCs w:val="18"/>
          <w:color w:val="auto"/>
        </w:rPr>
        <w:t xml:space="preserve"> after the Participant’s termination of employment.</w:t>
      </w:r>
    </w:p>
    <w:p>
      <w:pPr>
        <w:spacing w:after="0" w:line="207"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Company based on evidence, including independent medical reports and data, as deemed appropriate or necessary.</w:t>
      </w:r>
    </w:p>
    <w:p>
      <w:pPr>
        <w:spacing w:after="0" w:line="198" w:lineRule="exact"/>
        <w:rPr>
          <w:sz w:val="20"/>
          <w:szCs w:val="20"/>
          <w:color w:val="auto"/>
        </w:rPr>
      </w:pPr>
    </w:p>
    <w:p>
      <w:pPr>
        <w:jc w:val="both"/>
        <w:ind w:left="32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10 years of service with the Company or an Affiliate, or the Participant is age 65 or older.</w:t>
      </w:r>
    </w:p>
    <w:p>
      <w:pPr>
        <w:spacing w:after="0" w:line="198"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b w:val="1"/>
          <w:bCs w:val="1"/>
          <w:color w:val="auto"/>
        </w:rPr>
        <w:t>Prorated Vesting Upon Retirement</w:t>
      </w:r>
      <w:r>
        <w:rPr>
          <w:rFonts w:ascii="Arial" w:cs="Arial" w:eastAsia="Arial" w:hAnsi="Arial"/>
          <w:sz w:val="18"/>
          <w:szCs w:val="18"/>
          <w:color w:val="auto"/>
        </w:rPr>
        <w:t>. The prorated portion of the Options that vests on the Participant’s termination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Participant's Retirement will be determined by multiplying the total number of unvested Options with a vesting date within 12 months of termination by a fraction, of which the numerator is the number of full months (not to exceed 12) the Participant has been continually employed since the Vest Period Start Date, and the denominator is 12. For this purpose, full months of employment will be based on monthly anniversaries of the Grant Date, not calendar months.</w:t>
      </w:r>
    </w:p>
    <w:p>
      <w:pPr>
        <w:spacing w:after="0" w:line="206" w:lineRule="exact"/>
        <w:rPr>
          <w:sz w:val="20"/>
          <w:szCs w:val="20"/>
          <w:color w:val="auto"/>
        </w:rPr>
      </w:pPr>
    </w:p>
    <w:p>
      <w:pPr>
        <w:jc w:val="both"/>
        <w:ind w:left="328" w:hanging="328"/>
        <w:spacing w:after="0" w:line="256" w:lineRule="auto"/>
        <w:tabs>
          <w:tab w:leader="none" w:pos="428"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Payment of Exercise Price</w:t>
      </w:r>
      <w:r>
        <w:rPr>
          <w:rFonts w:ascii="Arial" w:cs="Arial" w:eastAsia="Arial" w:hAnsi="Arial"/>
          <w:sz w:val="18"/>
          <w:szCs w:val="18"/>
          <w:color w:val="auto"/>
        </w:rPr>
        <w:t>. Permissible methods for payment of the Exercise Price on exercise of the Options are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6.6 of the Plan, or, if the Plan is amended, successor provisions. In addition to the methods of exercise permitted by Section 6.6 of the Plan, the Participant may exercise all or part of the Options by way of (i) broker-assisted cashless exercise in a manner consistent with the Federal Reserve Board's Regulation T, unless the Committee determines that this is prohibited by law, or (ii) net-settlement, where the Participant directs the Company to withhold shares that otherwise would be issued upon exercise of the Options having an aggregate Fair Market Value on the date of the exercise equal to the Exercise Price, or the portion being exercised by way of net-settlement (rounding up to the nearest whole share).</w:t>
      </w:r>
    </w:p>
    <w:p>
      <w:pPr>
        <w:spacing w:after="0" w:line="209" w:lineRule="exact"/>
        <w:rPr>
          <w:rFonts w:ascii="Arial" w:cs="Arial" w:eastAsia="Arial" w:hAnsi="Arial"/>
          <w:sz w:val="18"/>
          <w:szCs w:val="18"/>
          <w:color w:val="auto"/>
        </w:rPr>
      </w:pPr>
    </w:p>
    <w:p>
      <w:pPr>
        <w:jc w:val="both"/>
        <w:ind w:left="328" w:hanging="328"/>
        <w:spacing w:after="0" w:line="256" w:lineRule="auto"/>
        <w:tabs>
          <w:tab w:leader="none" w:pos="464"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will have the power and the right to deduct or withhold, or require the Participant to remit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all applicable federal, state, and local taxes, domestic or foreign, required by law or regulation to be withheld with respect to the exercise of the Options. The Participant may elect to satisfy the withholding requirement, in whole or in part, by having the Company withhold shares that otherwise would be issued upon exercise of the Options, with the number of shares withheld having a Fair Market Value on the date the tax is to be determined equal to the minimum statutory total tax that could be imposed on the transaction (or such other amount that will not cause an adverse accounting consequence or cost) (rounding up to the nearest whole share). Any election will be subject to any restrictions or limitations that the Committee, in its sole discretion, deems appropriate.</w:t>
      </w:r>
    </w:p>
    <w:p>
      <w:pPr>
        <w:spacing w:after="0" w:line="209" w:lineRule="exact"/>
        <w:rPr>
          <w:rFonts w:ascii="Arial" w:cs="Arial" w:eastAsia="Arial" w:hAnsi="Arial"/>
          <w:sz w:val="18"/>
          <w:szCs w:val="18"/>
          <w:color w:val="auto"/>
        </w:rPr>
      </w:pPr>
    </w:p>
    <w:p>
      <w:pPr>
        <w:ind w:left="328" w:right="20" w:hanging="328"/>
        <w:spacing w:after="0" w:line="287" w:lineRule="auto"/>
        <w:tabs>
          <w:tab w:leader="none" w:pos="491"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Automatic Exercise in Certain Circumstances</w:t>
      </w:r>
      <w:r>
        <w:rPr>
          <w:rFonts w:ascii="Arial" w:cs="Arial" w:eastAsia="Arial" w:hAnsi="Arial"/>
          <w:sz w:val="18"/>
          <w:szCs w:val="18"/>
          <w:color w:val="auto"/>
        </w:rPr>
        <w:t>. Subject to subsection 2(i) of this Agreement, if any Options held by an active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are otherwise exercisable but remain unexercised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13" w:right="339" w:bottom="1440" w:gutter="0" w:footer="0" w:header="0"/>
        </w:sectPr>
      </w:pPr>
    </w:p>
    <w:bookmarkStart w:id="54" w:name="page55"/>
    <w:bookmarkEnd w:id="54"/>
    <w:p>
      <w:pPr>
        <w:jc w:val="both"/>
        <w:ind w:left="328"/>
        <w:spacing w:after="0" w:line="259" w:lineRule="auto"/>
        <w:rPr>
          <w:sz w:val="20"/>
          <w:szCs w:val="20"/>
          <w:color w:val="auto"/>
        </w:rPr>
      </w:pPr>
      <w:r>
        <w:rPr>
          <w:rFonts w:ascii="Arial" w:cs="Arial" w:eastAsia="Arial" w:hAnsi="Arial"/>
          <w:sz w:val="18"/>
          <w:szCs w:val="18"/>
          <w:color w:val="auto"/>
        </w:rPr>
        <w:t xml:space="preserve">close of business on </w:t>
      </w:r>
      <w:r>
        <w:rPr>
          <w:rFonts w:ascii="Arial" w:cs="Arial" w:eastAsia="Arial" w:hAnsi="Arial"/>
          <w:sz w:val="18"/>
          <w:szCs w:val="18"/>
          <w:b w:val="1"/>
          <w:bCs w:val="1"/>
          <w:color w:val="auto"/>
        </w:rPr>
        <w:t>###EXPIRY_DATE###</w:t>
      </w:r>
      <w:r>
        <w:rPr>
          <w:rFonts w:ascii="Arial" w:cs="Arial" w:eastAsia="Arial" w:hAnsi="Arial"/>
          <w:sz w:val="18"/>
          <w:szCs w:val="18"/>
          <w:color w:val="auto"/>
        </w:rPr>
        <w:t>, and if on that date the Fair Market Value of the shares subject to the exercisable but unexercised Options exceeds the aggregate payment that would have been required to exercise the Options, the Participant will automatically be paid an amount of Company shares having a Fair Market Value equal to such excess (rounding up to the nearest whole share), if any, and the Options will be cancelled. An automatic exercise will not occur if the Participant (and, if applicable, the Participant’s authorized legal representative) waives this subsection 2(h) in writing.</w:t>
      </w:r>
    </w:p>
    <w:p>
      <w:pPr>
        <w:spacing w:after="0" w:line="228" w:lineRule="exact"/>
        <w:rPr>
          <w:sz w:val="20"/>
          <w:szCs w:val="20"/>
          <w:color w:val="auto"/>
        </w:rPr>
      </w:pPr>
    </w:p>
    <w:p>
      <w:pPr>
        <w:jc w:val="both"/>
        <w:ind w:left="328"/>
        <w:spacing w:after="0" w:line="261" w:lineRule="auto"/>
        <w:rPr>
          <w:sz w:val="20"/>
          <w:szCs w:val="20"/>
          <w:color w:val="auto"/>
        </w:rPr>
      </w:pPr>
      <w:r>
        <w:rPr>
          <w:rFonts w:ascii="Arial" w:cs="Arial" w:eastAsia="Arial" w:hAnsi="Arial"/>
          <w:sz w:val="18"/>
          <w:szCs w:val="18"/>
          <w:color w:val="auto"/>
        </w:rPr>
        <w:t>The Participant acknowledges that tax and other legal requirements must be met prior to any settlement of Options under this subsection and consents to any tax or other consequences that may arise in connection with this subsection.</w:t>
      </w:r>
    </w:p>
    <w:p>
      <w:pPr>
        <w:spacing w:after="0" w:line="203" w:lineRule="exact"/>
        <w:rPr>
          <w:sz w:val="20"/>
          <w:szCs w:val="20"/>
          <w:color w:val="auto"/>
        </w:rPr>
      </w:pPr>
    </w:p>
    <w:p>
      <w:pPr>
        <w:jc w:val="both"/>
        <w:ind w:left="328" w:hanging="328"/>
        <w:spacing w:after="0" w:line="254" w:lineRule="auto"/>
        <w:tabs>
          <w:tab w:leader="none" w:pos="431"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Compliance with Laws and Regulations</w:t>
      </w:r>
      <w:r>
        <w:rPr>
          <w:rFonts w:ascii="Arial" w:cs="Arial" w:eastAsia="Arial" w:hAnsi="Arial"/>
          <w:sz w:val="18"/>
          <w:szCs w:val="18"/>
          <w:color w:val="auto"/>
        </w:rPr>
        <w:t>. Notwithstanding anything to the contrary in this Agreement, the Company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obligated to issue any shares under this Agreement issuance of the shares, or the exercise of the Options by the Participant, violates or is not in compliance with any laws, rules or regulations of the United States or any state or country. The Participant understands that, if applicable, the laws of the country where the Participant is working at the time of grant, vesting, and/or exercise of the Options (including any rules or regulations governing securities, foreign exchange, tax, labor or other matters) may restrict or prevent exercise of the Options or may subject the Participant to additional procedural or regulatory requirements that the Participant is solely responsible for and that the Participant will have to independently fulfill. The Company reserves the right to impose other requirements on the Participant’s participation in the Plan, awards under the Plan, and any shares acquired under the Plan, if the Company determines the requirement is necessary or advisable to comply with applicable law or facilitate the administration of the Plan.</w:t>
      </w:r>
    </w:p>
    <w:p>
      <w:pPr>
        <w:spacing w:after="0" w:line="212" w:lineRule="exact"/>
        <w:rPr>
          <w:rFonts w:ascii="Arial" w:cs="Arial" w:eastAsia="Arial" w:hAnsi="Arial"/>
          <w:sz w:val="18"/>
          <w:szCs w:val="18"/>
          <w:color w:val="auto"/>
        </w:rPr>
      </w:pPr>
    </w:p>
    <w:p>
      <w:pPr>
        <w:ind w:left="368" w:hanging="368"/>
        <w:spacing w:after="0"/>
        <w:tabs>
          <w:tab w:leader="none" w:pos="368"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Participant Acknowledgements</w:t>
      </w:r>
      <w:r>
        <w:rPr>
          <w:rFonts w:ascii="Arial" w:cs="Arial" w:eastAsia="Arial" w:hAnsi="Arial"/>
          <w:sz w:val="18"/>
          <w:szCs w:val="18"/>
          <w:color w:val="auto"/>
        </w:rPr>
        <w:t>. The Participant acknowledges and agrees that:</w:t>
      </w:r>
    </w:p>
    <w:p>
      <w:pPr>
        <w:spacing w:after="0" w:line="274" w:lineRule="exact"/>
        <w:rPr>
          <w:rFonts w:ascii="Arial" w:cs="Arial" w:eastAsia="Arial" w:hAnsi="Arial"/>
          <w:sz w:val="18"/>
          <w:szCs w:val="18"/>
          <w:color w:val="auto"/>
        </w:rPr>
      </w:pPr>
    </w:p>
    <w:p>
      <w:pPr>
        <w:jc w:val="both"/>
        <w:ind w:left="648" w:hanging="324"/>
        <w:spacing w:after="0" w:line="251" w:lineRule="auto"/>
        <w:tabs>
          <w:tab w:leader="none" w:pos="684"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Participant Obligations</w:t>
      </w:r>
      <w:r>
        <w:rPr>
          <w:rFonts w:ascii="Arial" w:cs="Arial" w:eastAsia="Arial" w:hAnsi="Arial"/>
          <w:sz w:val="18"/>
          <w:szCs w:val="18"/>
          <w:color w:val="auto"/>
        </w:rPr>
        <w:t>. In partial consideration for the award of these Options, if at any time during the period between the Grant Date and the 12-month period following the Participant’s termination of Employment (the “Obligation Period”), the Participant: (i) directly or indirectly, hires or solicits or arranges for the hiring or solicitation of any employee or customer of the Company or its Affiliates, or encourages any employee to leave the Company or an Affiliate; (ii) uses, discloses, misappropriates or transfers confidential or proprietary information concerning the Company or its Affiliates (except as required by the Participant’s work responsibilities with the Company or its Affiliates); or (iii) engages in any activity in violation of Company policies, including the Company’s Code of Conduct, or engages in conduct adverse to the best interests of the Company or its Affiliates; then the Options, whether previously vested or not, will be cancelled in full, and the Participant will be required to return to the Company any shares received on exercise of vested Options or the pre-tax income derived from any disposition of any shares received upon exercise of vested Options, unless the Company, in its sole discretion, elects not to cancel the Options.</w:t>
      </w:r>
    </w:p>
    <w:p>
      <w:pPr>
        <w:spacing w:after="0" w:line="238" w:lineRule="exact"/>
        <w:rPr>
          <w:sz w:val="20"/>
          <w:szCs w:val="20"/>
          <w:color w:val="auto"/>
        </w:rPr>
      </w:pPr>
    </w:p>
    <w:p>
      <w:pPr>
        <w:jc w:val="both"/>
        <w:ind w:left="648"/>
        <w:spacing w:after="0" w:line="252" w:lineRule="auto"/>
        <w:rPr>
          <w:sz w:val="20"/>
          <w:szCs w:val="20"/>
          <w:color w:val="auto"/>
        </w:rPr>
      </w:pPr>
      <w:r>
        <w:rPr>
          <w:rFonts w:ascii="Arial" w:cs="Arial" w:eastAsia="Arial" w:hAnsi="Arial"/>
          <w:sz w:val="18"/>
          <w:szCs w:val="18"/>
          <w:color w:val="auto"/>
        </w:rPr>
        <w:t>The obligations in this subsection are in addition to any other agreements related to non-solicitation and preservation of Company confidential and proprietary information entered into between the Participant and the Company, or otherwise applicable to the Participant, and nothing in this Agreement is intended to waive, modify, alter or amend the terms of any such other agreement. THE PARTICIPANT UNDERSTANDS THAT THIS SUBSECTION IS NOT INTENDED TO AND DOES NOT PROHIBIT THE CONDUCT DESCRIBED, BUT PROVIDES FOR THE CANCELLATION OF THE AWARD IN FULL AND A RETURN TO THE COMPANY OF ANY SHARES RECEIVED UPON SETTLEMENT OF EXERCISED VESTED OPTIONS OR THE GROSS TAXABLE PROCEEDS FROM THE DISPOSITION OF ANY SHARES RECEIVED UPON SETTLEMENT OF EXERCISED VESTED OPTIONS IF THE PARTICIPANT SHOULD CHOOSE TO VIOLATE THIS PARAGRAPH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8"/>
          </w:cols>
          <w:pgMar w:left="652" w:top="1413" w:right="339" w:bottom="1440" w:gutter="0" w:footer="0" w:header="0"/>
        </w:sectPr>
      </w:pPr>
    </w:p>
    <w:bookmarkStart w:id="55" w:name="page56"/>
    <w:bookmarkEnd w:id="55"/>
    <w:p>
      <w:pPr>
        <w:ind w:left="648"/>
        <w:spacing w:after="0" w:line="261" w:lineRule="auto"/>
        <w:rPr>
          <w:sz w:val="20"/>
          <w:szCs w:val="20"/>
          <w:color w:val="auto"/>
        </w:rPr>
      </w:pPr>
      <w:r>
        <w:rPr>
          <w:rFonts w:ascii="Arial" w:cs="Arial" w:eastAsia="Arial" w:hAnsi="Arial"/>
          <w:sz w:val="18"/>
          <w:szCs w:val="18"/>
          <w:color w:val="auto"/>
        </w:rPr>
        <w:t>OBLIGATION PERIOD. Nothing in this Agreement prohibits the Participant from voluntarily communicating, without notice to or approval by the Company, with any federal government agency about a potential violation of a federal law or regulation.</w:t>
      </w:r>
    </w:p>
    <w:p>
      <w:pPr>
        <w:spacing w:after="0" w:line="225" w:lineRule="exact"/>
        <w:rPr>
          <w:sz w:val="20"/>
          <w:szCs w:val="20"/>
          <w:color w:val="auto"/>
        </w:rPr>
      </w:pPr>
    </w:p>
    <w:p>
      <w:pPr>
        <w:jc w:val="both"/>
        <w:ind w:left="648" w:hanging="324"/>
        <w:spacing w:after="0" w:line="253" w:lineRule="auto"/>
        <w:tabs>
          <w:tab w:leader="none" w:pos="805"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Participant consents to electronic delivery of any Plan documents. The Participant consents to any and all procedures that the Company has established or may establish for an electronic signature system for delivery and acceptance of Plan related documents. The Participant agrees that his, her or their electronic signature is the same as, and will have the same force and effect as, his, her or their manual signature. Participant agrees that these procedures and delivery may be effected by a third party engaged by the Company to provide administrative services related to the Plan.</w:t>
      </w:r>
    </w:p>
    <w:p>
      <w:pPr>
        <w:spacing w:after="0" w:line="232" w:lineRule="exact"/>
        <w:rPr>
          <w:rFonts w:ascii="Arial" w:cs="Arial" w:eastAsia="Arial" w:hAnsi="Arial"/>
          <w:sz w:val="18"/>
          <w:szCs w:val="18"/>
          <w:color w:val="auto"/>
        </w:rPr>
      </w:pPr>
    </w:p>
    <w:p>
      <w:pPr>
        <w:jc w:val="both"/>
        <w:ind w:left="648" w:hanging="324"/>
        <w:spacing w:after="0" w:line="252" w:lineRule="auto"/>
        <w:tabs>
          <w:tab w:leader="none" w:pos="804"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Right of Set-Off</w:t>
      </w:r>
      <w:r>
        <w:rPr>
          <w:rFonts w:ascii="Arial" w:cs="Arial" w:eastAsia="Arial" w:hAnsi="Arial"/>
          <w:sz w:val="18"/>
          <w:szCs w:val="18"/>
          <w:color w:val="auto"/>
        </w:rPr>
        <w:t>. If the Company in its reasonable judgment determines that the Participant owes the Company or an Affiliate any amount due to any loan, obligation or indebtedness, including amounts owed under the Company’s tax equalization program or the Company’s policies with respect to travel and business expenses, and if the Participant has not satisfied such obligation(s), then the Company may instruct the plan administrator to withhold and/or sell shares acquired by the Participant on exercise of the Options (to the extent such shares are not subject to Code Section 409A), or the Company may deduct funds equal to the amount of the obligation from other funds due to the Participant from the Company to the maximum extent permitted by Code Section 409A.</w:t>
      </w:r>
    </w:p>
    <w:p>
      <w:pPr>
        <w:spacing w:after="0" w:line="233" w:lineRule="exact"/>
        <w:rPr>
          <w:rFonts w:ascii="Arial" w:cs="Arial" w:eastAsia="Arial" w:hAnsi="Arial"/>
          <w:sz w:val="18"/>
          <w:szCs w:val="18"/>
          <w:color w:val="auto"/>
        </w:rPr>
      </w:pPr>
    </w:p>
    <w:p>
      <w:pPr>
        <w:jc w:val="both"/>
        <w:ind w:left="648" w:hanging="324"/>
        <w:spacing w:after="0" w:line="251" w:lineRule="auto"/>
        <w:tabs>
          <w:tab w:leader="none" w:pos="93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Participant acknowledges and consents to the collection, use, processing and transfer of personal data. Participant is not obliged to consent to such collection, use, processing and transfer of personal data. However, failure to provide the consent may affect Participant’s ability to participate in the Plan. The Company holds certain personal information about Participant, that may include his/her name, home address and telephone number, date of birth, social security number or other employee identification number, salary grade, hire data, salary, nationality, job title, or details of all options or performance stock units or any other entitlement to shares of stock awarded, canceled, purchased, vested, or unvested, for the purpose of managing and administering the Plan (“</w:t>
      </w:r>
      <w:r>
        <w:rPr>
          <w:rFonts w:ascii="Arial" w:cs="Arial" w:eastAsia="Arial" w:hAnsi="Arial"/>
          <w:sz w:val="18"/>
          <w:szCs w:val="18"/>
          <w:b w:val="1"/>
          <w:bCs w:val="1"/>
          <w:color w:val="auto"/>
        </w:rPr>
        <w:t>Data</w:t>
      </w:r>
      <w:r>
        <w:rPr>
          <w:rFonts w:ascii="Arial" w:cs="Arial" w:eastAsia="Arial" w:hAnsi="Arial"/>
          <w:sz w:val="18"/>
          <w:szCs w:val="18"/>
          <w:color w:val="auto"/>
        </w:rPr>
        <w:t>”). The Company and its Affiliates will transfer Data amongst themselves as necessary for the purpose of implementation, administration and management of Participant’s participation in the Plan, and the Company or its Affiliates may each further transfer Data to any third parties assisting the Company with the implementation, administration and management of the Plan. These recipients may be located throughout the world, including the United States. The Participant authorizes them to receive, possess, use, retain and transfer the Data, in electronic or other form, for the purposes of implementing, administering and managing participation in the Plan, including any transfer of Data that may be required for the administration of the Plan and/or the subsequent holding of shares of stock on Participant’s behalf to a broker or other third party with whom Participant may elect to deposit any shares of stock acquired pursuant to the Plan. Participant may, at any time, review Data, require any necessary amendments to it or withdraw this consent in writing by contacting Participant’s designated Human Resources professional; however, withdrawing consent may affect Participant’s ability to participate in the Plan. All Data will be managed in compliance with the Company’s Data Privacy Guidelines and applicable employee notifications, which may contain more stringent requirements, but in any case will not be less stringent than subsection 2(j)(iv).</w:t>
      </w:r>
    </w:p>
    <w:p>
      <w:pPr>
        <w:spacing w:after="0" w:line="212" w:lineRule="exact"/>
        <w:rPr>
          <w:rFonts w:ascii="Arial" w:cs="Arial" w:eastAsia="Arial" w:hAnsi="Arial"/>
          <w:sz w:val="18"/>
          <w:szCs w:val="18"/>
          <w:color w:val="auto"/>
        </w:rPr>
      </w:pPr>
    </w:p>
    <w:p>
      <w:pPr>
        <w:jc w:val="both"/>
        <w:ind w:left="328" w:hanging="328"/>
        <w:spacing w:after="0" w:line="268" w:lineRule="auto"/>
        <w:tabs>
          <w:tab w:leader="none" w:pos="522"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is issued, and the Options are granted, in Rye Brook, New York and will be governed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in accordance with the laws of the State of New York, excluding any conflicts or choice of law rule or principle that might otherwise refer construction or interpretation of this Agreement to the substantive law of another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8"/>
          </w:cols>
          <w:pgMar w:left="652" w:top="1435" w:right="339" w:bottom="1440" w:gutter="0" w:footer="0" w:header="0"/>
        </w:sectPr>
      </w:pPr>
    </w:p>
    <w:bookmarkStart w:id="56" w:name="page57"/>
    <w:bookmarkEnd w:id="56"/>
    <w:p>
      <w:pPr>
        <w:jc w:val="both"/>
        <w:spacing w:after="0" w:line="261" w:lineRule="auto"/>
        <w:rPr>
          <w:sz w:val="20"/>
          <w:szCs w:val="20"/>
          <w:color w:val="auto"/>
        </w:rPr>
      </w:pPr>
      <w:r>
        <w:rPr>
          <w:rFonts w:ascii="Arial" w:cs="Arial" w:eastAsia="Arial" w:hAnsi="Arial"/>
          <w:sz w:val="18"/>
          <w:szCs w:val="18"/>
          <w:i w:val="1"/>
          <w:iCs w:val="1"/>
          <w:color w:val="auto"/>
        </w:rPr>
        <w:t>By signing a copy of this Agreement, the Participant acknowledges that s/he has received a copy of the Plan and that s/he has read and understands the Plan and this Agreement and agrees to their terms and conditions. The Participant also acknowledges that the Options awarded under to this Agreement must be exercised prior to the expiration date, that it is the Participant's responsibility to exercise the Options, and that the Company has no further responsibility to notify the Participant of the expiration of the Options.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Agreed to:</w:t>
            </w:r>
          </w:p>
        </w:tc>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XYLEM INC.</w:t>
            </w:r>
          </w:p>
        </w:tc>
      </w:tr>
      <w:tr>
        <w:trPr>
          <w:trHeight w:val="769"/>
        </w:trPr>
        <w:tc>
          <w:tcPr>
            <w:tcW w:w="8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K. Decker</w:t>
            </w:r>
          </w:p>
        </w:tc>
      </w:tr>
      <w:tr>
        <w:trPr>
          <w:trHeight w:val="344"/>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Participant</w:t>
            </w:r>
          </w:p>
        </w:tc>
        <w:tc>
          <w:tcPr>
            <w:tcW w:w="4300" w:type="dxa"/>
            <w:vAlign w:val="bottom"/>
          </w:tcPr>
          <w:p>
            <w:pPr>
              <w:ind w:left="60"/>
              <w:spacing w:after="0"/>
              <w:rPr>
                <w:sz w:val="20"/>
                <w:szCs w:val="20"/>
                <w:color w:val="auto"/>
              </w:rPr>
            </w:pPr>
            <w:r>
              <w:rPr>
                <w:rFonts w:ascii="Arial" w:cs="Arial" w:eastAsia="Arial" w:hAnsi="Arial"/>
                <w:sz w:val="18"/>
                <w:szCs w:val="18"/>
                <w:color w:val="auto"/>
              </w:rPr>
              <w:t>Patrick K. Decker, President and CEO</w:t>
            </w:r>
          </w:p>
        </w:tc>
      </w:tr>
      <w:tr>
        <w:trPr>
          <w:trHeight w:val="338"/>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(Online Acceptance Constitutes Agreement)</w:t>
            </w:r>
          </w:p>
        </w:tc>
        <w:tc>
          <w:tcPr>
            <w:tcW w:w="4300" w:type="dxa"/>
            <w:vAlign w:val="bottom"/>
          </w:tcPr>
          <w:p>
            <w:pPr>
              <w:spacing w:after="0"/>
              <w:rPr>
                <w:sz w:val="24"/>
                <w:szCs w:val="24"/>
                <w:color w:val="auto"/>
              </w:rPr>
            </w:pPr>
          </w:p>
        </w:tc>
      </w:tr>
      <w:tr>
        <w:trPr>
          <w:trHeight w:val="351"/>
        </w:trPr>
        <w:tc>
          <w:tcPr>
            <w:tcW w:w="860" w:type="dxa"/>
            <w:vAlign w:val="bottom"/>
          </w:tcPr>
          <w:p>
            <w:pPr>
              <w:ind w:left="20"/>
              <w:spacing w:after="0"/>
              <w:rPr>
                <w:sz w:val="20"/>
                <w:szCs w:val="20"/>
                <w:color w:val="auto"/>
              </w:rPr>
            </w:pPr>
            <w:r>
              <w:rPr>
                <w:rFonts w:ascii="Arial" w:cs="Arial" w:eastAsia="Arial" w:hAnsi="Arial"/>
                <w:sz w:val="18"/>
                <w:szCs w:val="18"/>
                <w:color w:val="auto"/>
              </w:rPr>
              <w:t>Dated:</w:t>
            </w:r>
          </w:p>
        </w:tc>
        <w:tc>
          <w:tcPr>
            <w:tcW w:w="2380" w:type="dxa"/>
            <w:vAlign w:val="bottom"/>
            <w:tcBorders>
              <w:bottom w:val="single" w:sz="8" w:color="auto"/>
            </w:tcBorders>
          </w:tcPr>
          <w:p>
            <w:pPr>
              <w:spacing w:after="0"/>
              <w:rPr>
                <w:sz w:val="24"/>
                <w:szCs w:val="24"/>
                <w:color w:val="auto"/>
              </w:rPr>
            </w:pPr>
          </w:p>
        </w:tc>
        <w:tc>
          <w:tcPr>
            <w:tcW w:w="3700" w:type="dxa"/>
            <w:vAlign w:val="bottom"/>
            <w:gridSpan w:val="2"/>
          </w:tcPr>
          <w:p>
            <w:pPr>
              <w:spacing w:after="0"/>
              <w:rPr>
                <w:sz w:val="24"/>
                <w:szCs w:val="24"/>
                <w:color w:val="auto"/>
              </w:rPr>
            </w:pPr>
          </w:p>
        </w:tc>
        <w:tc>
          <w:tcPr>
            <w:tcW w:w="4300" w:type="dxa"/>
            <w:vAlign w:val="bottom"/>
          </w:tcPr>
          <w:p>
            <w:pPr>
              <w:ind w:left="6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b w:val="1"/>
                <w:bCs w:val="1"/>
                <w:color w:val="auto"/>
              </w:rPr>
              <w:t>###GRANT_DATE###</w:t>
            </w:r>
          </w:p>
        </w:tc>
      </w:tr>
      <w:tr>
        <w:trPr>
          <w:trHeight w:val="790"/>
        </w:trPr>
        <w:tc>
          <w:tcPr>
            <w:tcW w:w="6940" w:type="dxa"/>
            <w:vAlign w:val="bottom"/>
            <w:gridSpan w:val="4"/>
          </w:tcPr>
          <w:p>
            <w:pPr>
              <w:spacing w:after="0"/>
              <w:rPr>
                <w:sz w:val="20"/>
                <w:szCs w:val="20"/>
                <w:color w:val="auto"/>
              </w:rPr>
            </w:pPr>
            <w:r>
              <w:rPr>
                <w:rFonts w:ascii="Arial" w:cs="Arial" w:eastAsia="Arial" w:hAnsi="Arial"/>
                <w:sz w:val="18"/>
                <w:szCs w:val="18"/>
                <w:color w:val="auto"/>
              </w:rPr>
              <w:t>Enclosures</w:t>
            </w:r>
          </w:p>
        </w:tc>
        <w:tc>
          <w:tcPr>
            <w:tcW w:w="4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Patrick K. Decker, certify that:</w:t>
      </w:r>
    </w:p>
    <w:p>
      <w:pPr>
        <w:spacing w:after="0" w:line="117"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June 30, 2021;</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Patrick K. Decker</w:t>
            </w:r>
          </w:p>
        </w:tc>
        <w:tc>
          <w:tcPr>
            <w:tcW w:w="0" w:type="dxa"/>
            <w:vAlign w:val="bottom"/>
          </w:tcPr>
          <w:p>
            <w:pPr>
              <w:spacing w:after="0"/>
              <w:rPr>
                <w:sz w:val="1"/>
                <w:szCs w:val="1"/>
                <w:color w:val="auto"/>
              </w:rPr>
            </w:pPr>
          </w:p>
        </w:tc>
      </w:tr>
      <w:tr>
        <w:trPr>
          <w:trHeight w:val="182"/>
        </w:trPr>
        <w:tc>
          <w:tcPr>
            <w:tcW w:w="6600" w:type="dxa"/>
            <w:vAlign w:val="bottom"/>
          </w:tcPr>
          <w:p>
            <w:pPr>
              <w:spacing w:after="0"/>
              <w:rPr>
                <w:sz w:val="15"/>
                <w:szCs w:val="15"/>
                <w:color w:val="auto"/>
              </w:rPr>
            </w:pPr>
          </w:p>
        </w:tc>
        <w:tc>
          <w:tcPr>
            <w:tcW w:w="4100" w:type="dxa"/>
            <w:vAlign w:val="bottom"/>
          </w:tcPr>
          <w:p>
            <w:pPr>
              <w:ind w:left="40"/>
              <w:spacing w:after="0" w:line="182" w:lineRule="exact"/>
              <w:rPr>
                <w:sz w:val="20"/>
                <w:szCs w:val="20"/>
                <w:color w:val="auto"/>
              </w:rPr>
            </w:pPr>
            <w:r>
              <w:rPr>
                <w:rFonts w:ascii="Arial" w:cs="Arial" w:eastAsia="Arial" w:hAnsi="Arial"/>
                <w:sz w:val="18"/>
                <w:szCs w:val="18"/>
                <w:color w:val="auto"/>
              </w:rPr>
              <w:t>Patrick K. Decker</w:t>
            </w:r>
          </w:p>
        </w:tc>
        <w:tc>
          <w:tcPr>
            <w:tcW w:w="0" w:type="dxa"/>
            <w:vAlign w:val="bottom"/>
          </w:tcPr>
          <w:p>
            <w:pPr>
              <w:spacing w:after="0"/>
              <w:rPr>
                <w:sz w:val="1"/>
                <w:szCs w:val="1"/>
                <w:color w:val="auto"/>
              </w:rPr>
            </w:pPr>
          </w:p>
        </w:tc>
      </w:tr>
      <w:tr>
        <w:trPr>
          <w:trHeight w:val="217"/>
        </w:trPr>
        <w:tc>
          <w:tcPr>
            <w:tcW w:w="6600" w:type="dxa"/>
            <w:vAlign w:val="bottom"/>
            <w:vMerge w:val="restart"/>
          </w:tcPr>
          <w:p>
            <w:pPr>
              <w:spacing w:after="0"/>
              <w:rPr>
                <w:sz w:val="20"/>
                <w:szCs w:val="20"/>
                <w:color w:val="auto"/>
              </w:rPr>
            </w:pPr>
            <w:r>
              <w:rPr>
                <w:rFonts w:ascii="Arial" w:cs="Arial" w:eastAsia="Arial" w:hAnsi="Arial"/>
                <w:sz w:val="18"/>
                <w:szCs w:val="18"/>
                <w:color w:val="auto"/>
              </w:rPr>
              <w:t>Date: August 3, 2021</w:t>
            </w:r>
          </w:p>
        </w:tc>
        <w:tc>
          <w:tcPr>
            <w:tcW w:w="410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08"/>
        </w:trPr>
        <w:tc>
          <w:tcPr>
            <w:tcW w:w="6600" w:type="dxa"/>
            <w:vAlign w:val="bottom"/>
            <w:vMerge w:val="continue"/>
          </w:tcPr>
          <w:p>
            <w:pPr>
              <w:spacing w:after="0"/>
              <w:rPr>
                <w:sz w:val="9"/>
                <w:szCs w:val="9"/>
                <w:color w:val="auto"/>
              </w:rPr>
            </w:pPr>
          </w:p>
        </w:tc>
        <w:tc>
          <w:tcPr>
            <w:tcW w:w="4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Sandra E. Rowland, certify that:</w:t>
      </w:r>
    </w:p>
    <w:p>
      <w:pPr>
        <w:spacing w:after="0" w:line="117"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June 30, 2021;</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18"/>
                <w:szCs w:val="18"/>
                <w:color w:val="auto"/>
              </w:rPr>
            </w:pPr>
          </w:p>
        </w:tc>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Sandra E. Rowland</w:t>
            </w:r>
          </w:p>
        </w:tc>
        <w:tc>
          <w:tcPr>
            <w:tcW w:w="0" w:type="dxa"/>
            <w:vAlign w:val="bottom"/>
          </w:tcPr>
          <w:p>
            <w:pPr>
              <w:spacing w:after="0"/>
              <w:rPr>
                <w:sz w:val="1"/>
                <w:szCs w:val="1"/>
                <w:color w:val="auto"/>
              </w:rPr>
            </w:pPr>
          </w:p>
        </w:tc>
      </w:tr>
      <w:tr>
        <w:trPr>
          <w:trHeight w:val="182"/>
        </w:trPr>
        <w:tc>
          <w:tcPr>
            <w:tcW w:w="6600" w:type="dxa"/>
            <w:vAlign w:val="bottom"/>
          </w:tcPr>
          <w:p>
            <w:pPr>
              <w:spacing w:after="0"/>
              <w:rPr>
                <w:sz w:val="15"/>
                <w:szCs w:val="15"/>
                <w:color w:val="auto"/>
              </w:rPr>
            </w:pPr>
          </w:p>
        </w:tc>
        <w:tc>
          <w:tcPr>
            <w:tcW w:w="4100" w:type="dxa"/>
            <w:vAlign w:val="bottom"/>
          </w:tcPr>
          <w:p>
            <w:pPr>
              <w:ind w:left="40"/>
              <w:spacing w:after="0" w:line="182" w:lineRule="exact"/>
              <w:rPr>
                <w:sz w:val="20"/>
                <w:szCs w:val="20"/>
                <w:color w:val="auto"/>
              </w:rPr>
            </w:pPr>
            <w:r>
              <w:rPr>
                <w:rFonts w:ascii="Arial" w:cs="Arial" w:eastAsia="Arial" w:hAnsi="Arial"/>
                <w:sz w:val="18"/>
                <w:szCs w:val="18"/>
                <w:color w:val="auto"/>
              </w:rPr>
              <w:t>Sandra E. Rowland</w:t>
            </w:r>
          </w:p>
        </w:tc>
        <w:tc>
          <w:tcPr>
            <w:tcW w:w="0" w:type="dxa"/>
            <w:vAlign w:val="bottom"/>
          </w:tcPr>
          <w:p>
            <w:pPr>
              <w:spacing w:after="0"/>
              <w:rPr>
                <w:sz w:val="1"/>
                <w:szCs w:val="1"/>
                <w:color w:val="auto"/>
              </w:rPr>
            </w:pPr>
          </w:p>
        </w:tc>
      </w:tr>
      <w:tr>
        <w:trPr>
          <w:trHeight w:val="217"/>
        </w:trPr>
        <w:tc>
          <w:tcPr>
            <w:tcW w:w="6600" w:type="dxa"/>
            <w:vAlign w:val="bottom"/>
            <w:vMerge w:val="restart"/>
          </w:tcPr>
          <w:p>
            <w:pPr>
              <w:spacing w:after="0"/>
              <w:rPr>
                <w:sz w:val="20"/>
                <w:szCs w:val="20"/>
                <w:color w:val="auto"/>
              </w:rPr>
            </w:pPr>
            <w:r>
              <w:rPr>
                <w:rFonts w:ascii="Arial" w:cs="Arial" w:eastAsia="Arial" w:hAnsi="Arial"/>
                <w:sz w:val="18"/>
                <w:szCs w:val="18"/>
                <w:color w:val="auto"/>
              </w:rPr>
              <w:t>Date: August 3, 2021</w:t>
            </w:r>
          </w:p>
        </w:tc>
        <w:tc>
          <w:tcPr>
            <w:tcW w:w="4100" w:type="dxa"/>
            <w:vAlign w:val="bottom"/>
          </w:tcPr>
          <w:p>
            <w:pPr>
              <w:ind w:left="4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108"/>
        </w:trPr>
        <w:tc>
          <w:tcPr>
            <w:tcW w:w="6600" w:type="dxa"/>
            <w:vAlign w:val="bottom"/>
            <w:vMerge w:val="continue"/>
          </w:tcPr>
          <w:p>
            <w:pPr>
              <w:spacing w:after="0"/>
              <w:rPr>
                <w:sz w:val="9"/>
                <w:szCs w:val="9"/>
                <w:color w:val="auto"/>
              </w:rPr>
            </w:pPr>
          </w:p>
        </w:tc>
        <w:tc>
          <w:tcPr>
            <w:tcW w:w="4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jc w:val="both"/>
        <w:ind w:right="340"/>
        <w:spacing w:after="0" w:line="278" w:lineRule="auto"/>
        <w:rPr>
          <w:sz w:val="20"/>
          <w:szCs w:val="20"/>
          <w:color w:val="auto"/>
        </w:rPr>
      </w:pPr>
      <w:r>
        <w:rPr>
          <w:rFonts w:ascii="Arial" w:cs="Arial" w:eastAsia="Arial" w:hAnsi="Arial"/>
          <w:sz w:val="17"/>
          <w:szCs w:val="17"/>
          <w:color w:val="auto"/>
        </w:rPr>
        <w:t>In connection with the Quarterly Report on Form 10-Q of Xylem Inc. (the “Company”) for the period ended June 30, 2021 as filed with the Securities and Exchange Commission on the date hereof (the “Report”), I, Patrick K. Decker, President and Chief Executive Officer of the Company, certify, pursuant to 18 U.S.C. 1350, as adopted pursuant to 906 of the Sarbanes-Oxley Act of 2002, to my knowledge, that:</w:t>
      </w:r>
    </w:p>
    <w:p>
      <w:pPr>
        <w:spacing w:after="0" w:line="77"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31203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K. Decker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3, 2021</w:t>
      </w:r>
    </w:p>
    <w:p>
      <w:pPr>
        <w:spacing w:after="0" w:line="19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In connection with the Quarterly Report on Form 10-Q of Xylem Inc. (the “Company”) for the period ended June 30, 2021 as filed with the Securities and Exchange Commission on the date hereof (the “Report”), I, Sandra E. Rowland, Senior Vice President and Chief Financial Officer of the Company, certify, pursuant to 18 U.S.C. 1350, as adopted pursuant to 906 of the Sarbanes-Oxley Act of 2002, to my knowledge, that:</w:t>
      </w:r>
    </w:p>
    <w:p>
      <w:pPr>
        <w:spacing w:after="0" w:line="96"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31203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Rowland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3, 2021</w:t>
      </w:r>
    </w:p>
    <w:p>
      <w:pPr>
        <w:spacing w:after="0" w:line="19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Letter"/>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decimal"/>
      <w:start w:val="1"/>
    </w:lvl>
    <w:lvl w:ilvl="1">
      <w:lvlJc w:val="left"/>
      <w:lvlText w:val="(%2)"/>
      <w:numFmt w:val="lowerLetter"/>
      <w:start w:val="1"/>
    </w:lvl>
  </w:abstractNum>
  <w:abstractNum w:abstractNumId="23">
    <w:nsid w:val="3A95F874"/>
    <w:multiLevelType w:val="hybridMultilevel"/>
    <w:lvl w:ilvl="0">
      <w:lvlJc w:val="left"/>
      <w:lvlText w:val="(%1)"/>
      <w:numFmt w:val="lowerLetter"/>
      <w:start w:val="2"/>
    </w:lvl>
  </w:abstractNum>
  <w:abstractNum w:abstractNumId="24">
    <w:nsid w:val="8138641"/>
    <w:multiLevelType w:val="hybridMultilevel"/>
    <w:lvl w:ilvl="0">
      <w:lvlJc w:val="left"/>
      <w:lvlText w:val="(%1)"/>
      <w:numFmt w:val="lowerLetter"/>
      <w:start w:val="4"/>
    </w:lvl>
  </w:abstractNum>
  <w:abstractNum w:abstractNumId="25">
    <w:nsid w:val="1E7FF521"/>
    <w:multiLevelType w:val="hybridMultilevel"/>
    <w:lvl w:ilvl="0">
      <w:lvlJc w:val="left"/>
      <w:lvlText w:val="(%1)"/>
      <w:numFmt w:val="lowerLetter"/>
      <w:start w:val="5"/>
    </w:lvl>
    <w:lvl w:ilvl="1">
      <w:lvlJc w:val="left"/>
      <w:lvlText w:val="(%2)"/>
      <w:numFmt w:val="lowerLetter"/>
      <w:start w:val="9"/>
    </w:lvl>
  </w:abstractNum>
  <w:abstractNum w:abstractNumId="26">
    <w:nsid w:val="7C3DBD3D"/>
    <w:multiLevelType w:val="hybridMultilevel"/>
    <w:lvl w:ilvl="0">
      <w:lvlJc w:val="left"/>
      <w:lvlText w:val="(%1)"/>
      <w:numFmt w:val="lowerRoman"/>
      <w:start w:val="2"/>
    </w:lvl>
  </w:abstractNum>
  <w:abstractNum w:abstractNumId="27">
    <w:nsid w:val="737B8DDC"/>
    <w:multiLevelType w:val="hybridMultilevel"/>
    <w:lvl w:ilvl="0">
      <w:lvlJc w:val="left"/>
      <w:lvlText w:val="(%1)"/>
      <w:numFmt w:val="lowerLetter"/>
      <w:start w:val="6"/>
    </w:lvl>
  </w:abstractNum>
  <w:abstractNum w:abstractNumId="28">
    <w:nsid w:val="6CEAF087"/>
    <w:multiLevelType w:val="hybridMultilevel"/>
    <w:lvl w:ilvl="0">
      <w:lvlJc w:val="left"/>
      <w:lvlText w:val="(%1)"/>
      <w:numFmt w:val="lowerLetter"/>
      <w:start w:val="9"/>
    </w:lvl>
    <w:lvl w:ilvl="1">
      <w:lvlJc w:val="left"/>
      <w:lvlText w:val="(%2)"/>
      <w:numFmt w:val="lowerLetter"/>
      <w:start w:val="9"/>
    </w:lvl>
  </w:abstractNum>
  <w:abstractNum w:abstractNumId="29">
    <w:nsid w:val="22221A70"/>
    <w:multiLevelType w:val="hybridMultilevel"/>
    <w:lvl w:ilvl="0">
      <w:lvlJc w:val="left"/>
      <w:lvlText w:val="%1"/>
      <w:numFmt w:val="lowerLetter"/>
      <w:start w:val="1"/>
    </w:lvl>
    <w:lvl w:ilvl="1">
      <w:lvlJc w:val="left"/>
      <w:lvlText w:val="(%2)"/>
      <w:numFmt w:val="lowerRoman"/>
      <w:start w:val="2"/>
    </w:lvl>
  </w:abstractNum>
  <w:abstractNum w:abstractNumId="30">
    <w:nsid w:val="4516DDE9"/>
    <w:multiLevelType w:val="hybridMultilevel"/>
    <w:lvl w:ilvl="0">
      <w:lvlJc w:val="left"/>
      <w:lvlText w:val="(%1)"/>
      <w:numFmt w:val="lowerLetter"/>
      <w:start w:val="11"/>
    </w:lvl>
    <w:lvl w:ilvl="1">
      <w:lvlJc w:val="left"/>
      <w:lvlText w:val="%2"/>
      <w:numFmt w:val="lowerRoman"/>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1" Type="http://schemas.openxmlformats.org/officeDocument/2006/relationships/hyperlink" Target="http://www.sec.gov/Archives/edgar/data/1524472/000152447217000027/a8-k31xcharter.htm" TargetMode="External"/><Relationship Id="rId72" Type="http://schemas.openxmlformats.org/officeDocument/2006/relationships/hyperlink" Target="http://www.sec.gov/Archives/edgar/data/1524472/000152447217000027/a8-k32xbyx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2021-08-03T11:55:22Z</dcterms:created>
  <dcterms:modified xsi:type="dcterms:W3CDTF">2021-08-03T11:55:22Z</dcterms:modified>
</cp:coreProperties>
</file>