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18,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162560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162560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Xylem Inc.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164465</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45-2080495</w:t>
      </w:r>
    </w:p>
    <w:p>
      <w:pPr>
        <w:spacing w:after="0" w:line="20" w:lineRule="exact"/>
        <w:rPr>
          <w:sz w:val="24"/>
          <w:szCs w:val="24"/>
          <w:color w:val="auto"/>
        </w:rPr>
      </w:pPr>
    </w:p>
    <w:p>
      <w:pPr>
        <w:sectPr>
          <w:pgSz w:w="11900" w:h="16838" w:orient="portrait"/>
          <w:cols w:equalWidth="0" w:num="2">
            <w:col w:w="7100" w:space="720"/>
            <w:col w:w="3020"/>
          </w:cols>
          <w:pgMar w:left="500" w:top="224" w:right="55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7"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301 Water Street SE</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20003</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840"/>
          </w:cols>
          <w:pgMar w:left="500" w:top="224" w:right="559" w:bottom="1440" w:gutter="0" w:footer="0" w:header="0"/>
          <w:type w:val="continuous"/>
        </w:sectPr>
      </w:pP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Xylem Inc. 2026 Employee Stock Purchase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Stacy Cozad</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Xylem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301 Water Street SE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20003</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 869-9150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156210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Sean C. Feller,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2000 Avenue of the Stars, Suite 1200N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Los Angeles, CA 90067-4700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(310) 552-8500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Facsimile: (310) 551-8741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173355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8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0"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jc w:val="both"/>
        <w:ind w:right="80" w:firstLine="436"/>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Xylem Inc., an Indiana corporation (the “Registrant”), to register 4,000,000 shares of the Registrant’s common stock, par value $0.01 per share, issuable under the Xylem Inc. 2026 Employee Stock Purchase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18" w:lineRule="exact"/>
        <w:rPr>
          <w:sz w:val="20"/>
          <w:szCs w:val="20"/>
          <w:color w:val="auto"/>
        </w:rPr>
      </w:pPr>
    </w:p>
    <w:p>
      <w:pPr>
        <w:ind w:right="40" w:firstLine="436"/>
        <w:spacing w:after="0" w:line="273" w:lineRule="auto"/>
        <w:rPr>
          <w:sz w:val="20"/>
          <w:szCs w:val="20"/>
          <w:color w:val="auto"/>
        </w:rPr>
      </w:pPr>
      <w:r>
        <w:rPr>
          <w:rFonts w:ascii="Times New Roman" w:cs="Times New Roman" w:eastAsia="Times New Roman" w:hAnsi="Times New Roman"/>
          <w:sz w:val="17"/>
          <w:szCs w:val="17"/>
          <w:color w:val="auto"/>
        </w:rPr>
        <w:t>The documents containing the information specified in Part I of Form S-8 will be delivered to participants as specified by Rule 428(b)(1) under the Securities Act of 1933, as amended (the “Securities Act”). In accordance with the instructions of Part I of Form S-8, such documents are not being filed with the Securities and Exchange Commission (the “Commission”) either as part of this Registration Statement or as prospectuses or prospectus supplements pursuant to Rule 424 under the Securities Act. Such documents and the documents incorporated by reference in this Registration Statement pursuant to Item 3 of Part II of Form S-8, taken together, constitute a prospectus that meets the requirements of Section 10(a) of the Securities Act.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40" w:firstLine="436"/>
        <w:spacing w:after="0" w:line="308" w:lineRule="auto"/>
        <w:rPr>
          <w:sz w:val="20"/>
          <w:szCs w:val="20"/>
          <w:color w:val="auto"/>
        </w:rPr>
      </w:pPr>
      <w:r>
        <w:rPr>
          <w:rFonts w:ascii="Times New Roman" w:cs="Times New Roman" w:eastAsia="Times New Roman" w:hAnsi="Times New Roman"/>
          <w:sz w:val="17"/>
          <w:szCs w:val="17"/>
          <w:color w:val="auto"/>
        </w:rPr>
        <w:t>The following documents, which have previously been filed by the Registrant with the Commission pursuant to the Securities Act and pursuant to the Securities Exchange Act of 1934, as amended (the “Exchange Act”), are incorporated by reference herein and shall be deemed to be a part hereof:</w:t>
      </w:r>
    </w:p>
    <w:p>
      <w:pPr>
        <w:spacing w:after="0" w:line="33" w:lineRule="exact"/>
        <w:rPr>
          <w:sz w:val="20"/>
          <w:szCs w:val="20"/>
          <w:color w:val="auto"/>
        </w:rPr>
      </w:pPr>
    </w:p>
    <w:p>
      <w:pPr>
        <w:ind w:left="680" w:hanging="250"/>
        <w:spacing w:after="0"/>
        <w:tabs>
          <w:tab w:leader="none" w:pos="68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the Registrant’s Annual Report on Form 10-K for the fiscal year ended December 31, 2025 filed with the Commission on February 25, 2026</w:t>
        </w:r>
      </w:hyperlink>
      <w:r>
        <w:rPr>
          <w:rFonts w:ascii="Times New Roman" w:cs="Times New Roman" w:eastAsia="Times New Roman" w:hAnsi="Times New Roman"/>
          <w:sz w:val="18"/>
          <w:szCs w:val="18"/>
          <w:color w:val="000000"/>
        </w:rPr>
        <w:t>;</w:t>
      </w:r>
    </w:p>
    <w:p>
      <w:pPr>
        <w:spacing w:after="0" w:line="113" w:lineRule="exact"/>
        <w:rPr>
          <w:rFonts w:ascii="Times New Roman" w:cs="Times New Roman" w:eastAsia="Times New Roman" w:hAnsi="Times New Roman"/>
          <w:sz w:val="18"/>
          <w:szCs w:val="18"/>
          <w:color w:val="0000EE"/>
        </w:rPr>
      </w:pPr>
    </w:p>
    <w:p>
      <w:pPr>
        <w:ind w:left="680" w:hanging="250"/>
        <w:spacing w:after="0"/>
        <w:tabs>
          <w:tab w:leader="none" w:pos="680" w:val="left"/>
        </w:tabs>
        <w:numPr>
          <w:ilvl w:val="0"/>
          <w:numId w:val="1"/>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the Registrant’s Quarterly Report on Form 10-Q for the quarter ended March 31, 2026 filed with the Commission on April 28, 2026;</w:t>
        </w:r>
      </w:hyperlink>
    </w:p>
    <w:p>
      <w:pPr>
        <w:spacing w:after="0" w:line="113" w:lineRule="exact"/>
        <w:rPr>
          <w:rFonts w:ascii="Times New Roman" w:cs="Times New Roman" w:eastAsia="Times New Roman" w:hAnsi="Times New Roman"/>
          <w:sz w:val="18"/>
          <w:szCs w:val="18"/>
          <w:u w:val="single" w:color="auto"/>
          <w:color w:val="0000EE"/>
        </w:rPr>
      </w:pPr>
    </w:p>
    <w:p>
      <w:pPr>
        <w:ind w:left="680" w:hanging="250"/>
        <w:spacing w:after="0"/>
        <w:tabs>
          <w:tab w:leader="none" w:pos="68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the Registrant’s Current Report on Form 8-K filed with the Commission on February 10, 2026</w:t>
        </w:r>
      </w:hyperlink>
      <w:r>
        <w:rPr>
          <w:rFonts w:ascii="Times New Roman" w:cs="Times New Roman" w:eastAsia="Times New Roman" w:hAnsi="Times New Roman"/>
          <w:sz w:val="18"/>
          <w:szCs w:val="18"/>
          <w:color w:val="000000"/>
        </w:rPr>
        <w:t>;</w:t>
      </w:r>
    </w:p>
    <w:p>
      <w:pPr>
        <w:spacing w:after="0" w:line="113" w:lineRule="exact"/>
        <w:rPr>
          <w:rFonts w:ascii="Times New Roman" w:cs="Times New Roman" w:eastAsia="Times New Roman" w:hAnsi="Times New Roman"/>
          <w:sz w:val="18"/>
          <w:szCs w:val="18"/>
          <w:color w:val="0000EE"/>
        </w:rPr>
      </w:pPr>
    </w:p>
    <w:p>
      <w:pPr>
        <w:ind w:left="680" w:hanging="250"/>
        <w:spacing w:after="0"/>
        <w:tabs>
          <w:tab w:leader="none" w:pos="680" w:val="left"/>
        </w:tabs>
        <w:numPr>
          <w:ilvl w:val="0"/>
          <w:numId w:val="1"/>
        </w:numPr>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the Registrant’s Current Report on Form 8-K filed with the Commission on April 28, 2026 and</w:t>
        </w:r>
      </w:hyperlink>
    </w:p>
    <w:p>
      <w:pPr>
        <w:spacing w:after="0" w:line="113" w:lineRule="exact"/>
        <w:rPr>
          <w:rFonts w:ascii="Times New Roman" w:cs="Times New Roman" w:eastAsia="Times New Roman" w:hAnsi="Times New Roman"/>
          <w:sz w:val="18"/>
          <w:szCs w:val="18"/>
          <w:u w:val="single" w:color="auto"/>
          <w:color w:val="0000EE"/>
        </w:rPr>
      </w:pPr>
    </w:p>
    <w:p>
      <w:pPr>
        <w:ind w:right="40" w:firstLine="430"/>
        <w:spacing w:after="0" w:line="262"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securities filed as </w:t>
      </w:r>
      <w:hyperlink r:id="rId2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Commission on February 24, 2023, together with any amendment or report filed with the Commission for the purpose of updating such description.</w:t>
      </w:r>
    </w:p>
    <w:p>
      <w:pPr>
        <w:spacing w:after="0" w:line="177" w:lineRule="exact"/>
        <w:rPr>
          <w:rFonts w:ascii="Times New Roman" w:cs="Times New Roman" w:eastAsia="Times New Roman" w:hAnsi="Times New Roman"/>
          <w:sz w:val="18"/>
          <w:szCs w:val="18"/>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with the Commission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that it may from time to time furnish to the Commission will be incorporated by reference into, or otherwise included in, this Registration Statement.</w:t>
      </w:r>
    </w:p>
    <w:p>
      <w:pPr>
        <w:spacing w:after="0" w:line="187" w:lineRule="exact"/>
        <w:rPr>
          <w:rFonts w:ascii="Times New Roman" w:cs="Times New Roman" w:eastAsia="Times New Roman" w:hAnsi="Times New Roman"/>
          <w:sz w:val="18"/>
          <w:szCs w:val="18"/>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ind w:right="200" w:firstLine="436"/>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following provisions, or otherwise, we have been advised that in the opinion of the Commission such indemnification is against public policy as expressed in the Securities Act and is, therefore, unenforceable.</w:t>
      </w:r>
    </w:p>
    <w:p>
      <w:pPr>
        <w:spacing w:after="0" w:line="177"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Indiana Business Corporation Law (“IBCL”), the provisions of which we are governed by, empowers an Indiana corporation to indemnify present and former directors, officers, employees or agents or any person who may have served at the request of the corporation as a director, officer, employee or agent of another corporation (“Eligible Persons”) against liability incurred in any proceeding, civil or criminal, in which the Eligible Person is made a party by reason of being or having been in any such capacity, or arising out of his or her status as such, if the individual acted in good faith and reasonably believed that (a) the individual was acting in the best interests of the corporation, or (b) if the challenged action was taken other than in the individual’s official capacity as an officer, director, employee or agent, the individual’s conduct was at least not opposed to the corporation’s best interests, or (c) if in a criminal proceeding, either the individual had reasonable cause to believe his or her conduct was lawful or no reasonable cause to believe his or her conduct was unlawful.</w:t>
      </w:r>
    </w:p>
    <w:p>
      <w:pPr>
        <w:spacing w:after="0" w:line="185" w:lineRule="exact"/>
        <w:rPr>
          <w:sz w:val="20"/>
          <w:szCs w:val="20"/>
          <w:color w:val="auto"/>
        </w:rPr>
      </w:pPr>
    </w:p>
    <w:p>
      <w:pPr>
        <w:ind w:right="120" w:firstLine="436"/>
        <w:spacing w:after="0" w:line="252" w:lineRule="auto"/>
        <w:rPr>
          <w:sz w:val="20"/>
          <w:szCs w:val="20"/>
          <w:color w:val="auto"/>
        </w:rPr>
      </w:pPr>
      <w:r>
        <w:rPr>
          <w:rFonts w:ascii="Times New Roman" w:cs="Times New Roman" w:eastAsia="Times New Roman" w:hAnsi="Times New Roman"/>
          <w:sz w:val="18"/>
          <w:szCs w:val="18"/>
          <w:color w:val="auto"/>
        </w:rPr>
        <w:t>The IBCL further empowers a corporation to pay or reimburse the reasonable expenses incurred by an Eligible Person in connection with the defense of any such claim, including counsel fees; and, unless limited by its articles of incorporation, the corporation is required to indemnify an Eligible Person against reasonable expenses if he or she is wholly successful in any such proceeding, on the merits or otherwise. Under certain circumstances, a corporation may pay or reimburse an Eligible Person for reasonable expenses prior to final disposition of the matter. Unless a corporation’s articles of incorporation provide otherwise, an Eligible Person may apply for indemnification to a court which may order indemnification upon a determination that the Eligible Person is entitled to mandatory indemnification for reasonable expenses or that the Eligible Person is fairly and reasonably entitled to indemnification in view of all the relevant circumstances without regard to whether his or her actions satisfied the appropriate standard of conduct.</w:t>
      </w:r>
    </w:p>
    <w:p>
      <w:pPr>
        <w:spacing w:after="0" w:line="185"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Before a corporation may indemnify any Eligible Person against liability or reasonable expenses under the IBCL, a quorum consisting of directors who are not parties to the proceeding must (1) determine the indemnification is permissible in the specific circumstances because the Eligible Person met the requisite standard of conduct, (2) authorize the corporation to indemnify the Eligible Person and (3) if appropriate, evaluate the reasonableness of expenses for which indemnification is sought. If it is not possible to obtain a quorum of uninvolved directors, a committee of the board consisting of at least two uninvolved directors, the special legal counsel selected by the board or such a committee, or the shareholders of the corporation shall make such determinations, authorizations and evaluations.</w:t>
      </w:r>
    </w:p>
    <w:p>
      <w:pPr>
        <w:spacing w:after="0" w:line="187"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t>In addition to the foregoing, the IBCL states that the indemnification it provides shall not be deemed exclusive of any other rights to which those indemnified may be entitled under any provision of a corporation’s articles of incorporation or by-laws, resolution of the board of directors or shareholders, or any other authorization adopted after notice by a majority vote of all the voting shares then issued and outstanding. The IBCL also empowers an Indiana corporation to purchase and maintain insurance on behalf of any Eligible Person against any liability asserted against or incurred by him or her in any capacity as such, or arising out of his or her status as such, whether or not the corporation would have had the power to indemnify him or her against such liability.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4" w:right="519" w:bottom="1440" w:gutter="0" w:footer="0" w:header="0"/>
        </w:sectPr>
      </w:pPr>
    </w:p>
    <w:bookmarkStart w:id="3" w:name="page4"/>
    <w:bookmarkEnd w:id="3"/>
    <w:p>
      <w:pPr>
        <w:ind w:left="6" w:right="60" w:firstLine="436"/>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Articles of Incorporation provide that no director or officer shall be personally liable to the Registrant or any of our shareholders for damages for breach of fiduciary duty as a director or officer, except for liability for breach of duty if such breach constitutes willful misconduct or recklessness.</w:t>
      </w:r>
    </w:p>
    <w:p>
      <w:pPr>
        <w:spacing w:after="0" w:line="139" w:lineRule="exact"/>
        <w:rPr>
          <w:sz w:val="20"/>
          <w:szCs w:val="20"/>
          <w:color w:val="auto"/>
        </w:rPr>
      </w:pPr>
    </w:p>
    <w:p>
      <w:pPr>
        <w:ind w:left="6" w:right="20" w:firstLine="436"/>
        <w:spacing w:after="0" w:line="270" w:lineRule="auto"/>
        <w:rPr>
          <w:sz w:val="20"/>
          <w:szCs w:val="20"/>
          <w:color w:val="auto"/>
        </w:rPr>
      </w:pPr>
      <w:r>
        <w:rPr>
          <w:rFonts w:ascii="Times New Roman" w:cs="Times New Roman" w:eastAsia="Times New Roman" w:hAnsi="Times New Roman"/>
          <w:sz w:val="17"/>
          <w:szCs w:val="17"/>
          <w:color w:val="auto"/>
        </w:rPr>
        <w:t>Our By-laws provide for mandatory indemnification, to the fullest extent permitted by law, of our directors and officers against all expenses (including attorneys’ fees), judgments, fines and amounts paid in settlement actually and reasonably incurred by such person in connection with any threatened, pending or completed investigation, claim, action, suit or proceeding, whether civil, criminal, administrative or investigative, including any action, suit or proceeding by or in the right of the Registrant, in which such person is or was involved in any manner (including as a party or witness) by reason of the fact that such person is or was a director, officer, employee or agent of the Registrant or is or was serving at the request of the Registrant as a director, officer, employee, fiduciary or agent of another corporation, partnership, joint venture, trust or other enterprise (including any employee benefit plan). The right to indemnification is a contract right and includes the right to advancement of expenses in accordance with specified procedures.</w:t>
      </w:r>
    </w:p>
    <w:p>
      <w:pPr>
        <w:spacing w:after="0" w:line="170" w:lineRule="exact"/>
        <w:rPr>
          <w:sz w:val="20"/>
          <w:szCs w:val="20"/>
          <w:color w:val="auto"/>
        </w:rPr>
      </w:pPr>
    </w:p>
    <w:p>
      <w:pPr>
        <w:ind w:left="6" w:right="860" w:firstLine="436"/>
        <w:spacing w:after="0" w:line="277" w:lineRule="auto"/>
        <w:rPr>
          <w:sz w:val="20"/>
          <w:szCs w:val="20"/>
          <w:color w:val="auto"/>
        </w:rPr>
      </w:pPr>
      <w:r>
        <w:rPr>
          <w:rFonts w:ascii="Times New Roman" w:cs="Times New Roman" w:eastAsia="Times New Roman" w:hAnsi="Times New Roman"/>
          <w:sz w:val="18"/>
          <w:szCs w:val="18"/>
          <w:color w:val="auto"/>
        </w:rPr>
        <w:t>The rights to indemnification provided by our Articles of Incorporation and By-laws are not exclusive of any other rights to which any indemnified person may otherwise be entitled.</w:t>
      </w:r>
    </w:p>
    <w:p>
      <w:pPr>
        <w:spacing w:after="0" w:line="163" w:lineRule="exact"/>
        <w:rPr>
          <w:sz w:val="20"/>
          <w:szCs w:val="20"/>
          <w:color w:val="auto"/>
        </w:rPr>
      </w:pPr>
    </w:p>
    <w:p>
      <w:pPr>
        <w:ind w:left="6" w:firstLine="436"/>
        <w:spacing w:after="0" w:line="25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pursuant to which we have agreed to indemnify and hold harmless, to the fullest extent permitted by applicable law and our By-laws, each such director against any and all expenses (including attorneys’ fees and related disbursements, appeal bonds and other out-of-pocket costs), judgments, amounts paid on settlement, liabilities or losses actually and reasonably incurred by such director by reason of the fact that such person is or was a director (or, at the request of the Registrant, as a director, officer, employee, fiduciary or other agent of another corporation, partnership, limited liability company, joint venture, trust or other enterprise), or by reason of any actual or alleged action or omission to act taken or omitted in any such capacity. The indemnification agreements set forth certain procedures that will apply in the event of a claim for indemnification thereunder. In addition, the agreements provide for the advancement of expenses incurred by a director, subject to certain exceptions, in connection with any action, suit or proceeding covered by the agreement.</w:t>
      </w:r>
    </w:p>
    <w:p>
      <w:pPr>
        <w:spacing w:after="0" w:line="185" w:lineRule="exact"/>
        <w:rPr>
          <w:sz w:val="20"/>
          <w:szCs w:val="20"/>
          <w:color w:val="auto"/>
        </w:rPr>
      </w:pPr>
    </w:p>
    <w:p>
      <w:pPr>
        <w:ind w:left="6" w:right="20" w:firstLine="436"/>
        <w:spacing w:after="0" w:line="257" w:lineRule="auto"/>
        <w:rPr>
          <w:sz w:val="20"/>
          <w:szCs w:val="20"/>
          <w:color w:val="auto"/>
        </w:rPr>
      </w:pPr>
      <w:r>
        <w:rPr>
          <w:rFonts w:ascii="Times New Roman" w:cs="Times New Roman" w:eastAsia="Times New Roman" w:hAnsi="Times New Roman"/>
          <w:sz w:val="18"/>
          <w:szCs w:val="18"/>
          <w:color w:val="auto"/>
        </w:rPr>
        <w:t>We have purchased directors’ and officers’ liability insurance, the effect of which is to indemnify our directors and officers and the directors and officers of our subsidiaries against certain losses caused by errors, misstatement or misleading statements, wrongful acts, omissions, neglect or breach of duty by them or similar matters claimed against them in their capacities as directors or officers. This insurance is subject to various deductibles and exclusions from coverage.</w:t>
      </w:r>
    </w:p>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35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color w:val="auto"/>
                <w:w w:val="99"/>
              </w:rPr>
              <w:t>Exhibit Description</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69215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921500" cy="17145"/>
                    </a:xfrm>
                    <a:prstGeom prst="rect">
                      <a:avLst/>
                    </a:prstGeom>
                    <a:noFill/>
                  </pic:spPr>
                </pic:pic>
              </a:graphicData>
            </a:graphic>
          </wp:anchor>
        </w:drawing>
      </w:r>
    </w:p>
    <w:p>
      <w:pPr>
        <w:spacing w:after="0" w:line="67" w:lineRule="exact"/>
        <w:rPr>
          <w:sz w:val="20"/>
          <w:szCs w:val="20"/>
          <w:color w:val="auto"/>
        </w:rPr>
      </w:pPr>
    </w:p>
    <w:p>
      <w:pPr>
        <w:ind w:left="806" w:right="560" w:hanging="80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6">
        <w:r>
          <w:rPr>
            <w:rFonts w:ascii="Times New Roman" w:cs="Times New Roman" w:eastAsia="Times New Roman" w:hAnsi="Times New Roman"/>
            <w:sz w:val="18"/>
            <w:szCs w:val="18"/>
            <w:u w:val="single" w:color="auto"/>
            <w:color w:val="0000EE"/>
          </w:rPr>
          <w:t>Fourth Amended and Restated Articles of Incorporation of the Registrant (incorporated by reference to Exhibit 3.1 of the Registrant’s</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Current Report on Form 8-K filed with the Commission on May 15, 2017).</w:t>
        </w:r>
      </w:hyperlink>
    </w:p>
    <w:p>
      <w:pPr>
        <w:spacing w:after="0" w:line="56" w:lineRule="exact"/>
        <w:rPr>
          <w:rFonts w:ascii="Times New Roman" w:cs="Times New Roman" w:eastAsia="Times New Roman" w:hAnsi="Times New Roman"/>
          <w:sz w:val="18"/>
          <w:szCs w:val="18"/>
          <w:u w:val="single" w:color="auto"/>
          <w:color w:val="0000EE"/>
        </w:rPr>
      </w:pPr>
    </w:p>
    <w:p>
      <w:pPr>
        <w:ind w:left="806" w:right="100" w:hanging="80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7">
        <w:r>
          <w:rPr>
            <w:rFonts w:ascii="Times New Roman" w:cs="Times New Roman" w:eastAsia="Times New Roman" w:hAnsi="Times New Roman"/>
            <w:sz w:val="18"/>
            <w:szCs w:val="18"/>
            <w:u w:val="single" w:color="auto"/>
            <w:color w:val="0000EE"/>
          </w:rPr>
          <w:t>Fifth Amended and Restated By-laws of the Registrant (incorporated by reference to Exhibit 3.1 of the Registrant’s Current Report on Form</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8-K filed with the Commission on November 15, 2022).</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5.1*    </w:t>
      </w:r>
      <w:r>
        <w:rPr>
          <w:rFonts w:ascii="Times New Roman" w:cs="Times New Roman" w:eastAsia="Times New Roman" w:hAnsi="Times New Roman"/>
          <w:sz w:val="17"/>
          <w:szCs w:val="17"/>
          <w:u w:val="single" w:color="auto"/>
          <w:color w:val="0000EE"/>
        </w:rPr>
        <w:t>Opinion of Barnes &amp; Thornburg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u w:val="single" w:color="auto"/>
          <w:color w:val="0000EE"/>
        </w:rPr>
        <w:t>Consent of Barnes &amp; Thornburg LLP (included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7"/>
          <w:szCs w:val="17"/>
          <w:u w:val="single" w:color="auto"/>
          <w:color w:val="0000EE"/>
        </w:rPr>
        <w:t>Consent of Deloitte &amp; Touche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24.1*    </w:t>
      </w:r>
      <w:r>
        <w:rPr>
          <w:rFonts w:ascii="Times New Roman" w:cs="Times New Roman" w:eastAsia="Times New Roman" w:hAnsi="Times New Roman"/>
          <w:sz w:val="17"/>
          <w:szCs w:val="17"/>
          <w:u w:val="single" w:color="auto"/>
          <w:color w:val="0000EE"/>
        </w:rPr>
        <w:t>Power of Attorney (included on the signature page hereto).</w:t>
      </w:r>
    </w:p>
    <w:p>
      <w:pPr>
        <w:spacing w:after="0" w:line="125" w:lineRule="exact"/>
        <w:rPr>
          <w:rFonts w:ascii="Times New Roman" w:cs="Times New Roman" w:eastAsia="Times New Roman" w:hAnsi="Times New Roman"/>
          <w:sz w:val="18"/>
          <w:szCs w:val="18"/>
          <w:color w:val="auto"/>
        </w:rPr>
      </w:pPr>
    </w:p>
    <w:p>
      <w:pPr>
        <w:ind w:left="6"/>
        <w:spacing w:after="0"/>
        <w:tabs>
          <w:tab w:leader="none" w:pos="786"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4" w:lineRule="exact"/>
        <w:rPr>
          <w:rFonts w:ascii="Times New Roman" w:cs="Times New Roman" w:eastAsia="Times New Roman" w:hAnsi="Times New Roman"/>
          <w:sz w:val="18"/>
          <w:szCs w:val="18"/>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8" w:right="519" w:bottom="1440" w:gutter="0" w:footer="0" w:header="0"/>
        </w:sectPr>
      </w:pPr>
    </w:p>
    <w:bookmarkStart w:id="4" w:name="page5"/>
    <w:bookmarkEnd w:id="4"/>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4" w:lineRule="exact"/>
        <w:rPr>
          <w:sz w:val="20"/>
          <w:szCs w:val="20"/>
          <w:color w:val="auto"/>
        </w:rPr>
      </w:pPr>
    </w:p>
    <w:p>
      <w:pPr>
        <w:ind w:left="246" w:hanging="246"/>
        <w:spacing w:after="0"/>
        <w:tabs>
          <w:tab w:leader="none" w:pos="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646" w:hanging="210"/>
        <w:spacing w:after="0"/>
        <w:tabs>
          <w:tab w:leader="none" w:pos="6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ind w:left="6" w:firstLine="430"/>
        <w:spacing w:after="0" w:line="253" w:lineRule="auto"/>
        <w:tabs>
          <w:tab w:leader="none" w:pos="7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6" w:right="380" w:firstLine="430"/>
        <w:spacing w:after="0" w:line="277" w:lineRule="auto"/>
        <w:tabs>
          <w:tab w:leader="none" w:pos="7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7"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paragraphs (a)(1)(i) and (a)(1)(ii) do not apply if the information required to be included in a post-</w:t>
      </w:r>
    </w:p>
    <w:p>
      <w:pPr>
        <w:spacing w:after="0" w:line="26" w:lineRule="exact"/>
        <w:rPr>
          <w:sz w:val="20"/>
          <w:szCs w:val="20"/>
          <w:color w:val="auto"/>
        </w:rPr>
      </w:pPr>
    </w:p>
    <w:p>
      <w:pPr>
        <w:ind w:left="986" w:right="180"/>
        <w:spacing w:after="0" w:line="255" w:lineRule="auto"/>
        <w:rPr>
          <w:sz w:val="20"/>
          <w:szCs w:val="20"/>
          <w:color w:val="auto"/>
        </w:rPr>
      </w:pPr>
      <w:r>
        <w:rPr>
          <w:rFonts w:ascii="Times New Roman" w:cs="Times New Roman" w:eastAsia="Times New Roman" w:hAnsi="Times New Roman"/>
          <w:sz w:val="18"/>
          <w:szCs w:val="18"/>
          <w:color w:val="auto"/>
        </w:rPr>
        <w: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76" w:lineRule="exact"/>
        <w:rPr>
          <w:sz w:val="20"/>
          <w:szCs w:val="20"/>
          <w:color w:val="auto"/>
        </w:rPr>
      </w:pPr>
    </w:p>
    <w:p>
      <w:pPr>
        <w:ind w:left="6" w:right="140" w:hanging="6"/>
        <w:spacing w:after="0" w:line="262"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Times New Roman" w:cs="Times New Roman" w:eastAsia="Times New Roman" w:hAnsi="Times New Roman"/>
          <w:sz w:val="18"/>
          <w:szCs w:val="18"/>
          <w:color w:val="auto"/>
        </w:rPr>
      </w:pPr>
    </w:p>
    <w:p>
      <w:pPr>
        <w:ind w:left="6" w:hanging="6"/>
        <w:spacing w:after="0" w:line="277"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left="6" w:right="80" w:hanging="6"/>
        <w:spacing w:after="0" w:line="255"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6" w:lineRule="exact"/>
        <w:rPr>
          <w:sz w:val="20"/>
          <w:szCs w:val="20"/>
          <w:color w:val="auto"/>
        </w:rPr>
      </w:pPr>
    </w:p>
    <w:p>
      <w:pPr>
        <w:ind w:left="6" w:right="60" w:hanging="6"/>
        <w:spacing w:after="0" w:line="252"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6"/>
          </w:cols>
          <w:pgMar w:left="494" w:top="264" w:right="5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56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District of Columbia on May 18,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XYLEM INC.</w:t>
      </w:r>
    </w:p>
    <w:p>
      <w:pPr>
        <w:spacing w:after="0" w:line="220"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F. Pine</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Matthew F. Pine</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180" w:firstLine="436"/>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Matthew F. Pine, William K. Grogan and Stacy Cozad his or her true and lawful attorney-in-fact and agent, each with full power of substitution and resubstitution, for him or her and in his or her name, place and stead, and in any and all capacities, to sign any and all amendments (including post-effective amendments) to this Registration Statement, and to file the same, with exhibits thereto and other documents in connection therewith, with the Commission, granting to the attorney-in-fact and agent, and each of them, full power and authority to do and perform each and every act and thing requisite or necessary to be done in or about the premises, as full to all intents and purposes as he or she might or could do in person, hereby ratifying and confirming all that the attorney-in-fact and agent or their substitutes may lawfully do or cause to be done by virtue hereof.</w:t>
      </w:r>
    </w:p>
    <w:p>
      <w:pPr>
        <w:spacing w:after="0" w:line="82"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color w:val="auto"/>
              </w:rPr>
              <w:t>Title</w:t>
            </w:r>
          </w:p>
        </w:tc>
        <w:tc>
          <w:tcPr>
            <w:tcW w:w="100" w:type="dxa"/>
            <w:vAlign w:val="bottom"/>
          </w:tcPr>
          <w:p>
            <w:pPr>
              <w:spacing w:after="0"/>
              <w:rPr>
                <w:sz w:val="15"/>
                <w:szCs w:val="15"/>
                <w:color w:val="auto"/>
              </w:rPr>
            </w:pPr>
          </w:p>
        </w:tc>
        <w:tc>
          <w:tcPr>
            <w:tcW w:w="17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Date</w:t>
            </w:r>
          </w:p>
        </w:tc>
      </w:tr>
      <w:tr>
        <w:trPr>
          <w:trHeight w:val="307"/>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Matthew F. Pine</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 Director (</w:t>
            </w:r>
            <w:r>
              <w:rPr>
                <w:rFonts w:ascii="Times New Roman" w:cs="Times New Roman" w:eastAsia="Times New Roman" w:hAnsi="Times New Roman"/>
                <w:sz w:val="18"/>
                <w:szCs w:val="18"/>
                <w:i w:val="1"/>
                <w:iCs w:val="1"/>
                <w:color w:val="auto"/>
              </w:rPr>
              <w:t>Principal</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F. Pine</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5"/>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K. Grogan</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 Grogan</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5"/>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Geri-Michelle McShane</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Vice President, Chief Accounting Officer (</w:t>
            </w:r>
            <w:r>
              <w:rPr>
                <w:rFonts w:ascii="Times New Roman" w:cs="Times New Roman" w:eastAsia="Times New Roman" w:hAnsi="Times New Roman"/>
                <w:sz w:val="18"/>
                <w:szCs w:val="18"/>
                <w:i w:val="1"/>
                <w:iCs w:val="1"/>
                <w:color w:val="auto"/>
              </w:rPr>
              <w:t>Principal</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Geri-Michelle McShane</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5"/>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F. Friel</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Chair</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F. Friel</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5"/>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Earl R. Ellis</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 R. Ellis</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5"/>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Lisa Glatch</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Glatch</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5"/>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Victoria D. Harker</w:t>
            </w: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18, 2026</w:t>
            </w:r>
          </w:p>
        </w:tc>
      </w:tr>
      <w:tr>
        <w:trPr>
          <w:trHeight w:val="22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 D. Harker</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6"/>
        </w:trPr>
        <w:tc>
          <w:tcPr>
            <w:tcW w:w="5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9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D. Morelli</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May 18,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Mark D. Morelli</w:t>
            </w:r>
          </w:p>
        </w:tc>
        <w:tc>
          <w:tcPr>
            <w:tcW w:w="286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Jerome A. Peribere</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May 18,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Jerome A. Peribere</w:t>
            </w:r>
          </w:p>
        </w:tc>
        <w:tc>
          <w:tcPr>
            <w:tcW w:w="286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Lila Tretikov</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May 18,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Lila Tretikov</w:t>
            </w:r>
          </w:p>
        </w:tc>
        <w:tc>
          <w:tcPr>
            <w:tcW w:w="286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15"/>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Uday Yadav</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May 18,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Uday Yadav</w:t>
            </w:r>
          </w:p>
        </w:tc>
        <w:tc>
          <w:tcPr>
            <w:tcW w:w="286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ectPr>
          <w:pgSz w:w="11900" w:h="16838" w:orient="portrait"/>
          <w:cols w:equalWidth="0" w:num="1">
            <w:col w:w="10160"/>
          </w:cols>
          <w:pgMar w:left="500" w:top="375" w:right="1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856615" cy="424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56615" cy="424180"/>
                    </a:xfrm>
                    <a:prstGeom prst="rect">
                      <a:avLst/>
                    </a:prstGeom>
                    <a:noFill/>
                  </pic:spPr>
                </pic:pic>
              </a:graphicData>
            </a:graphic>
          </wp:anchor>
        </w:drawing>
      </w:r>
    </w:p>
    <w:p>
      <w:pPr>
        <w:spacing w:after="0" w:line="32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11 S. Meridian Street</w:t>
      </w:r>
    </w:p>
    <w:p>
      <w:pPr>
        <w:spacing w:after="0" w:line="2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Indianapolis, IN 46204-3535 U.S.A.</w:t>
      </w:r>
    </w:p>
    <w:p>
      <w:pPr>
        <w:spacing w:after="0" w:line="5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(317) 236-1313</w:t>
      </w:r>
    </w:p>
    <w:p>
      <w:pPr>
        <w:spacing w:after="0" w:line="2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Fax (317) 231-7433</w:t>
      </w:r>
    </w:p>
    <w:p>
      <w:pPr>
        <w:spacing w:after="0" w:line="10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www.btlaw.com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Xylem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Water Street, 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20003</w:t>
      </w:r>
    </w:p>
    <w:p>
      <w:pPr>
        <w:spacing w:after="0" w:line="24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Xylem Inc. 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We have acted as legal counsel to Xylem Inc.,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relating to the registration of 4,000,000 shares of common stock, par value $0.01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may be issued from time to time under the Xylem Inc. 2026 Employee Stock Purchase Plan (as may be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This opinion letter is being furnished in connection with the requirements of Item 601(b)(5) of Regulation S-K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upon copies, certified or otherwise identified to our satisfaction, of such documents and records of the Company and such statutes, regulations, and other instruments as we deemed necessary or advisable for purposes of the opinions expressed herein, including (i) the Registration Statement, (ii) certain resolutions adopted by the Board of Directors of the Company, (iii) the Plan, and (iv) such other certificates, instruments, and documents as we have considered necessary for purposes of this opinion letter. As to certain matters of fact material to our opinions, we have relied, to the extent that we deem such reliance proper, upon certificates of public officials and officers or other representatives of the Company, and we have not otherwise independently investigated or verified such facts. We are opining herein as to the Indiana Business Corporation Law, and we express no opinion with respect to any other laws.</w:t>
      </w:r>
    </w:p>
    <w:p>
      <w:pPr>
        <w:spacing w:after="0" w:line="189" w:lineRule="exact"/>
        <w:rPr>
          <w:sz w:val="20"/>
          <w:szCs w:val="20"/>
          <w:color w:val="auto"/>
        </w:rPr>
      </w:pPr>
    </w:p>
    <w:p>
      <w:pPr>
        <w:ind w:right="16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rendering the opinions set forth herein, we have assumed (i) that all information contained in all documents reviewed by us is true and correct; (ii) that all signatures on all documents examined by us are genuine; (iii) that all documents submitted to us as originals are authentic and all documents submitted to us as copies conform to the originals of those documents; (iv) the legal capacity of all natural persons; and (v) the authority of all persons signing all documents submitted to us on behalf of the parties to such documents.</w:t>
      </w:r>
    </w:p>
    <w:p>
      <w:pPr>
        <w:spacing w:after="0" w:line="182" w:lineRule="exact"/>
        <w:rPr>
          <w:sz w:val="20"/>
          <w:szCs w:val="20"/>
          <w:color w:val="auto"/>
        </w:rPr>
      </w:pPr>
    </w:p>
    <w:p>
      <w:pPr>
        <w:ind w:right="200" w:firstLine="436"/>
        <w:spacing w:after="0" w:line="255"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limitations, and exceptions set forth herein, we are of the opinion that, when the shares of Common Stock are issued by the Company in accordance with the terms of the Plan (including, without limitation, payment and authorization provisions) and any applicable instruments executed pursuant to the Plan, as described in the Registration Statement, and duly registered on the books of the transfer agent and registrar for the Common Stock in the name or on behalf of the holders thereof, such shares of Common Stock will be validly issued, fully paid, and non-assessable.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Atlanta | Baltimore | Boston | Chicago | Dallas | Delaware | Denver | Florida | Indiana | Los Angeles | Michigan | Minneapolis | Nashville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New Jersey | New York | North Carolina | Ohio | Philadelphia | Phoenix | Salt Lake City | San Diego | Washington, D.C.</w:t>
      </w:r>
    </w:p>
    <w:p>
      <w:pPr>
        <w:sectPr>
          <w:pgSz w:w="11900" w:h="16838" w:orient="portrait"/>
          <w:cols w:equalWidth="0" w:num="1">
            <w:col w:w="10900"/>
          </w:cols>
          <w:pgMar w:left="500" w:top="11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Xylem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We express no opinion herein other than as expressly stated above. We hereby consent to the filing of this opinion letter as Exhibit 5.1 to the Registration Statement and to being named in the Registration Statement. However, in giving such consent, we do not thereby admit that we are in the category of persons whose consent is required under Section 7 of the Act or the rules and regulations of the Commission thereunder.</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Barnes &amp; Thornburg LLP</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321310</wp:posOffset>
            </wp:positionV>
            <wp:extent cx="1187450" cy="229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87450" cy="229235"/>
                    </a:xfrm>
                    <a:prstGeom prst="rect">
                      <a:avLst/>
                    </a:prstGeom>
                    <a:noFill/>
                  </pic:spPr>
                </pic:pic>
              </a:graphicData>
            </a:graphic>
          </wp:anchor>
        </w:drawing>
      </w:r>
    </w:p>
    <w:p>
      <w:pPr>
        <w:sectPr>
          <w:pgSz w:w="11900" w:h="16838" w:orient="portrait"/>
          <w:cols w:equalWidth="0" w:num="1">
            <w:col w:w="10700"/>
          </w:cols>
          <w:pgMar w:left="500" w:top="268" w:right="6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25, 2026, relating to the financial statements of Xylem Inc. and the effectiveness of Xylem Inc.’s internal control over financial reporting, appearing in the Annual Report on Form 10-K of Xylem Inc.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Xylem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10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 to</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be issued</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457(a)</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4,000,000</w:t>
            </w:r>
          </w:p>
        </w:tc>
        <w:tc>
          <w:tcPr>
            <w:tcW w:w="40" w:type="dxa"/>
            <w:vAlign w:val="bottom"/>
          </w:tcPr>
          <w:p>
            <w:pPr>
              <w:spacing w:after="0"/>
              <w:rPr>
                <w:sz w:val="20"/>
                <w:szCs w:val="2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$ 96.08</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$ 53,074.59</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Xylem</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384,320,000.00</w:t>
            </w:r>
          </w:p>
        </w:tc>
        <w:tc>
          <w:tcPr>
            <w:tcW w:w="2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 2026</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Employee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Purchase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 (the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$ 53,074.59</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384,320,000.00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$ 53,074.59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tabs>
          <w:tab w:leader="none" w:pos="800" w:val="left"/>
        </w:tabs>
        <w:numPr>
          <w:ilvl w:val="0"/>
          <w:numId w:val="8"/>
        </w:numPr>
        <w:rPr>
          <w:rFonts w:ascii="Arial" w:cs="Arial" w:eastAsia="Arial" w:hAnsi="Arial"/>
          <w:sz w:val="27"/>
          <w:szCs w:val="27"/>
          <w:color w:val="auto"/>
          <w:vertAlign w:val="superscript"/>
        </w:rPr>
      </w:pPr>
      <w:r>
        <w:rPr>
          <w:rFonts w:ascii="Arial" w:cs="Arial" w:eastAsia="Arial" w:hAnsi="Arial"/>
          <w:sz w:val="21"/>
          <w:szCs w:val="21"/>
          <w:color w:val="auto"/>
        </w:rPr>
        <w:t>(1) Pursuant to Rule 416 under the Securities Act of 1933 (the "Securities Act"), this Registration Statement on Form S-8 (this "Registration Statement"), also covers any additional shares of Common Stock, par value of $0.01 per share ("Common Stock") of Xylem Inc. in respect of the securities identified in the above table that may become issuable through the Plan as a result of any stock dividend, stock split, recapitalization or other similar transactions. (2) Estimated solely for the purpose of determining the registration fee pursuant to Rules 457(c) and 457(h) under the Securities Act. The proposed maximum offering price per share, maximum aggregate offering price and registration fee are based on a price of $96.08 per share of Common Stock, which price is based upon a 15% discount from the average of the high and low sales prices of the Common Stock as reported on the New York Stock Exchange on May 11, 2026, such discount representing the maximum permissible discount offered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208280</wp:posOffset>
            </wp:positionV>
            <wp:extent cx="6387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8"/>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png"/><Relationship Id="rId34" Type="http://schemas.openxmlformats.org/officeDocument/2006/relationships/image" Target="media/image20.jpeg"/><Relationship Id="rId35" Type="http://schemas.openxmlformats.org/officeDocument/2006/relationships/image" Target="media/image21.png"/><Relationship Id="rId36" Type="http://schemas.openxmlformats.org/officeDocument/2006/relationships/image" Target="media/image22.png"/><Relationship Id="rId18" Type="http://schemas.openxmlformats.org/officeDocument/2006/relationships/hyperlink" Target="http://www.sec.gov/Archives/edgar/data/1524472/000152447226000012/xyl-20251231.htm" TargetMode="External"/><Relationship Id="rId19" Type="http://schemas.openxmlformats.org/officeDocument/2006/relationships/hyperlink" Target="http://www.sec.gov/ix?doc=/Archives/edgar/data/0001524472/000152447226000068/xyl-20260331.htm" TargetMode="External"/><Relationship Id="rId20" Type="http://schemas.openxmlformats.org/officeDocument/2006/relationships/hyperlink" Target="http://www.sec.gov/Archives/edgar/data/1524472/000152447226000008/xyl-20260210.htm" TargetMode="External"/><Relationship Id="rId21" Type="http://schemas.openxmlformats.org/officeDocument/2006/relationships/hyperlink" Target="http://www.sec.gov/Archives/edgar/data/1524472/000152447226000065/xyl-20260428.htm" TargetMode="External"/><Relationship Id="rId22" Type="http://schemas.openxmlformats.org/officeDocument/2006/relationships/hyperlink" Target="http://www.sec.gov/Archives/edgar/data/1524472/000152447223000009/xyl12312022ex41.htm" TargetMode="External"/><Relationship Id="rId26" Type="http://schemas.openxmlformats.org/officeDocument/2006/relationships/hyperlink" Target="http://www.sec.gov/Archives/edgar/data/1524472/000152447217000027/a8-k31xcharter.htm" TargetMode="External"/><Relationship Id="rId27" Type="http://schemas.openxmlformats.org/officeDocument/2006/relationships/hyperlink" Target="http://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2026-05-18T05:27:23Z</dcterms:created>
  <dcterms:modified xsi:type="dcterms:W3CDTF">2026-05-18T05:27:23Z</dcterms:modified>
</cp:coreProperties>
</file>