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84" w:lineRule="exact"/>
        <w:rPr>
          <w:sz w:val="24"/>
          <w:szCs w:val="24"/>
          <w:color w:val="auto"/>
        </w:rPr>
      </w:pPr>
    </w:p>
    <w:p>
      <w:pPr>
        <w:jc w:val="center"/>
        <w:ind w:left="2280"/>
        <w:spacing w:after="0" w:line="270"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Wingdings" w:cs="Wingdings" w:eastAsia="Wingdings" w:hAnsi="Wingdings"/>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7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2025</w:t>
      </w:r>
    </w:p>
    <w:p>
      <w:pPr>
        <w:spacing w:after="0" w:line="171"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32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81" w:lineRule="exact"/>
        <w:rPr>
          <w:sz w:val="24"/>
          <w:szCs w:val="24"/>
          <w:color w:val="auto"/>
        </w:rPr>
      </w:pPr>
    </w:p>
    <w:p>
      <w:pPr>
        <w:ind w:left="460"/>
        <w:spacing w:after="0"/>
        <w:tabs>
          <w:tab w:leader="none" w:pos="3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pacing w:after="0" w:line="200" w:lineRule="exact"/>
        <w:rPr>
          <w:sz w:val="24"/>
          <w:szCs w:val="24"/>
          <w:color w:val="auto"/>
        </w:rPr>
      </w:pPr>
    </w:p>
    <w:p>
      <w:pPr>
        <w:spacing w:after="0" w:line="228" w:lineRule="exact"/>
        <w:rPr>
          <w:sz w:val="24"/>
          <w:szCs w:val="24"/>
          <w:color w:val="auto"/>
        </w:rPr>
      </w:pPr>
    </w:p>
    <w:p>
      <w:pPr>
        <w:ind w:left="680" w:hanging="65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56"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XYLEM RETIREMENT SAVINGS PLAN</w:t>
      </w:r>
    </w:p>
    <w:p>
      <w:pPr>
        <w:spacing w:after="0" w:line="337" w:lineRule="exact"/>
        <w:rPr>
          <w:sz w:val="24"/>
          <w:szCs w:val="24"/>
          <w:color w:val="auto"/>
        </w:rPr>
      </w:pPr>
    </w:p>
    <w:p>
      <w:pPr>
        <w:ind w:left="680" w:hanging="65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XYLEM INC.</w:t>
      </w:r>
    </w:p>
    <w:p>
      <w:pPr>
        <w:spacing w:after="0" w:line="31"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37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FINANCIAL STATEMENTS</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Page</w:t>
            </w:r>
          </w:p>
        </w:tc>
      </w:tr>
      <w:tr>
        <w:trPr>
          <w:trHeight w:val="427"/>
        </w:trPr>
        <w:tc>
          <w:tcPr>
            <w:tcW w:w="320" w:type="dxa"/>
            <w:vAlign w:val="bottom"/>
          </w:tcPr>
          <w:p>
            <w:pPr>
              <w:spacing w:after="0"/>
              <w:rPr>
                <w:sz w:val="24"/>
                <w:szCs w:val="24"/>
                <w:color w:val="auto"/>
              </w:rPr>
            </w:pPr>
          </w:p>
        </w:tc>
        <w:tc>
          <w:tcPr>
            <w:tcW w:w="4620" w:type="dxa"/>
            <w:vAlign w:val="bottom"/>
            <w:gridSpan w:val="4"/>
          </w:tcPr>
          <w:p>
            <w:pPr>
              <w:ind w:left="20"/>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50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5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11"/>
        </w:trPr>
        <w:tc>
          <w:tcPr>
            <w:tcW w:w="998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5"/>
        </w:trPr>
        <w:tc>
          <w:tcPr>
            <w:tcW w:w="320" w:type="dxa"/>
            <w:vAlign w:val="bottom"/>
          </w:tcPr>
          <w:p>
            <w:pPr>
              <w:spacing w:after="0"/>
              <w:rPr>
                <w:sz w:val="24"/>
                <w:szCs w:val="24"/>
                <w:color w:val="auto"/>
              </w:rPr>
            </w:pPr>
          </w:p>
        </w:tc>
        <w:tc>
          <w:tcPr>
            <w:tcW w:w="9660" w:type="dxa"/>
            <w:vAlign w:val="bottom"/>
            <w:gridSpan w:val="12"/>
          </w:tcPr>
          <w:p>
            <w:pPr>
              <w:ind w:left="20"/>
              <w:spacing w:after="0"/>
              <w:rPr>
                <w:sz w:val="20"/>
                <w:szCs w:val="20"/>
                <w:color w:val="auto"/>
              </w:rPr>
            </w:pPr>
            <w:r>
              <w:rPr>
                <w:rFonts w:ascii="Arial" w:cs="Arial" w:eastAsia="Arial" w:hAnsi="Arial"/>
                <w:sz w:val="18"/>
                <w:szCs w:val="18"/>
                <w:color w:val="0000FF"/>
              </w:rPr>
              <w:t xml:space="preserve">Statements of Net Assets Available for Benefits as of </w:t>
            </w:r>
            <w:r>
              <w:rPr>
                <w:rFonts w:ascii="Arial" w:cs="Arial" w:eastAsia="Arial" w:hAnsi="Arial"/>
                <w:sz w:val="18"/>
                <w:szCs w:val="18"/>
                <w:color w:val="000000"/>
              </w:rPr>
              <w:t>December</w:t>
            </w:r>
            <w:r>
              <w:rPr>
                <w:rFonts w:ascii="Arial" w:cs="Arial" w:eastAsia="Arial" w:hAnsi="Arial"/>
                <w:sz w:val="18"/>
                <w:szCs w:val="18"/>
                <w:color w:val="0000FF"/>
              </w:rPr>
              <w:t xml:space="preserve"> 31, </w:t>
            </w:r>
            <w:r>
              <w:rPr>
                <w:rFonts w:ascii="Arial" w:cs="Arial" w:eastAsia="Arial" w:hAnsi="Arial"/>
                <w:sz w:val="18"/>
                <w:szCs w:val="18"/>
                <w:color w:val="000000"/>
              </w:rPr>
              <w:t>2025</w:t>
            </w:r>
            <w:r>
              <w:rPr>
                <w:rFonts w:ascii="Arial" w:cs="Arial" w:eastAsia="Arial" w:hAnsi="Arial"/>
                <w:sz w:val="18"/>
                <w:szCs w:val="18"/>
                <w:color w:val="0000FF"/>
              </w:rPr>
              <w:t xml:space="preserve"> and </w:t>
            </w:r>
            <w:r>
              <w:rPr>
                <w:rFonts w:ascii="Arial" w:cs="Arial" w:eastAsia="Arial" w:hAnsi="Arial"/>
                <w:sz w:val="18"/>
                <w:szCs w:val="18"/>
                <w:color w:val="000000"/>
              </w:rPr>
              <w:t>2024</w:t>
            </w:r>
          </w:p>
        </w:tc>
        <w:tc>
          <w:tcPr>
            <w:tcW w:w="660" w:type="dxa"/>
            <w:vAlign w:val="bottom"/>
            <w:gridSpan w:val="2"/>
          </w:tcPr>
          <w:p>
            <w:pPr>
              <w:jc w:val="center"/>
              <w:ind w:left="473"/>
              <w:spacing w:after="0"/>
              <w:rPr>
                <w:sz w:val="20"/>
                <w:szCs w:val="20"/>
                <w:color w:val="auto"/>
              </w:rPr>
            </w:pPr>
            <w:r>
              <w:rPr>
                <w:rFonts w:ascii="Arial" w:cs="Arial" w:eastAsia="Arial" w:hAnsi="Arial"/>
                <w:sz w:val="18"/>
                <w:szCs w:val="18"/>
                <w:color w:val="0000FF"/>
                <w:w w:val="99"/>
              </w:rPr>
              <w:t>4</w:t>
            </w:r>
          </w:p>
        </w:tc>
        <w:tc>
          <w:tcPr>
            <w:tcW w:w="5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9660" w:type="dxa"/>
            <w:vAlign w:val="bottom"/>
            <w:gridSpan w:val="12"/>
          </w:tcPr>
          <w:p>
            <w:pPr>
              <w:ind w:left="20"/>
              <w:spacing w:after="0"/>
              <w:rPr>
                <w:sz w:val="20"/>
                <w:szCs w:val="20"/>
                <w:color w:val="auto"/>
              </w:rPr>
            </w:pPr>
            <w:r>
              <w:rPr>
                <w:rFonts w:ascii="Arial" w:cs="Arial" w:eastAsia="Arial" w:hAnsi="Arial"/>
                <w:sz w:val="18"/>
                <w:szCs w:val="18"/>
                <w:color w:val="0000FF"/>
              </w:rPr>
              <w:t xml:space="preserve">Statement of Changes in Net Assets Available for Benefits for the year ended December 31, </w:t>
            </w:r>
            <w:r>
              <w:rPr>
                <w:rFonts w:ascii="Arial" w:cs="Arial" w:eastAsia="Arial" w:hAnsi="Arial"/>
                <w:sz w:val="18"/>
                <w:szCs w:val="18"/>
                <w:color w:val="000000"/>
              </w:rPr>
              <w:t>2025</w:t>
            </w:r>
          </w:p>
        </w:tc>
        <w:tc>
          <w:tcPr>
            <w:tcW w:w="660" w:type="dxa"/>
            <w:vAlign w:val="bottom"/>
            <w:gridSpan w:val="2"/>
          </w:tcPr>
          <w:p>
            <w:pPr>
              <w:jc w:val="center"/>
              <w:ind w:left="473"/>
              <w:spacing w:after="0"/>
              <w:rPr>
                <w:sz w:val="20"/>
                <w:szCs w:val="20"/>
                <w:color w:val="auto"/>
              </w:rPr>
            </w:pPr>
            <w:r>
              <w:rPr>
                <w:rFonts w:ascii="Arial" w:cs="Arial" w:eastAsia="Arial" w:hAnsi="Arial"/>
                <w:sz w:val="18"/>
                <w:szCs w:val="18"/>
                <w:color w:val="0000FF"/>
                <w:w w:val="99"/>
              </w:rPr>
              <w:t>5</w:t>
            </w:r>
          </w:p>
        </w:tc>
        <w:tc>
          <w:tcPr>
            <w:tcW w:w="5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98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7380" w:type="dxa"/>
            <w:vAlign w:val="bottom"/>
            <w:gridSpan w:val="9"/>
          </w:tcPr>
          <w:p>
            <w:pPr>
              <w:ind w:left="20"/>
              <w:spacing w:after="0"/>
              <w:rPr>
                <w:sz w:val="20"/>
                <w:szCs w:val="20"/>
                <w:color w:val="auto"/>
              </w:rPr>
            </w:pPr>
            <w:r>
              <w:rPr>
                <w:rFonts w:ascii="Arial" w:cs="Arial" w:eastAsia="Arial" w:hAnsi="Arial"/>
                <w:sz w:val="18"/>
                <w:szCs w:val="18"/>
                <w:color w:val="0000FF"/>
              </w:rPr>
              <w:t>Notes to Financial Statements</w:t>
            </w:r>
          </w:p>
        </w:tc>
        <w:tc>
          <w:tcPr>
            <w:tcW w:w="228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58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24"/>
        </w:trPr>
        <w:tc>
          <w:tcPr>
            <w:tcW w:w="9980" w:type="dxa"/>
            <w:vAlign w:val="bottom"/>
            <w:gridSpan w:val="13"/>
          </w:tcPr>
          <w:p>
            <w:pPr>
              <w:spacing w:after="0"/>
              <w:rPr>
                <w:sz w:val="20"/>
                <w:szCs w:val="20"/>
                <w:color w:val="auto"/>
              </w:rPr>
            </w:pPr>
            <w:r>
              <w:rPr>
                <w:rFonts w:ascii="Arial" w:cs="Arial" w:eastAsia="Arial" w:hAnsi="Arial"/>
                <w:sz w:val="18"/>
                <w:szCs w:val="18"/>
                <w:color w:val="auto"/>
              </w:rPr>
              <w:t>Supplemental Schedules: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5"/>
        </w:trPr>
        <w:tc>
          <w:tcPr>
            <w:tcW w:w="320" w:type="dxa"/>
            <w:vAlign w:val="bottom"/>
          </w:tcPr>
          <w:p>
            <w:pPr>
              <w:spacing w:after="0"/>
              <w:rPr>
                <w:sz w:val="24"/>
                <w:szCs w:val="24"/>
                <w:color w:val="auto"/>
              </w:rPr>
            </w:pPr>
          </w:p>
        </w:tc>
        <w:tc>
          <w:tcPr>
            <w:tcW w:w="9660" w:type="dxa"/>
            <w:vAlign w:val="bottom"/>
            <w:gridSpan w:val="12"/>
          </w:tcPr>
          <w:p>
            <w:pPr>
              <w:ind w:left="20"/>
              <w:spacing w:after="0"/>
              <w:rPr>
                <w:sz w:val="20"/>
                <w:szCs w:val="20"/>
                <w:color w:val="auto"/>
              </w:rPr>
            </w:pPr>
            <w:r>
              <w:rPr>
                <w:rFonts w:ascii="Arial" w:cs="Arial" w:eastAsia="Arial" w:hAnsi="Arial"/>
                <w:sz w:val="18"/>
                <w:szCs w:val="18"/>
                <w:color w:val="0000FF"/>
              </w:rPr>
              <w:t xml:space="preserve">Form 5500, Schedule G, Part III - Nonexempt Transactions for the year ended December 31, </w:t>
            </w:r>
            <w:r>
              <w:rPr>
                <w:rFonts w:ascii="Arial" w:cs="Arial" w:eastAsia="Arial" w:hAnsi="Arial"/>
                <w:sz w:val="18"/>
                <w:szCs w:val="18"/>
                <w:color w:val="000000"/>
              </w:rPr>
              <w:t>2025</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99"/>
              </w:rPr>
              <w:t>14</w:t>
            </w: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900" w:type="dxa"/>
            <w:vAlign w:val="bottom"/>
            <w:gridSpan w:val="9"/>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9660" w:type="dxa"/>
            <w:vAlign w:val="bottom"/>
            <w:gridSpan w:val="12"/>
          </w:tcPr>
          <w:p>
            <w:pPr>
              <w:ind w:left="20"/>
              <w:spacing w:after="0"/>
              <w:rPr>
                <w:sz w:val="20"/>
                <w:szCs w:val="20"/>
                <w:color w:val="auto"/>
              </w:rPr>
            </w:pPr>
            <w:r>
              <w:rPr>
                <w:rFonts w:ascii="Arial" w:cs="Arial" w:eastAsia="Arial" w:hAnsi="Arial"/>
                <w:sz w:val="18"/>
                <w:szCs w:val="18"/>
                <w:color w:val="0000FF"/>
              </w:rPr>
              <w:t xml:space="preserve">Form 5500, Schedule H, Line 4i – Schedule of Assets (Held at End of Year) as of December 31, </w:t>
            </w:r>
            <w:r>
              <w:rPr>
                <w:rFonts w:ascii="Arial" w:cs="Arial" w:eastAsia="Arial" w:hAnsi="Arial"/>
                <w:sz w:val="18"/>
                <w:szCs w:val="18"/>
                <w:color w:val="000000"/>
              </w:rPr>
              <w:t>2025</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99"/>
              </w:rPr>
              <w:t>15</w:t>
            </w:r>
          </w:p>
        </w:tc>
      </w:tr>
      <w:tr>
        <w:trPr>
          <w:trHeight w:val="20"/>
        </w:trPr>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r>
      <w:tr>
        <w:trPr>
          <w:trHeight w:val="480"/>
        </w:trPr>
        <w:tc>
          <w:tcPr>
            <w:tcW w:w="9980" w:type="dxa"/>
            <w:vAlign w:val="bottom"/>
            <w:gridSpan w:val="13"/>
          </w:tcPr>
          <w:p>
            <w:pPr>
              <w:spacing w:after="0"/>
              <w:rPr>
                <w:sz w:val="20"/>
                <w:szCs w:val="20"/>
                <w:color w:val="auto"/>
              </w:rPr>
            </w:pPr>
            <w:r>
              <w:rPr>
                <w:rFonts w:ascii="Arial" w:cs="Arial" w:eastAsia="Arial" w:hAnsi="Arial"/>
                <w:sz w:val="18"/>
                <w:szCs w:val="18"/>
                <w:color w:val="0000FF"/>
              </w:rPr>
              <w:t>Signatures</w:t>
            </w:r>
          </w:p>
        </w:tc>
        <w:tc>
          <w:tcPr>
            <w:tcW w:w="1240" w:type="dxa"/>
            <w:vAlign w:val="bottom"/>
            <w:gridSpan w:val="3"/>
          </w:tcPr>
          <w:p>
            <w:pPr>
              <w:jc w:val="center"/>
              <w:spacing w:after="0"/>
              <w:rPr>
                <w:sz w:val="20"/>
                <w:szCs w:val="20"/>
                <w:color w:val="auto"/>
              </w:rPr>
            </w:pPr>
            <w:r>
              <w:rPr>
                <w:rFonts w:ascii="Arial" w:cs="Arial" w:eastAsia="Arial" w:hAnsi="Arial"/>
                <w:sz w:val="18"/>
                <w:szCs w:val="18"/>
                <w:color w:val="0000FF"/>
                <w:w w:val="99"/>
              </w:rPr>
              <w:t>16</w:t>
            </w:r>
          </w:p>
        </w:tc>
      </w:tr>
      <w:tr>
        <w:trPr>
          <w:trHeight w:val="20"/>
        </w:trPr>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All other schedules required by Section 2520.103-10 of the U.S. Department of Labor’s Rules and Regulations for Reporting and Disclosures under the Employee Retirement Income Security Act of 1974 have been omitted because they are 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EXHIBITS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Exhibit 23.1 –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Trustees, and Plan Administrator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the Xylem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statements of net assets available for benefits of Xylem Retirement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39"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supplemental Schedule G, Part III - Nonexempt Transactions for the year ended December 31, 2025 and Schedule H, Line 4i – Schedule of Assets (Held at End of Year) as of December 31, 2025 have been subjected to audit procedures performed in conjunction with</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audit of the Xylem Retirement Savings Plan’s financial statements. The supplemental schedules are the responsibility of the Plan’s management. Our audit procedures included determining whether the information presented in the supplemental schedules reconciles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XYLEM RETIREMENT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Plan's interest in The Xylem Inc. Retirement Savings Master Trust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1,913,485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1,719,918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Member contributions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from Members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receivables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31,767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1,945,252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1,945,096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1,751,860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3660"/>
              <w:spacing w:after="0"/>
              <w:rPr>
                <w:sz w:val="20"/>
                <w:szCs w:val="20"/>
                <w:color w:val="auto"/>
              </w:rPr>
            </w:pPr>
            <w:r>
              <w:rPr>
                <w:rFonts w:ascii="Arial" w:cs="Arial" w:eastAsia="Arial" w:hAnsi="Arial"/>
                <w:sz w:val="18"/>
                <w:szCs w:val="18"/>
                <w:color w:val="auto"/>
              </w:rPr>
              <w:t>See accompanying notes to financial statements.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8000" w:type="dxa"/>
            <w:vAlign w:val="bottom"/>
          </w:tcPr>
          <w:p>
            <w:pPr>
              <w:ind w:left="55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RETIREMENT SAVINGS PLAN</w:t>
      </w:r>
    </w:p>
    <w:p>
      <w:pPr>
        <w:spacing w:after="0" w:line="27" w:lineRule="exact"/>
        <w:rPr>
          <w:sz w:val="20"/>
          <w:szCs w:val="20"/>
          <w:color w:val="auto"/>
        </w:rPr>
      </w:pPr>
    </w:p>
    <w:p>
      <w:pPr>
        <w:ind w:right="5140"/>
        <w:spacing w:after="0" w:line="266" w:lineRule="auto"/>
        <w:rPr>
          <w:sz w:val="20"/>
          <w:szCs w:val="20"/>
          <w:color w:val="auto"/>
        </w:rPr>
      </w:pPr>
      <w:r>
        <w:rPr>
          <w:rFonts w:ascii="Arial" w:cs="Arial" w:eastAsia="Arial" w:hAnsi="Arial"/>
          <w:sz w:val="18"/>
          <w:szCs w:val="18"/>
          <w:color w:val="auto"/>
        </w:rPr>
        <w:t>STATEMENT OF CHANGES IN NET ASSETS AVAILABLE FOR BENEFITS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ACTIVITY:</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9920" w:type="dxa"/>
            <w:vAlign w:val="bottom"/>
          </w:tcPr>
          <w:p>
            <w:pPr>
              <w:ind w:left="220"/>
              <w:spacing w:after="0"/>
              <w:rPr>
                <w:sz w:val="20"/>
                <w:szCs w:val="20"/>
                <w:color w:val="auto"/>
              </w:rPr>
            </w:pPr>
            <w:r>
              <w:rPr>
                <w:rFonts w:ascii="Arial" w:cs="Arial" w:eastAsia="Arial" w:hAnsi="Arial"/>
                <w:sz w:val="18"/>
                <w:szCs w:val="18"/>
                <w:color w:val="auto"/>
              </w:rPr>
              <w:t>Plan's interest in the investment gain of The Xylem Inc. Retirement Savings Master Trust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259,678</w:t>
            </w:r>
          </w:p>
        </w:tc>
      </w:tr>
      <w:tr>
        <w:trPr>
          <w:trHeight w:val="270"/>
        </w:trPr>
        <w:tc>
          <w:tcPr>
            <w:tcW w:w="9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w:t>
            </w:r>
          </w:p>
        </w:tc>
      </w:tr>
      <w:tr>
        <w:trPr>
          <w:trHeight w:val="270"/>
        </w:trPr>
        <w:tc>
          <w:tcPr>
            <w:tcW w:w="9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CONTRIBUTIONS: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9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Employer</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60,669</w:t>
            </w:r>
          </w:p>
        </w:tc>
      </w:tr>
      <w:tr>
        <w:trPr>
          <w:trHeight w:val="230"/>
        </w:trPr>
        <w:tc>
          <w:tcPr>
            <w:tcW w:w="9920" w:type="dxa"/>
            <w:vAlign w:val="bottom"/>
          </w:tcPr>
          <w:p>
            <w:pPr>
              <w:ind w:left="480"/>
              <w:spacing w:after="0"/>
              <w:rPr>
                <w:sz w:val="20"/>
                <w:szCs w:val="20"/>
                <w:color w:val="auto"/>
              </w:rPr>
            </w:pPr>
            <w:r>
              <w:rPr>
                <w:rFonts w:ascii="Arial" w:cs="Arial" w:eastAsia="Arial" w:hAnsi="Arial"/>
                <w:sz w:val="18"/>
                <w:szCs w:val="18"/>
                <w:color w:val="auto"/>
              </w:rPr>
              <w:t>Members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82,291</w:t>
            </w:r>
          </w:p>
        </w:tc>
      </w:tr>
      <w:tr>
        <w:trPr>
          <w:trHeight w:val="229"/>
        </w:trPr>
        <w:tc>
          <w:tcPr>
            <w:tcW w:w="9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Member rollovers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15,510</w:t>
            </w:r>
          </w:p>
        </w:tc>
      </w:tr>
      <w:tr>
        <w:trPr>
          <w:trHeight w:val="223"/>
        </w:trPr>
        <w:tc>
          <w:tcPr>
            <w:tcW w:w="99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contributions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158,470</w:t>
            </w:r>
          </w:p>
        </w:tc>
      </w:tr>
      <w:tr>
        <w:trPr>
          <w:trHeight w:val="236"/>
        </w:trPr>
        <w:tc>
          <w:tcPr>
            <w:tcW w:w="9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INTEREST INCOME ON NOTES RECEIVABLE FROM MEMBERS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1,625</w:t>
            </w:r>
          </w:p>
        </w:tc>
      </w:tr>
      <w:tr>
        <w:trPr>
          <w:trHeight w:val="270"/>
        </w:trPr>
        <w:tc>
          <w:tcPr>
            <w:tcW w:w="9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DEDUCTIONS: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Members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(225,268)</w:t>
            </w:r>
          </w:p>
        </w:tc>
      </w:tr>
      <w:tr>
        <w:trPr>
          <w:trHeight w:val="229"/>
        </w:trPr>
        <w:tc>
          <w:tcPr>
            <w:tcW w:w="9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Trustee and administrative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(1,473)</w:t>
            </w:r>
          </w:p>
        </w:tc>
      </w:tr>
      <w:tr>
        <w:trPr>
          <w:trHeight w:val="223"/>
        </w:trPr>
        <w:tc>
          <w:tcPr>
            <w:tcW w:w="9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deductions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(226,741)</w:t>
            </w:r>
          </w:p>
        </w:tc>
      </w:tr>
      <w:tr>
        <w:trPr>
          <w:trHeight w:val="250"/>
        </w:trPr>
        <w:tc>
          <w:tcPr>
            <w:tcW w:w="9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ASSETS AVAILABLE FOR BENEFITS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193,236</w:t>
            </w:r>
          </w:p>
        </w:tc>
      </w:tr>
      <w:tr>
        <w:trPr>
          <w:trHeight w:val="270"/>
        </w:trPr>
        <w:tc>
          <w:tcPr>
            <w:tcW w:w="9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99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1,751,860</w:t>
            </w:r>
          </w:p>
        </w:tc>
      </w:tr>
      <w:tr>
        <w:trPr>
          <w:trHeight w:val="248"/>
        </w:trPr>
        <w:tc>
          <w:tcPr>
            <w:tcW w:w="99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1,945,096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XYLEM RETIREMENT SAVINGS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2025 AND 2024, AND FOR THE YEAR ENDED DECEMBER 31, 2025</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Plan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description of the Xylem Retirement Savings Plan (the “Plan”) is provided for general information purposes only. Participants (or “Members”) should refer to the Plan document for more complete information.</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is a defined contribution plan sponsored by Xylem Inc. (the “Company” or the “Plan Sponsor”) generally covering all non-union U.S. employees of the Company. The Plan became effective on October 31, 2011. The Plan is subject to the provisions of the Employee Retirement Income Security Act of 1974 (“ERISA”). The Plan financial statements and schedules have been prepared in accordance with the financial reporting requirements of ERISA and are set forth in this report as permitted by Item 4 of Form 11-K.</w:t>
      </w:r>
    </w:p>
    <w:p>
      <w:pPr>
        <w:spacing w:after="0" w:line="12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Pension Fund Trust and Investment Committee ("PFTIC"), as appointed by the Board of Directors of the Company, controls and manages the operation and administration of the Plan and directs the managers of the Plan's investments.</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Company has a trust agreement with Fidelity Management Trust Company ("Fidelity") to act as the Plan trustee, custodian and record keeper ("Trustee") and the Plan is part of the Xylem Inc. Retirement Savings Master Trust ("Master Trust").</w:t>
      </w:r>
    </w:p>
    <w:p>
      <w:pPr>
        <w:spacing w:after="0" w:line="9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Investments in the Master Trust at December 31, 2025 are shown on the Master Trust Schedule of Assets (Held at End of Year) under identification number 45-3304527.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Various plan amendments were executed during 2025 to perform administrative updates with no material impact to the Plan.</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full -time U.S. citizen and permanent resident non-union U.S. employees of the Company are eligible to participate in the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hire and are automatically enrolled in the Plan. Part-time and temporary non-union U.S. employees are eligible upon completion either</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1,000 hours of service in a 12-month period, or (b) 500 hours of service during each of two consecutive 12-month periods. Expatriates</w:t>
      </w:r>
    </w:p>
    <w:p>
      <w:pPr>
        <w:spacing w:after="0" w:line="9" w:lineRule="exact"/>
        <w:rPr>
          <w:rFonts w:ascii="Arial" w:cs="Arial" w:eastAsia="Arial" w:hAnsi="Arial"/>
          <w:sz w:val="18"/>
          <w:szCs w:val="18"/>
          <w:color w:val="auto"/>
        </w:rPr>
      </w:pPr>
    </w:p>
    <w:p>
      <w:pPr>
        <w:spacing w:after="0" w:line="258" w:lineRule="auto"/>
        <w:rPr>
          <w:rFonts w:ascii="Arial" w:cs="Arial" w:eastAsia="Arial" w:hAnsi="Arial"/>
          <w:sz w:val="18"/>
          <w:szCs w:val="18"/>
          <w:color w:val="auto"/>
        </w:rPr>
      </w:pPr>
      <w:r>
        <w:rPr>
          <w:rFonts w:ascii="Arial" w:cs="Arial" w:eastAsia="Arial" w:hAnsi="Arial"/>
          <w:sz w:val="18"/>
          <w:szCs w:val="18"/>
          <w:color w:val="auto"/>
        </w:rPr>
        <w:t>working in the U.S. on permanent assignment or considered a local hire are immediately eligible. Expatriates on a temporary assignment are subject to completion of 36 months of service before becoming eligible. Employees of a subsidiary of the Company that participate in a similar qualified plan of that subsidiary are not eligible to participate in the Plan.</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Employee Contributions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Member may generally elect to contribute 1% to 75% of eligible pay as pre-tax contributions, or 1% to 50%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pay as Roth or after-tax contributions. Members may designate their contributions as pre-tax contributions, Roth contributions, after-tax contributions or any combination of the three. A Member who is considered a highly compensated employee under the Plan may elect Plan contributions based on a maximum Salary as defined by the Plan document, but may not participate in after-tax contributions. Member contributions are subject to the dollar limitation provided by Section 402(g) of the Internal Revenue Code ("IRC"). All eligible employees are automatically enrolled in the Plan at a 6% pre-tax contribution rate until and unless the Member elects otherwise. Members may also contribute amounts representing distributions from other qualified defined benefit or defined contribution plans.</w:t>
      </w:r>
    </w:p>
    <w:p>
      <w:pPr>
        <w:spacing w:after="0" w:line="1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Employer Contributions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matching contributions to the Member’s account equal to 50% of a Member’s pre-tax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Roth contributions and after-tax contributions, up to a maximum of 3% of a Member’s Salary. In addition, the Company contributes 3% or 4% of Salary as a core contribution to each eligible Member’s account, as defined by the Plan document. For Members with age plus years of service at the beginning of the Plan Year (including continuous service with the Company, as well as predecessor companies that were acquired or merged into the Company) of less than 50 years, the Company’s contribution to the Member’s account will be 3% of Salary. For Members with age plus years of service of 50 or more years at the beginning of the Plan Year, the Company’s contribution to the Member’s account will be 4% of Salary. Company contributions will be allocated in the Plan’s investment options elected by the Member in the same proportion as the employee’s contributions.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6" w:name="page7"/>
    <w:bookmarkEnd w:id="6"/>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Member Accounts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accounts are maintained for each Member. Each Member’s account is credited with the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Company contributions, plan earnings or losses, and withdrawals, net of administrative expenses and investment management fees. Fund earnings and losses, as well as administrative expenses and investment fees are allocated based on the applicable Member account balances, as defined by the Plan document. The benefit to which a Member is entitled is the benefit that can be provided from the Member’s account balance.</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may direct employee contributions and Company contributions, in any whole percentage among any of the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options, which include Xylem Inc. stock and a self-directed brokerage account (Fidelity's "BrokerageLink"). Members can change their future contributions and reallocate accumulated investments in 1% increments on a daily basis among the investment options. However, the number of investment option reallocations or transfers in any calendar month may be limited as defined by the Plan document.</w:t>
      </w:r>
    </w:p>
    <w:p>
      <w:pPr>
        <w:spacing w:after="0" w:line="1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Any Member or Company contributions directed by Members into Xylem Inc. stock, including future contributions to the Plan, are deposited into the Employee Stock Ownership Plan account (“ESOP”). All dividends associated with the contributions held in the ESOP within the Plan are immediately 100% vested. In addition, Members can elect to have their ESOP dividends either reinvested in Xylem Inc. stock or paid to them in cash on a quarterly basis.</w:t>
      </w:r>
    </w:p>
    <w:p>
      <w:pPr>
        <w:spacing w:after="0" w:line="1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Plan limits the amount that may be held in Xylem Inc. stock and BrokerageLink to 20% each of a Member’s total account balance. Members who hold 20% or more of their total account balance in Xylem Inc. stock or BrokerageLink will not be permitted to transfer balances into that fund. Members who hold less than 20% of their total account balance in Xylem Inc. stock or BrokerageLink may designate up to</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20% of future contributions or transfer balances into those funds, provided that the balance in each of the funds does not exceed 20% of the Member’s total account balance after the transfer.</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are immediately vested in their contributions and all Company contributions, as well as actual earnings or losses,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non-forfeitable right to their accounts in the Plan.</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Distributions to Members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termination of employment (including death, disability, or retirement) from the Company, a Member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beneficiary(ies) may elect to receive a lump sum amount equal to the value of the Member’s account paid in cash or as a rollover to another qualified plan or an Individual Retirement Account (“IRA”), or periodic payments under one of two alternative installment options, as defined in the Plan document. In any case, a Member or the Member’s beneficiary(ies) whose account balance is more than $7,000 may elect to keep the Member’s account balance in the Plan until the calendar year in which the Member reaches or would have reached age 73 (due to Secure 2.0 Act of 2022). During the calendar year in which the Member attains age 73, distribution from the Plan will commence in accordance with Section 401(a)(9) of the IRC. Upon the death of a Member with a non-spouse beneficiary(ies), the distribution must be made within five years from the Member’s date of death in the form of a lump sum payment or annual fixed period installments, provided that the number of installments does not extend beyond five years from the date of the Member’s death.</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Withdrawals Prior to Termination - </w:t>
      </w:r>
      <w:r>
        <w:rPr>
          <w:rFonts w:ascii="Arial" w:cs="Arial" w:eastAsia="Arial" w:hAnsi="Arial"/>
          <w:sz w:val="18"/>
          <w:szCs w:val="18"/>
          <w:color w:val="auto"/>
        </w:rPr>
        <w:t>At any time before termination of employment (including death, disability, or retirement), a Member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a withdrawal subject to the provisions of the Plan document and shall conform to the standards set by the Plan Administrator. A Member can withdraw amounts of their after-tax contributions as provided by the Plan document. A Member who has attained age 59 ½ may withdraw all or any portion of their pre-tax contributions as provided by the Plan document. A Member who has not attained age 59 ½ may withdraw all or a portion of their pre-tax contributions provided the Member has an immediate and heavy financial need and the withdrawal is necessary to satisfy such need as provided by the Plan document. The in-service withdrawals are limited to four per calendar year.</w:t>
      </w:r>
    </w:p>
    <w:p>
      <w:pPr>
        <w:spacing w:after="0" w:line="12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 xml:space="preserve">Direct Rollover of Certain Distributions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 eligible rollover distribution, the Member or the Member’s beneficiary(ies)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at the time and in a manner prescribed by the Plan Administrator for such purpose, to have the Plan make a direct rollover of all or part of such withdrawal or distribution to a maximum of two eligible retirement plans which accept such rollover.</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If a Member’s account balance is greater than $1,000 but does not exceed $7,000 and the Member fails to make an affirmative election to either receive the lump sum payment or have it directly rolled over to another qualified plan or an IRA within the 30 day election period, the account balance will be automatically rolled over to an IRA established in the Member’s name.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 Member’s account balance is $1,000 or less and the Member fails to make an affirmative election to either receive the lump sum payment or have it directly rolled over to another qualified plan or an IRA within the 30 day election period, the account balance will be automatically paid out to the Member.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 w:name="page8"/>
    <w:bookmarkEnd w:id="7"/>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Forfeited Accounts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are always 100% vested in their accounts. Therefore, no forfeited non-vested accounts or forfeitures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cover administrative expenses or reduce Company contributions to the Plan.</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Notes Receivable from Members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Member may request a loan in any specified whole dollar amount which must be at least $1,000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may not exceed the lesser of 50% of the vested account balance or $50,000, reduced by the Member’s highest outstanding loan balance under all defined contribution plans of the Company, if any, during the prior one-year period. A loan is deducted from the investments in a Member's account according to the hierarchy set by the Plan Administrator, per the Plan document. Members are limited to one outstanding loan at a time. No new loans can be taken until current outstanding loans are paid off. There is a 30-day waiting period to request a new loan once the existing loans are paid off. The interest rate charged by the Plan is a reasonable rate of interest for loans commensurate with the interest rates charged by persons in the business of lending money for loans which would be made under similar circumstances, as determined by the Plan document, and generally remains the same throughout the term of the loan. General purpose loan terms range from one to 54 months. If the loan is used in the purchase of a primary residence, the loan term can be for a period of up to 174 months. Loans are secured by the balance in the Member’s account. The Member's account is charged $50 to cover loan origination fees. The amount of outstanding Notes Receivable from Members at December 31, 2025 and 2024 was $18.8 million and $20.5 million, respectively.</w:t>
      </w:r>
    </w:p>
    <w:p>
      <w:pPr>
        <w:spacing w:after="0" w:line="13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Under certain circumstances, including a Member’s failure to make timely loan repayments, death or disability, the Plan Administrator may declare the Member’s loan to be in default and the Plan may execute upon its security interest in the Member’s account under the Plan to satisfy the debt.</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Member that is terminated or that retires from the Company may continue to make periodic repayment on such Member’s loans after separation from the Company by contacting Fidelity, provided the Member’s account balance is greater than $7,000. Account balances that do not exceed $7,000 are subject to certain distribution rules (see above) and any outstanding loans are required to be settled. No new loans can be granted after termination of employment.</w:t>
      </w:r>
    </w:p>
    <w:p>
      <w:pPr>
        <w:spacing w:after="0" w:line="2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Administrative and Investment Management Expenses - </w:t>
      </w:r>
      <w:r>
        <w:rPr>
          <w:rFonts w:ascii="Arial" w:cs="Arial" w:eastAsia="Arial" w:hAnsi="Arial"/>
          <w:sz w:val="18"/>
          <w:szCs w:val="18"/>
          <w:color w:val="auto"/>
        </w:rPr>
        <w:t>The Plan pays for expenses incurred in conjunction with Plan administration,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trustee services, record keeping, investment advice, and audit fees up to 0.25% of the market value of trust assets, and the Company pays all other expenses incurred in administering the Plan</w:t>
      </w:r>
      <w:r>
        <w:rPr>
          <w:rFonts w:ascii="Arial" w:cs="Arial" w:eastAsia="Arial" w:hAnsi="Arial"/>
          <w:sz w:val="18"/>
          <w:szCs w:val="18"/>
          <w:b w:val="1"/>
          <w:bCs w:val="1"/>
          <w:color w:val="auto"/>
        </w:rPr>
        <w:t>.</w:t>
      </w:r>
      <w:r>
        <w:rPr>
          <w:rFonts w:ascii="Arial" w:cs="Arial" w:eastAsia="Arial" w:hAnsi="Arial"/>
          <w:sz w:val="18"/>
          <w:szCs w:val="18"/>
          <w:color w:val="auto"/>
        </w:rPr>
        <w:t xml:space="preserve"> The Members' accounts are charged quarterly for administrative fees. In 2025, the Plan incurred trustee and administrative expenses which equal 0.08% of the Plan's interest in the investments in the Master Trust. Certain administrative functions are performed by employees of the Company (who may also be Members in the Plan). No such employee receives compensation from the Plan.</w:t>
      </w:r>
    </w:p>
    <w:p>
      <w:pPr>
        <w:spacing w:after="0" w:line="12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 addition to the trustee and administrative expense charges, an investment management fee is charged by the majority of the investment funds. These investment management fees are included in the net asset value (“NAV”) of the fund calculated by the investment manager of the respective fund and are reflected as a reduction of investment return for such investments.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Secure 2.0 Act of 2022 - </w:t>
      </w:r>
      <w:r>
        <w:rPr>
          <w:rFonts w:ascii="Arial" w:cs="Arial" w:eastAsia="Arial" w:hAnsi="Arial"/>
          <w:sz w:val="18"/>
          <w:szCs w:val="18"/>
          <w:color w:val="auto"/>
        </w:rPr>
        <w:t>On December 29, 2022, the Consolidated Appropriations Act of 2023 was signed into law.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Appropriations Act contained several provisions referred to as the SECURE 2.0 Act of 2022 ("Secure 2.0 Act") that contained required and optional provisions aimed at improving retirement-saving opportunities with effective dates varying across the provisions. Effective January 1, 2023, the required minimum distribution age was increased from 72 to 73 in connection with SECURE 2.0 legislation and the Plan will be amended as required by the Secure 2.0 Act within the required dates as outlined therein.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accompanying financial statements have been prepared under the accrual basis of accounting.</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accounting principles generally accepted in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America (“GAAP”) requires management to make estimates and assumptions that affect the reported amounts of assets, liabilities and the disclosures at the date of financial statements. Actual results could differ from those estimates.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Risks and Uncertainties - </w:t>
      </w:r>
      <w:r>
        <w:rPr>
          <w:rFonts w:ascii="Arial" w:cs="Arial" w:eastAsia="Arial" w:hAnsi="Arial"/>
          <w:sz w:val="18"/>
          <w:szCs w:val="18"/>
          <w:color w:val="auto"/>
        </w:rPr>
        <w:t>The Plan utilizes various investment instruments, including common stock, mutual funds, guaranteed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collective trusts. Investments, in general, are exposed to various risks,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8" w:name="page9"/>
    <w:bookmarkEnd w:id="8"/>
    <w:p>
      <w:pPr>
        <w:ind w:right="200"/>
        <w:spacing w:after="0" w:line="268" w:lineRule="auto"/>
        <w:rPr>
          <w:sz w:val="20"/>
          <w:szCs w:val="20"/>
          <w:color w:val="auto"/>
        </w:rPr>
      </w:pPr>
      <w:r>
        <w:rPr>
          <w:rFonts w:ascii="Arial" w:cs="Arial" w:eastAsia="Arial" w:hAnsi="Arial"/>
          <w:sz w:val="18"/>
          <w:szCs w:val="18"/>
          <w:color w:val="auto"/>
        </w:rPr>
        <w:t>such as interest rate risk, credit risk, liquidity and overall market volatility. Due to the level of risk associated with certain investments, it is reasonably possible that changes in the values of investments will occur in the near term and that such changes could materially affect the values of Members' account balances and the amounts reported in the financial statements.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Investment Valuation and Income Recognition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Plan’s investments, other than fully benefit-responsive contracts, are measured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Fair value is defined as the price that would be received to sell an asset or paid to transfer a liability in an orderly transaction between market participants at the measurement date (i.e. an exit price). A more detailed description of the individual types of securities held in the Master Trust and their valuation methods can be found in Note 4.</w:t>
      </w:r>
    </w:p>
    <w:p>
      <w:pPr>
        <w:spacing w:after="0" w:line="12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Contract value is the relevant measure for the Plan's fully benefit-responsive investment contracts, because contract value is the amount Members generally receive when executing transactions under the terms of the contract and Plan provisions.</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an accrual basis. Dividends are recorded on the ex-dividend date. Net appreciation (depreciation) includes the Plan's gains and losses on investments bought and sold as well as held during the year.</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Contributions Receivable - </w:t>
      </w:r>
      <w:r>
        <w:rPr>
          <w:rFonts w:ascii="Arial" w:cs="Arial" w:eastAsia="Arial" w:hAnsi="Arial"/>
          <w:sz w:val="18"/>
          <w:szCs w:val="18"/>
          <w:color w:val="auto"/>
        </w:rPr>
        <w:t>The Plan accrues contributions receivable based upon payroll deferrals and Company contributions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year that were not yet deposited as of the end of the year.</w:t>
      </w:r>
    </w:p>
    <w:p>
      <w:pPr>
        <w:spacing w:after="0" w:line="99"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b w:val="1"/>
          <w:bCs w:val="1"/>
          <w:i w:val="1"/>
          <w:iCs w:val="1"/>
          <w:color w:val="auto"/>
        </w:rPr>
        <w:t xml:space="preserve">Distributions to Members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to Members are recorded upon distribution. There were no Members who elected to withdraw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but had not yet been paid at December 31, 2025 and 2024.</w:t>
      </w:r>
    </w:p>
    <w:p>
      <w:pPr>
        <w:spacing w:after="0" w:line="9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b w:val="1"/>
          <w:bCs w:val="1"/>
          <w:i w:val="1"/>
          <w:iCs w:val="1"/>
          <w:color w:val="auto"/>
        </w:rPr>
        <w:t xml:space="preserve">Notes Receivable from Members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Receivable from Members are recorded at their unpaid principal balance plus any accrued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unpaid interest with no allowance for credit losses as repayments of principal and interest are received through payroll deductions, and the loans are collateralized by the Members' accounts.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event that a Member fails to make timely loan repayments, the loan may be considered to be in default. In the event default is declared, the outstanding loan balance and any accrued interest may be treated as a withdrawal prior to termination of employment, subject to the withdrawal provisions outlined in the Plan document, and may be determined to be a fully taxable distribution from the Plan.</w:t>
      </w:r>
    </w:p>
    <w:p>
      <w:pPr>
        <w:spacing w:after="0" w:line="11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 financial statements include delinquent loan balances until specifically written off. Form 5500 reflects the delinquent loans as distributions. See Note 9 for the reconciliation of the Plan's financial statements to Form 5500.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Master Trust</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the Plan investments consist of an interest in an investment account of the Master Trust established by the Company and administered by Fidelity as of December 31, 2025 and 2024. Use of the Master Trust permits the commingling of trust assets with the assets of certain other Company savings plans for investment and administrative purposes. Although assets of participating plans are commingled in the Master Trust, supporting records for the purpose of allocating the net gain or loss of the investment account to the participating plans are maintained. The net assets of the Master Trust are allocated based on individual participant account balances in the respective plans. The daily net investment income (loss) of the investment assets is allocated by the Trustee to each participating plan based on the relationship of the interest of each plan to the total of the interests of the participating plans. There were no investment assets held outside the Master Trust at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2"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presents the investments in the Master Trust and the Plan's interest in the Master Trust at December 31, 2025 and 2024:</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97"/>
        </w:trPr>
        <w:tc>
          <w:tcPr>
            <w:tcW w:w="4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7"/>
                <w:szCs w:val="17"/>
                <w:color w:val="auto"/>
              </w:rPr>
            </w:pPr>
          </w:p>
        </w:tc>
        <w:tc>
          <w:tcPr>
            <w:tcW w:w="2780" w:type="dxa"/>
            <w:vAlign w:val="bottom"/>
            <w:gridSpan w:val="5"/>
          </w:tcPr>
          <w:p>
            <w:pPr>
              <w:ind w:left="400"/>
              <w:spacing w:after="0"/>
              <w:rPr>
                <w:sz w:val="20"/>
                <w:szCs w:val="20"/>
                <w:color w:val="auto"/>
              </w:rPr>
            </w:pPr>
            <w:r>
              <w:rPr>
                <w:rFonts w:ascii="Arial" w:cs="Arial" w:eastAsia="Arial" w:hAnsi="Arial"/>
                <w:sz w:val="14"/>
                <w:szCs w:val="14"/>
                <w:b w:val="1"/>
                <w:bCs w:val="1"/>
                <w:color w:val="auto"/>
              </w:rPr>
              <w:t>Master Trust Balances</w:t>
            </w:r>
          </w:p>
        </w:tc>
        <w:tc>
          <w:tcPr>
            <w:tcW w:w="140" w:type="dxa"/>
            <w:vAlign w:val="bottom"/>
          </w:tcPr>
          <w:p>
            <w:pPr>
              <w:spacing w:after="0"/>
              <w:rPr>
                <w:sz w:val="17"/>
                <w:szCs w:val="17"/>
                <w:color w:val="auto"/>
              </w:rPr>
            </w:pPr>
          </w:p>
        </w:tc>
        <w:tc>
          <w:tcPr>
            <w:tcW w:w="28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Plan's Interest in Master Trust Balances</w:t>
            </w:r>
          </w:p>
        </w:tc>
        <w:tc>
          <w:tcPr>
            <w:tcW w:w="0" w:type="dxa"/>
            <w:vAlign w:val="bottom"/>
          </w:tcPr>
          <w:p>
            <w:pPr>
              <w:spacing w:after="0"/>
              <w:rPr>
                <w:sz w:val="1"/>
                <w:szCs w:val="1"/>
                <w:color w:val="auto"/>
              </w:rPr>
            </w:pPr>
          </w:p>
        </w:tc>
      </w:tr>
      <w:tr>
        <w:trPr>
          <w:trHeight w:val="196"/>
        </w:trPr>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Member directed investments at fair value:</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1"/>
        </w:trPr>
        <w:tc>
          <w:tcPr>
            <w:tcW w:w="4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23,567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w:t>
            </w: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232,968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294,887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218,778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279,816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Member directed brokerage account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Collective trusts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1,607,732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1,345,941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1,570,888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1,314,469</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1,880,917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1,677,564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1,828,338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1,629,589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Member directed investments at contract value: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value accounts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85,147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90,329</w:t>
            </w:r>
          </w:p>
        </w:tc>
        <w:tc>
          <w:tcPr>
            <w:tcW w:w="0" w:type="dxa"/>
            <w:vAlign w:val="bottom"/>
          </w:tcPr>
          <w:p>
            <w:pPr>
              <w:spacing w:after="0"/>
              <w:rPr>
                <w:sz w:val="1"/>
                <w:szCs w:val="1"/>
                <w:color w:val="auto"/>
              </w:rPr>
            </w:pPr>
          </w:p>
        </w:tc>
      </w:tr>
      <w:tr>
        <w:trPr>
          <w:trHeight w:val="223"/>
        </w:trPr>
        <w:tc>
          <w:tcPr>
            <w:tcW w:w="4820" w:type="dxa"/>
            <w:vAlign w:val="bottom"/>
          </w:tcPr>
          <w:p>
            <w:pPr>
              <w:ind w:left="320"/>
              <w:spacing w:after="0"/>
              <w:rPr>
                <w:sz w:val="20"/>
                <w:szCs w:val="20"/>
                <w:color w:val="auto"/>
              </w:rPr>
            </w:pPr>
            <w:r>
              <w:rPr>
                <w:rFonts w:ascii="Arial" w:cs="Arial" w:eastAsia="Arial" w:hAnsi="Arial"/>
                <w:sz w:val="18"/>
                <w:szCs w:val="18"/>
                <w:color w:val="auto"/>
              </w:rPr>
              <w:t>Total investments in Master Trust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1,972,172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1,774,093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1,913,485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1,719,918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The following table presents the appreciation in fair value for the year ended December 31, 2025 for the Master Trust and the Plan's interest in the Master Trust, including gains and losses on investments bought and sold, as well as held during the year:</w:t>
      </w:r>
    </w:p>
    <w:p>
      <w:pPr>
        <w:spacing w:after="0" w:line="6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Master Trust Activity</w:t>
            </w: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Plan's Interest in Master</w:t>
            </w:r>
          </w:p>
        </w:tc>
        <w:tc>
          <w:tcPr>
            <w:tcW w:w="0" w:type="dxa"/>
            <w:vAlign w:val="bottom"/>
          </w:tcPr>
          <w:p>
            <w:pPr>
              <w:spacing w:after="0"/>
              <w:rPr>
                <w:sz w:val="1"/>
                <w:szCs w:val="1"/>
                <w:color w:val="auto"/>
              </w:rPr>
            </w:pPr>
          </w:p>
        </w:tc>
      </w:tr>
      <w:tr>
        <w:trPr>
          <w:trHeight w:val="185"/>
        </w:trPr>
        <w:tc>
          <w:tcPr>
            <w:tcW w:w="5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Trust Activity</w:t>
            </w:r>
          </w:p>
        </w:tc>
        <w:tc>
          <w:tcPr>
            <w:tcW w:w="0" w:type="dxa"/>
            <w:vAlign w:val="bottom"/>
          </w:tcPr>
          <w:p>
            <w:pPr>
              <w:spacing w:after="0"/>
              <w:rPr>
                <w:sz w:val="1"/>
                <w:szCs w:val="1"/>
                <w:color w:val="auto"/>
              </w:rPr>
            </w:pPr>
          </w:p>
        </w:tc>
      </w:tr>
      <w:tr>
        <w:trPr>
          <w:trHeight w:val="194"/>
        </w:trPr>
        <w:tc>
          <w:tcPr>
            <w:tcW w:w="56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Realized gain on purchases and sales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25,027</w:t>
            </w:r>
          </w:p>
        </w:tc>
        <w:tc>
          <w:tcPr>
            <w:tcW w:w="1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24,350</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investments held</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225,534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219,447</w:t>
            </w:r>
          </w:p>
        </w:tc>
        <w:tc>
          <w:tcPr>
            <w:tcW w:w="0" w:type="dxa"/>
            <w:vAlign w:val="bottom"/>
          </w:tcPr>
          <w:p>
            <w:pPr>
              <w:spacing w:after="0"/>
              <w:rPr>
                <w:sz w:val="1"/>
                <w:szCs w:val="1"/>
                <w:color w:val="auto"/>
              </w:rPr>
            </w:pPr>
          </w:p>
        </w:tc>
      </w:tr>
      <w:tr>
        <w:trPr>
          <w:trHeight w:val="223"/>
        </w:trPr>
        <w:tc>
          <w:tcPr>
            <w:tcW w:w="5680" w:type="dxa"/>
            <w:vAlign w:val="bottom"/>
          </w:tcPr>
          <w:p>
            <w:pPr>
              <w:ind w:left="140"/>
              <w:spacing w:after="0"/>
              <w:rPr>
                <w:sz w:val="20"/>
                <w:szCs w:val="20"/>
                <w:color w:val="auto"/>
              </w:rPr>
            </w:pPr>
            <w:r>
              <w:rPr>
                <w:rFonts w:ascii="Arial" w:cs="Arial" w:eastAsia="Arial" w:hAnsi="Arial"/>
                <w:sz w:val="18"/>
                <w:szCs w:val="18"/>
                <w:color w:val="auto"/>
              </w:rPr>
              <w:t>Net appreciation in fair value of investments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250,561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243,797</w:t>
            </w:r>
          </w:p>
        </w:tc>
        <w:tc>
          <w:tcPr>
            <w:tcW w:w="0" w:type="dxa"/>
            <w:vAlign w:val="bottom"/>
          </w:tcPr>
          <w:p>
            <w:pPr>
              <w:spacing w:after="0"/>
              <w:rPr>
                <w:sz w:val="1"/>
                <w:szCs w:val="1"/>
                <w:color w:val="auto"/>
              </w:rPr>
            </w:pPr>
          </w:p>
        </w:tc>
      </w:tr>
      <w:tr>
        <w:trPr>
          <w:trHeight w:val="162"/>
        </w:trPr>
        <w:tc>
          <w:tcPr>
            <w:tcW w:w="5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16,871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15,881</w:t>
            </w:r>
          </w:p>
        </w:tc>
        <w:tc>
          <w:tcPr>
            <w:tcW w:w="0" w:type="dxa"/>
            <w:vAlign w:val="bottom"/>
          </w:tcPr>
          <w:p>
            <w:pPr>
              <w:spacing w:after="0"/>
              <w:rPr>
                <w:sz w:val="1"/>
                <w:szCs w:val="1"/>
                <w:color w:val="auto"/>
              </w:rPr>
            </w:pPr>
          </w:p>
        </w:tc>
      </w:tr>
      <w:tr>
        <w:trPr>
          <w:trHeight w:val="162"/>
        </w:trPr>
        <w:tc>
          <w:tcPr>
            <w:tcW w:w="56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220"/>
              <w:spacing w:after="0"/>
              <w:rPr>
                <w:sz w:val="20"/>
                <w:szCs w:val="20"/>
                <w:color w:val="auto"/>
              </w:rPr>
            </w:pPr>
            <w:r>
              <w:rPr>
                <w:rFonts w:ascii="Arial" w:cs="Arial" w:eastAsia="Arial" w:hAnsi="Arial"/>
                <w:sz w:val="18"/>
                <w:szCs w:val="18"/>
                <w:color w:val="auto"/>
              </w:rPr>
              <w:t>Total investment gain of the Master Trust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267,432</w:t>
            </w:r>
          </w:p>
        </w:tc>
        <w:tc>
          <w:tcPr>
            <w:tcW w:w="14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259,678</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Plan determines fair value as the price that would be received to sell an asset or paid to transfer a liability in an orderly transaction between market participants at the measurement date. The Plan uses a hierarchical structure to prioritize the inputs to valuation techniques used to measure fair value into three broad levels defined as follows:</w:t>
      </w:r>
    </w:p>
    <w:p>
      <w:pPr>
        <w:spacing w:after="0" w:line="6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Plan holds no Level 2 or 3 investments.</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2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Certain investments which measure fair value using the net asset value (“NAV”) per share as a practical expedient are not classified within the fair value hierarchy.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0" w:name="page11"/>
    <w:bookmarkEnd w:id="10"/>
    <w:p>
      <w:pPr>
        <w:ind w:left="660" w:right="380" w:hanging="328"/>
        <w:spacing w:after="0" w:line="291"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Employer Common Stock - Common stock is valued at the closing price reported on the major market on which the individual securities are traded at the measurement date. Xylem Inc. stock is traded on the New York Stock Exchange (“NYSE”) under the ticker symbol XYL and is valued at the Plan's year-end date. These securities are classified in Level 1 of the fair value hierarchy.</w:t>
      </w:r>
    </w:p>
    <w:p>
      <w:pPr>
        <w:spacing w:after="0" w:line="44" w:lineRule="exact"/>
        <w:rPr>
          <w:rFonts w:ascii="Arial" w:cs="Arial" w:eastAsia="Arial" w:hAnsi="Arial"/>
          <w:sz w:val="17"/>
          <w:szCs w:val="17"/>
          <w:color w:val="auto"/>
        </w:rPr>
      </w:pPr>
    </w:p>
    <w:p>
      <w:pPr>
        <w:ind w:left="660" w:right="30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Member-Directed Brokerage Accounts - Securities held in BrokerageLink are valued at the closing price reported on the major market on which the individual securities are traded at the measurement date. These securities are classified in Level 1 of the fair value hierarchy.</w:t>
      </w:r>
    </w:p>
    <w:p>
      <w:pPr>
        <w:spacing w:after="0" w:line="62"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Mutual Funds - Mutual funds of registered investment companies are publicly traded in active markets and valued at the closing price reported on those major markets as of the measurement date. Mutual funds are classified within Level 1 of the fair value hierarchy.</w:t>
      </w:r>
    </w:p>
    <w:p>
      <w:pPr>
        <w:spacing w:after="0" w:line="21" w:lineRule="exact"/>
        <w:rPr>
          <w:rFonts w:ascii="Arial" w:cs="Arial" w:eastAsia="Arial" w:hAnsi="Arial"/>
          <w:sz w:val="17"/>
          <w:szCs w:val="17"/>
          <w:color w:val="auto"/>
        </w:rPr>
      </w:pPr>
    </w:p>
    <w:p>
      <w:pPr>
        <w:jc w:val="both"/>
        <w:ind w:left="660" w:right="26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Collective Trusts ("CTs") - CTs are valued at fair value at the Plan's year-end date using the NAV provided by the administrators of the CTs as a practical expedient. Investments in CTs can be redeemed on a daily basis and there are no unfunded commitments. CTs are not classified within the fair value hierarchy.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the Plan Administrator believes that the valuation methods are appropriate and consistent with how other participants in the market value these types of investments, the use of different methodologies or assumptions to determine the fair value of certain financial instruments could result in a different fair value measurement at the reporting date. The methods described above may produce a fair value calculation that may not be indicative of net realizable value or reflective of future fair values. There have been no changes in the methodologies used at December 31, 2025 and 2024.</w:t>
      </w:r>
    </w:p>
    <w:p>
      <w:pPr>
        <w:spacing w:after="0" w:line="125"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The following table sets forth by level within the fair value hierarchy a summary of the Master Trust investments measured at fair value at December 31, 2025.</w:t>
      </w: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NAV Practical</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Identical Assets</w:t>
            </w:r>
          </w:p>
        </w:tc>
        <w:tc>
          <w:tcPr>
            <w:tcW w:w="160" w:type="dxa"/>
            <w:vAlign w:val="bottom"/>
          </w:tcPr>
          <w:p>
            <w:pPr>
              <w:spacing w:after="0"/>
              <w:rPr>
                <w:sz w:val="12"/>
                <w:szCs w:val="12"/>
                <w:color w:val="auto"/>
              </w:rPr>
            </w:pPr>
          </w:p>
        </w:tc>
        <w:tc>
          <w:tcPr>
            <w:tcW w:w="16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 (Level 3)</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Expedient</w:t>
            </w: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Employer Common Stock</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25,105</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Mutual Funds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232,968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232,968</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Member-Directed Brokerage</w:t>
            </w:r>
          </w:p>
        </w:tc>
        <w:tc>
          <w:tcPr>
            <w:tcW w:w="18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15,112</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w:t>
            </w:r>
          </w:p>
        </w:tc>
        <w:tc>
          <w:tcPr>
            <w:tcW w:w="18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Collective Trusts</w:t>
            </w:r>
          </w:p>
        </w:tc>
        <w:tc>
          <w:tcPr>
            <w:tcW w:w="1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1,607,732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1,607,732</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1,607,732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1,880,917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sets forth by level within the fair value hierarchy a summary of the Master Trust investments measured at fair value at December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NAV Practical</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Identical Assets</w:t>
            </w:r>
          </w:p>
        </w:tc>
        <w:tc>
          <w:tcPr>
            <w:tcW w:w="18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Inputs (Level 3)</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Expedient</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Common Stock</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294,887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294,887</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Member-Directed Brokerage</w:t>
            </w:r>
          </w:p>
        </w:tc>
        <w:tc>
          <w:tcPr>
            <w:tcW w:w="2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w:t>
            </w:r>
          </w:p>
        </w:tc>
        <w:tc>
          <w:tcPr>
            <w:tcW w:w="2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Collective Trusts</w:t>
            </w:r>
          </w:p>
        </w:tc>
        <w:tc>
          <w:tcPr>
            <w:tcW w:w="2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1,345,941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1,345,941</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1,345,941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1,677,564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Guaranteed Investment Contract</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Master Trust holds fully benefit-responsive investment contracts (also referred to as traditional guaranteed investment contracts or "GIC") with New York Life Insurance Company ("NY Life"). These contracts are reported in the “Stable Value Accounts” line item and are reported at contract value. NY Life manages these investments and maintains the contributions in its pooled separate account (referred to as the "Anchor Account"). The assets of the Anchor Account are owned by NY Life. The Anchor Account is credited with earnings on the underlying investments and is charged for participant withdrawals and administrative expenses. Members ordinarily may direct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1" w:name="page12"/>
    <w:bookmarkEnd w:id="11"/>
    <w:p>
      <w:pPr>
        <w:ind w:right="80"/>
        <w:spacing w:after="0" w:line="271" w:lineRule="auto"/>
        <w:rPr>
          <w:sz w:val="20"/>
          <w:szCs w:val="20"/>
          <w:color w:val="auto"/>
        </w:rPr>
      </w:pPr>
      <w:r>
        <w:rPr>
          <w:rFonts w:ascii="Arial" w:cs="Arial" w:eastAsia="Arial" w:hAnsi="Arial"/>
          <w:sz w:val="18"/>
          <w:szCs w:val="18"/>
          <w:color w:val="auto"/>
        </w:rPr>
        <w:t>withdrawal or transfer of all or a portion of their investments at contract value. The contract has no maturity date, but contract years begin on January 1 of each year.</w:t>
      </w:r>
    </w:p>
    <w:p>
      <w:pPr>
        <w:spacing w:after="0" w:line="11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Under the terms of the contracts, interest will accrue daily, be credited monthly and the rate cannot be less than zero percent. The daily rate fluctuates based on the underlying investments. Realized gains and losses are amortized over the target duration.</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 Participant-initiated transactions are those transactions allowed by the Plan, including withdrawals for benefits, loans,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transfers to noncompeting funds within a plan, but excluding withdrawals that are deemed to be caused by the actions of the Plan Sponsor. No direct transfers to competing investment options are permitted under the GIC. Any transfers out of the GIC must first go through a non-competing investment option and reside there for at least 90 days before transfer to a competing option, directed-brokerage account, or a mutual fund window. However, the GIC shall not be subject to a market value adjustment if the Plan provides at least 12 months advance written notice to NY Life. The following employer-initiated events may limit the ability of the Plan to transact at contract value:</w:t>
      </w:r>
    </w:p>
    <w:p>
      <w:pPr>
        <w:spacing w:after="0" w:line="74" w:lineRule="exact"/>
        <w:rPr>
          <w:sz w:val="20"/>
          <w:szCs w:val="20"/>
          <w:color w:val="auto"/>
        </w:rPr>
      </w:pPr>
    </w:p>
    <w:p>
      <w:pPr>
        <w:ind w:left="820" w:right="60" w:hanging="326"/>
        <w:spacing w:after="0" w:line="28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of the Plan or its trust to qualify for exemption from federal income taxes or any required prohibited transaction exemption under ERISA;</w:t>
      </w:r>
    </w:p>
    <w:p>
      <w:pPr>
        <w:spacing w:after="0" w:line="44" w:lineRule="exact"/>
        <w:rPr>
          <w:rFonts w:ascii="Arial" w:cs="Arial" w:eastAsia="Arial" w:hAnsi="Arial"/>
          <w:sz w:val="18"/>
          <w:szCs w:val="18"/>
          <w:color w:val="auto"/>
        </w:rPr>
      </w:pPr>
    </w:p>
    <w:p>
      <w:pPr>
        <w:ind w:left="820" w:right="140" w:hanging="326"/>
        <w:spacing w:after="0" w:line="28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communication given to Plan members designed to influence a participant not to invest in the GIC or to transfer assets out of the GIC;</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establishment of a defined contribution plan that competes with the Plan for employee contributions;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or partial termination of the Plan or its merger with another plan.</w:t>
      </w:r>
    </w:p>
    <w:p>
      <w:pPr>
        <w:spacing w:after="0" w:line="171" w:lineRule="exact"/>
        <w:rPr>
          <w:sz w:val="20"/>
          <w:szCs w:val="20"/>
          <w:color w:val="auto"/>
        </w:rPr>
      </w:pPr>
    </w:p>
    <w:p>
      <w:pPr>
        <w:ind w:left="180" w:right="80"/>
        <w:spacing w:after="0" w:line="287" w:lineRule="auto"/>
        <w:rPr>
          <w:sz w:val="20"/>
          <w:szCs w:val="20"/>
          <w:color w:val="auto"/>
        </w:rPr>
      </w:pPr>
      <w:r>
        <w:rPr>
          <w:rFonts w:ascii="Arial" w:cs="Arial" w:eastAsia="Arial" w:hAnsi="Arial"/>
          <w:sz w:val="18"/>
          <w:szCs w:val="18"/>
          <w:color w:val="auto"/>
        </w:rPr>
        <w:t>The PFTIC believes that the occurrence of an event that would cause the Plan to transact contract distributions at less than contract value is not probable.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Party-In-Interest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 Party-In-Interest Transactions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ERISA section 406(a) prohibits various types of transactions between a plan and parties-in-interest. Parties-in-interest are defined by the Department of Labor regulation as any fiduciary of the Plan, any party rendering service to the Plan, the employer, and certain others. ERISA section 408(a) contains specific exemptions whereby plans may engage in certain transactions with parties-in-interest that are otherwise prohibited by law.</w:t>
      </w:r>
    </w:p>
    <w:p>
      <w:pPr>
        <w:spacing w:after="0" w:line="12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Fidelity is the Trustee and custodian for all of the Master Trust's investments. Fidelity or one of its affiliates manages BrokerageLink, as well as certain plan investments in mutual funds.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services fees were paid to Fidelity or one of its affiliates during 2025.</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At December 31, 2025, the Master Trust held 184,278 shares of common stock of the Company with a cost basis of $9.1 million. At December 31, 2024, the Master Trust held 204,439 shares of common stock of the Company with a cost basis of $9.3 million. For the year ended December 31, 2025, the Master Trust recorded related net appreciation of $4.0 million and dividends of $0.3 million on Company stock.</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Member loans also qualify as party-in-interest transactions and amounted to $18.8 million and $20.5 million at December 31, 2025 and 2024,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Nonexempt Party-In-Interest Transactions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2024, it was discovered that payments of certain non-Plan related audit fees were erroneously made from Plan assets. This is considered a non-exempt (prohibited) transaction under ERISA. The erroneous payments occurred in June 2024, and amounts were returned to the Plan (including earnings thereon) in May 2025. Further, Xylem filed Forms 5330 for each of the 2024 and 2025 Plan years to report the error and pay the required excise tax in accordance with Department of Labor guidance on self-correcting such errors. The amount of erroneous payments was $12,904, the missed earnings were $906, and the excise taxes were $136 and $272 for 2024 and 2025, respectively. With return of the amounts to the Plan (including earnings), filing of the Forms 5330 and payment of the excise tax, Xylem believes the prohibited transaction has been fully corrected in accordance with DOL guidance.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Plan Termination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at any time and to terminate the Plan subject to the provisions of ERISA. In the event that the Plan is terminated, Member account balances would not be impacted, since all contributions and related earnings are immediately vested.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Federal Income Tax Status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Internal Revenue Service ("IRS") has determined and informed the Company by a letter dated June 9, 2017 that the Plan and related trust are designed in accordance with the applicable sections of the IRC. Although the Plan has been amended since receiving the determination letter, the PFTIC believes that the Plan is designed and being operated in compliance with the applicable requirements of the IRC. Therefore, they believe that the Plan was qualified and the related trust was tax-exempt as of the financial statement date. Therefore, no provision for income taxes has been included in the Plan’s financial statements.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GAAP requires the Company to evaluate tax positions taken by the Plan and recognize a tax liability (or asset) if the Plan has taken an uncertain position that more likely than not would not be sustained upon examination by the IRS. The Company has analyzed the tax positions taken by the Plan, and has concluded that as of December 31, 2025 and 2024, there are no uncertain tax positions taken or expected to be taken that would require recognition of a liability (or asset) or disclosure in the financial statements. The Plan is subject to routine audits by taxing jurisdictions; however, there are currently no audits for any tax periods in progress. The Company believes the Plan is no longer subject to income tax examinations for years prior to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Reconciliation of Financial Statements to Form 5500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net assets available for benefits per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 5500 as of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2024</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financial statements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1,945,096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1,751,860</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deemed distributed for tax purposes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Form 5500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1,751,484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is a reconciliation of the increase in net assets available for benefits per the financial statements to the net gain per Form 5500 for the year ended December 31, 2025:</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r>
      <w:tr>
        <w:trPr>
          <w:trHeight w:val="224"/>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193,236</w:t>
            </w:r>
          </w:p>
        </w:tc>
      </w:tr>
      <w:tr>
        <w:trPr>
          <w:trHeight w:val="230"/>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deemed distributed for tax purposes,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r>
      <w:tr>
        <w:trPr>
          <w:trHeight w:val="24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Form 5500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193,293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Effective January 1, 2026, the Plan implemented a change required under SECURE 2.0 whereby catch-up contributions made by any Member whose FICA wages exceeded $ 150,000 in the prior calendar year must be designated as Roth contributions. This change was operationally implemented as of January 1, 2026. The related Plan amendment has not yet been adopted, as SECURE 2.0 amendments are not required to be adopted until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XYLEM RETIREMENT SAVINGS PLAN</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EIN#: 45-</w:t>
            </w:r>
          </w:p>
        </w:tc>
        <w:tc>
          <w:tcPr>
            <w:tcW w:w="0" w:type="dxa"/>
            <w:vAlign w:val="bottom"/>
          </w:tcPr>
          <w:p>
            <w:pPr>
              <w:spacing w:after="0"/>
              <w:rPr>
                <w:sz w:val="1"/>
                <w:szCs w:val="1"/>
                <w:color w:val="auto"/>
              </w:rPr>
            </w:pPr>
          </w:p>
        </w:tc>
      </w:tr>
      <w:tr>
        <w:trPr>
          <w:trHeight w:val="238"/>
        </w:trPr>
        <w:tc>
          <w:tcPr>
            <w:tcW w:w="4200" w:type="dxa"/>
            <w:vAlign w:val="bottom"/>
            <w:gridSpan w:val="3"/>
            <w:vMerge w:val="continue"/>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2080495</w:t>
            </w:r>
          </w:p>
        </w:tc>
        <w:tc>
          <w:tcPr>
            <w:tcW w:w="0" w:type="dxa"/>
            <w:vAlign w:val="bottom"/>
          </w:tcPr>
          <w:p>
            <w:pPr>
              <w:spacing w:after="0"/>
              <w:rPr>
                <w:sz w:val="1"/>
                <w:szCs w:val="1"/>
                <w:color w:val="auto"/>
              </w:rPr>
            </w:pPr>
          </w:p>
        </w:tc>
      </w:tr>
      <w:tr>
        <w:trPr>
          <w:trHeight w:val="229"/>
        </w:trPr>
        <w:tc>
          <w:tcPr>
            <w:tcW w:w="6060" w:type="dxa"/>
            <w:vAlign w:val="bottom"/>
            <w:gridSpan w:val="5"/>
          </w:tcPr>
          <w:p>
            <w:pPr>
              <w:ind w:left="20"/>
              <w:spacing w:after="0"/>
              <w:rPr>
                <w:sz w:val="20"/>
                <w:szCs w:val="20"/>
                <w:color w:val="auto"/>
              </w:rPr>
            </w:pPr>
            <w:r>
              <w:rPr>
                <w:rFonts w:ascii="Arial" w:cs="Arial" w:eastAsia="Arial" w:hAnsi="Arial"/>
                <w:sz w:val="18"/>
                <w:szCs w:val="18"/>
                <w:b w:val="1"/>
                <w:bCs w:val="1"/>
                <w:color w:val="auto"/>
              </w:rPr>
              <w:t>FORM 5500, SCHEDULE G, PART III - NONEXEMPT TRANSACTIONS</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ind w:left="80"/>
              <w:spacing w:after="0"/>
              <w:rPr>
                <w:sz w:val="20"/>
                <w:szCs w:val="20"/>
                <w:color w:val="auto"/>
              </w:rPr>
            </w:pPr>
            <w:r>
              <w:rPr>
                <w:rFonts w:ascii="Arial" w:cs="Arial" w:eastAsia="Arial" w:hAnsi="Arial"/>
                <w:sz w:val="18"/>
                <w:szCs w:val="18"/>
                <w:b w:val="1"/>
                <w:bCs w:val="1"/>
                <w:color w:val="auto"/>
              </w:rPr>
              <w:t>PN: 001</w:t>
            </w:r>
          </w:p>
        </w:tc>
        <w:tc>
          <w:tcPr>
            <w:tcW w:w="0" w:type="dxa"/>
            <w:vAlign w:val="bottom"/>
          </w:tcPr>
          <w:p>
            <w:pPr>
              <w:spacing w:after="0"/>
              <w:rPr>
                <w:sz w:val="1"/>
                <w:szCs w:val="1"/>
                <w:color w:val="auto"/>
              </w:rPr>
            </w:pPr>
          </w:p>
        </w:tc>
      </w:tr>
      <w:tr>
        <w:trPr>
          <w:trHeight w:val="247"/>
        </w:trPr>
        <w:tc>
          <w:tcPr>
            <w:tcW w:w="420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 ENDED DECEMBER 31, 2025</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1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(b) Relationship</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 Description of</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to plan,</w:t>
            </w:r>
          </w:p>
        </w:tc>
        <w:tc>
          <w:tcPr>
            <w:tcW w:w="18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transaction including</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w:t>
            </w:r>
          </w:p>
        </w:tc>
        <w:tc>
          <w:tcPr>
            <w:tcW w:w="9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 Current</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 Identity of</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employer, or</w:t>
            </w:r>
          </w:p>
        </w:tc>
        <w:tc>
          <w:tcPr>
            <w:tcW w:w="1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maturity date, rate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 Purchase</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 Selling</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 Lease</w:t>
            </w:r>
          </w:p>
        </w:tc>
        <w:tc>
          <w:tcPr>
            <w:tcW w:w="1020" w:type="dxa"/>
            <w:vAlign w:val="bottom"/>
            <w:vMerge w:val="continue"/>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(h) Cost of</w:t>
            </w:r>
          </w:p>
        </w:tc>
        <w:tc>
          <w:tcPr>
            <w:tcW w:w="900" w:type="dxa"/>
            <w:vAlign w:val="bottom"/>
            <w:vMerge w:val="continue"/>
          </w:tcPr>
          <w:p>
            <w:pPr>
              <w:spacing w:after="0"/>
              <w:rPr>
                <w:sz w:val="12"/>
                <w:szCs w:val="12"/>
                <w:color w:val="auto"/>
              </w:rPr>
            </w:pPr>
          </w:p>
        </w:tc>
        <w:tc>
          <w:tcPr>
            <w:tcW w:w="1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 Net gain (or loss)</w:t>
            </w: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 party-in-</w:t>
            </w:r>
          </w:p>
        </w:tc>
        <w:tc>
          <w:tcPr>
            <w:tcW w:w="18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interest, collateral, par or</w:t>
            </w:r>
          </w:p>
        </w:tc>
        <w:tc>
          <w:tcPr>
            <w:tcW w:w="10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Transaction</w:t>
            </w:r>
          </w:p>
        </w:tc>
        <w:tc>
          <w:tcPr>
            <w:tcW w:w="96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party involved</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value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rental</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asset</w:t>
            </w: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on each transaction</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ind w:left="40"/>
              <w:spacing w:after="0" w:line="169" w:lineRule="exact"/>
              <w:rPr>
                <w:sz w:val="20"/>
                <w:szCs w:val="20"/>
                <w:color w:val="auto"/>
              </w:rPr>
            </w:pPr>
            <w:r>
              <w:rPr>
                <w:rFonts w:ascii="Arial" w:cs="Arial" w:eastAsia="Arial" w:hAnsi="Arial"/>
                <w:sz w:val="18"/>
                <w:szCs w:val="18"/>
                <w:color w:val="auto"/>
              </w:rPr>
              <w:t>Plan erroneously paid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ind w:left="40"/>
              <w:spacing w:after="0" w:line="176" w:lineRule="exact"/>
              <w:rPr>
                <w:sz w:val="20"/>
                <w:szCs w:val="20"/>
                <w:color w:val="auto"/>
              </w:rPr>
            </w:pPr>
            <w:r>
              <w:rPr>
                <w:rFonts w:ascii="Arial" w:cs="Arial" w:eastAsia="Arial" w:hAnsi="Arial"/>
                <w:sz w:val="18"/>
                <w:szCs w:val="18"/>
                <w:color w:val="auto"/>
              </w:rPr>
              <w:t>sponsor expenses</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ind w:left="40"/>
              <w:spacing w:after="0" w:line="183" w:lineRule="exact"/>
              <w:rPr>
                <w:sz w:val="20"/>
                <w:szCs w:val="20"/>
                <w:color w:val="auto"/>
              </w:rPr>
            </w:pPr>
            <w:r>
              <w:rPr>
                <w:rFonts w:ascii="Arial" w:cs="Arial" w:eastAsia="Arial" w:hAnsi="Arial"/>
                <w:sz w:val="18"/>
                <w:szCs w:val="18"/>
                <w:color w:val="auto"/>
              </w:rPr>
              <w:t>from plan assets on</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tcPr>
          <w:p>
            <w:pPr>
              <w:ind w:left="40"/>
              <w:spacing w:after="0" w:line="181" w:lineRule="exact"/>
              <w:rPr>
                <w:sz w:val="20"/>
                <w:szCs w:val="20"/>
                <w:color w:val="auto"/>
              </w:rPr>
            </w:pPr>
            <w:r>
              <w:rPr>
                <w:rFonts w:ascii="Arial" w:cs="Arial" w:eastAsia="Arial" w:hAnsi="Arial"/>
                <w:sz w:val="18"/>
                <w:szCs w:val="18"/>
                <w:color w:val="auto"/>
              </w:rPr>
              <w:t>behalf of another</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Xylem Inc.</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Plan Sponsor</w:t>
            </w:r>
          </w:p>
        </w:tc>
        <w:tc>
          <w:tcPr>
            <w:tcW w:w="1820" w:type="dxa"/>
            <w:vAlign w:val="bottom"/>
          </w:tcPr>
          <w:p>
            <w:pPr>
              <w:ind w:left="40"/>
              <w:spacing w:after="0" w:line="176" w:lineRule="exact"/>
              <w:rPr>
                <w:sz w:val="20"/>
                <w:szCs w:val="20"/>
                <w:color w:val="auto"/>
              </w:rPr>
            </w:pPr>
            <w:r>
              <w:rPr>
                <w:rFonts w:ascii="Arial" w:cs="Arial" w:eastAsia="Arial" w:hAnsi="Arial"/>
                <w:sz w:val="18"/>
                <w:szCs w:val="18"/>
                <w:color w:val="auto"/>
              </w:rPr>
              <w:t>Union DC Plan within</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8"/>
              </w:rPr>
              <w:t>$13,810</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8"/>
              </w:rPr>
              <w:t>$12,904</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8"/>
              </w:rPr>
              <w:t>$13,810</w:t>
            </w:r>
          </w:p>
        </w:tc>
        <w:tc>
          <w:tcPr>
            <w:tcW w:w="1500" w:type="dxa"/>
            <w:vAlign w:val="bottom"/>
            <w:vMerge w:val="restart"/>
          </w:tcPr>
          <w:p>
            <w:pPr>
              <w:ind w:left="58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820" w:type="dxa"/>
            <w:vAlign w:val="bottom"/>
          </w:tcPr>
          <w:p>
            <w:pPr>
              <w:ind w:left="40"/>
              <w:spacing w:after="0" w:line="201" w:lineRule="exact"/>
              <w:rPr>
                <w:sz w:val="20"/>
                <w:szCs w:val="20"/>
                <w:color w:val="auto"/>
              </w:rPr>
            </w:pPr>
            <w:r>
              <w:rPr>
                <w:rFonts w:ascii="Arial" w:cs="Arial" w:eastAsia="Arial" w:hAnsi="Arial"/>
                <w:sz w:val="18"/>
                <w:szCs w:val="18"/>
                <w:color w:val="auto"/>
              </w:rPr>
              <w:t>the sponsor's control</w:t>
            </w:r>
          </w:p>
        </w:tc>
        <w:tc>
          <w:tcPr>
            <w:tcW w:w="100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420"/>
        <w:spacing w:after="0" w:line="203" w:lineRule="auto"/>
        <w:rPr>
          <w:sz w:val="20"/>
          <w:szCs w:val="20"/>
          <w:color w:val="auto"/>
        </w:rPr>
      </w:pPr>
      <w:r>
        <w:rPr>
          <w:rFonts w:ascii="Arial" w:cs="Arial" w:eastAsia="Arial" w:hAnsi="Arial"/>
          <w:sz w:val="18"/>
          <w:szCs w:val="18"/>
          <w:color w:val="auto"/>
        </w:rPr>
        <w:t>group. This error and</w:t>
      </w:r>
    </w:p>
    <w:p>
      <w:pPr>
        <w:ind w:left="2420"/>
        <w:spacing w:after="0" w:line="203" w:lineRule="auto"/>
        <w:rPr>
          <w:sz w:val="20"/>
          <w:szCs w:val="20"/>
          <w:color w:val="auto"/>
        </w:rPr>
      </w:pPr>
      <w:r>
        <w:rPr>
          <w:rFonts w:ascii="Arial" w:cs="Arial" w:eastAsia="Arial" w:hAnsi="Arial"/>
          <w:sz w:val="18"/>
          <w:szCs w:val="18"/>
          <w:color w:val="auto"/>
        </w:rPr>
        <w:t>any earnings thereon</w:t>
      </w:r>
    </w:p>
    <w:p>
      <w:pPr>
        <w:ind w:left="2420"/>
        <w:spacing w:after="0" w:line="220" w:lineRule="auto"/>
        <w:rPr>
          <w:sz w:val="20"/>
          <w:szCs w:val="20"/>
          <w:color w:val="auto"/>
        </w:rPr>
      </w:pPr>
      <w:r>
        <w:rPr>
          <w:rFonts w:ascii="Arial" w:cs="Arial" w:eastAsia="Arial" w:hAnsi="Arial"/>
          <w:sz w:val="18"/>
          <w:szCs w:val="18"/>
          <w:color w:val="auto"/>
        </w:rPr>
        <w:t>were corrected in</w:t>
      </w:r>
    </w:p>
    <w:p>
      <w:pPr>
        <w:ind w:left="24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XYLEM RETIREMENT SAVINGS PLAN</w:t>
            </w:r>
          </w:p>
        </w:tc>
        <w:tc>
          <w:tcPr>
            <w:tcW w:w="4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EIN#: 45-2080495</w:t>
            </w:r>
          </w:p>
        </w:tc>
        <w:tc>
          <w:tcPr>
            <w:tcW w:w="0" w:type="dxa"/>
            <w:vAlign w:val="bottom"/>
          </w:tcPr>
          <w:p>
            <w:pPr>
              <w:spacing w:after="0"/>
              <w:rPr>
                <w:sz w:val="1"/>
                <w:szCs w:val="1"/>
                <w:color w:val="auto"/>
              </w:rPr>
            </w:pPr>
          </w:p>
        </w:tc>
      </w:tr>
      <w:tr>
        <w:trPr>
          <w:trHeight w:val="229"/>
        </w:trPr>
        <w:tc>
          <w:tcPr>
            <w:tcW w:w="8360" w:type="dxa"/>
            <w:vAlign w:val="bottom"/>
            <w:gridSpan w:val="3"/>
          </w:tcPr>
          <w:p>
            <w:pPr>
              <w:ind w:left="20"/>
              <w:spacing w:after="0"/>
              <w:rPr>
                <w:sz w:val="20"/>
                <w:szCs w:val="20"/>
                <w:color w:val="auto"/>
              </w:rPr>
            </w:pPr>
            <w:r>
              <w:rPr>
                <w:rFonts w:ascii="Arial" w:cs="Arial" w:eastAsia="Arial" w:hAnsi="Arial"/>
                <w:sz w:val="18"/>
                <w:szCs w:val="18"/>
                <w:b w:val="1"/>
                <w:bCs w:val="1"/>
                <w:color w:val="auto"/>
              </w:rPr>
              <w:t>FORM 5500, SCHEDULE H, LINE 4i - SCHEDULE OF ASSETS</w:t>
            </w:r>
          </w:p>
        </w:tc>
        <w:tc>
          <w:tcPr>
            <w:tcW w:w="90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PN: 001</w:t>
            </w:r>
          </w:p>
        </w:tc>
        <w:tc>
          <w:tcPr>
            <w:tcW w:w="0" w:type="dxa"/>
            <w:vAlign w:val="bottom"/>
          </w:tcPr>
          <w:p>
            <w:pPr>
              <w:spacing w:after="0"/>
              <w:rPr>
                <w:sz w:val="1"/>
                <w:szCs w:val="1"/>
                <w:color w:val="auto"/>
              </w:rPr>
            </w:pPr>
          </w:p>
        </w:tc>
      </w:tr>
      <w:tr>
        <w:trPr>
          <w:trHeight w:val="247"/>
        </w:trPr>
        <w:tc>
          <w:tcPr>
            <w:tcW w:w="8360" w:type="dxa"/>
            <w:vAlign w:val="bottom"/>
            <w:gridSpan w:val="3"/>
          </w:tcPr>
          <w:p>
            <w:pPr>
              <w:ind w:left="20"/>
              <w:spacing w:after="0"/>
              <w:rPr>
                <w:sz w:val="20"/>
                <w:szCs w:val="20"/>
                <w:color w:val="auto"/>
              </w:rPr>
            </w:pPr>
            <w:r>
              <w:rPr>
                <w:rFonts w:ascii="Arial" w:cs="Arial" w:eastAsia="Arial" w:hAnsi="Arial"/>
                <w:sz w:val="18"/>
                <w:szCs w:val="18"/>
                <w:b w:val="1"/>
                <w:bCs w:val="1"/>
                <w:color w:val="auto"/>
              </w:rPr>
              <w:t>(HELD AT END OF YEAR) AS OF DECEMBER 31, 2025</w:t>
            </w: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60" w:type="dxa"/>
            <w:vAlign w:val="bottom"/>
          </w:tcPr>
          <w:p>
            <w:pPr>
              <w:jc w:val="center"/>
              <w:ind w:left="59"/>
              <w:spacing w:after="0"/>
              <w:rPr>
                <w:sz w:val="20"/>
                <w:szCs w:val="20"/>
                <w:color w:val="auto"/>
              </w:rPr>
            </w:pPr>
            <w:r>
              <w:rPr>
                <w:rFonts w:ascii="Arial" w:cs="Arial" w:eastAsia="Arial" w:hAnsi="Arial"/>
                <w:sz w:val="14"/>
                <w:szCs w:val="14"/>
                <w:b w:val="1"/>
                <w:bCs w:val="1"/>
                <w:color w:val="auto"/>
              </w:rPr>
              <w:t>(c) Description of Investment,</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560" w:type="dxa"/>
            <w:vAlign w:val="bottom"/>
          </w:tcPr>
          <w:p>
            <w:pPr>
              <w:jc w:val="center"/>
              <w:ind w:left="59"/>
              <w:spacing w:after="0" w:line="139" w:lineRule="exact"/>
              <w:rPr>
                <w:sz w:val="20"/>
                <w:szCs w:val="20"/>
                <w:color w:val="auto"/>
              </w:rPr>
            </w:pPr>
            <w:r>
              <w:rPr>
                <w:rFonts w:ascii="Arial" w:cs="Arial" w:eastAsia="Arial" w:hAnsi="Arial"/>
                <w:sz w:val="14"/>
                <w:szCs w:val="14"/>
                <w:b w:val="1"/>
                <w:bCs w:val="1"/>
                <w:color w:val="auto"/>
              </w:rPr>
              <w:t>including Maturity Date, Rate</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 Party in</w:t>
            </w:r>
          </w:p>
        </w:tc>
        <w:tc>
          <w:tcPr>
            <w:tcW w:w="2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(b) Identity of Issuer, Borrower, Lesser or</w:t>
            </w:r>
          </w:p>
        </w:tc>
        <w:tc>
          <w:tcPr>
            <w:tcW w:w="4560" w:type="dxa"/>
            <w:vAlign w:val="bottom"/>
          </w:tcPr>
          <w:p>
            <w:pPr>
              <w:jc w:val="center"/>
              <w:ind w:left="59"/>
              <w:spacing w:after="0" w:line="158" w:lineRule="exact"/>
              <w:rPr>
                <w:sz w:val="20"/>
                <w:szCs w:val="20"/>
                <w:color w:val="auto"/>
              </w:rPr>
            </w:pPr>
            <w:r>
              <w:rPr>
                <w:rFonts w:ascii="Arial" w:cs="Arial" w:eastAsia="Arial" w:hAnsi="Arial"/>
                <w:sz w:val="14"/>
                <w:szCs w:val="14"/>
                <w:b w:val="1"/>
                <w:bCs w:val="1"/>
                <w:color w:val="auto"/>
              </w:rPr>
              <w:t>of Interest, Collateral, and Par or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 Cost</w:t>
            </w:r>
          </w:p>
        </w:tc>
        <w:tc>
          <w:tcPr>
            <w:tcW w:w="280" w:type="dxa"/>
            <w:vAlign w:val="bottom"/>
          </w:tcPr>
          <w:p>
            <w:pPr>
              <w:spacing w:after="0"/>
              <w:rPr>
                <w:sz w:val="13"/>
                <w:szCs w:val="13"/>
                <w:color w:val="auto"/>
              </w:rPr>
            </w:pPr>
          </w:p>
        </w:tc>
        <w:tc>
          <w:tcPr>
            <w:tcW w:w="17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(e) Current Value</w:t>
            </w: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interest</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Similar Party</w:t>
            </w:r>
          </w:p>
        </w:tc>
        <w:tc>
          <w:tcPr>
            <w:tcW w:w="456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Maturity Value</w:t>
            </w: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Notes receivable from Members at interest rates from</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560" w:type="dxa"/>
            <w:vAlign w:val="bottom"/>
          </w:tcPr>
          <w:p>
            <w:pPr>
              <w:ind w:left="80"/>
              <w:spacing w:after="0" w:line="176" w:lineRule="exact"/>
              <w:rPr>
                <w:sz w:val="20"/>
                <w:szCs w:val="20"/>
                <w:color w:val="auto"/>
              </w:rPr>
            </w:pPr>
            <w:r>
              <w:rPr>
                <w:rFonts w:ascii="Arial" w:cs="Arial" w:eastAsia="Arial" w:hAnsi="Arial"/>
                <w:sz w:val="18"/>
                <w:szCs w:val="18"/>
                <w:color w:val="auto"/>
              </w:rPr>
              <w:t>3.25% to 9.50% maturing at various dates through</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2940" w:type="dxa"/>
            <w:vAlign w:val="bottom"/>
            <w:vMerge w:val="restart"/>
          </w:tcPr>
          <w:p>
            <w:pPr>
              <w:jc w:val="center"/>
              <w:spacing w:after="0"/>
              <w:rPr>
                <w:sz w:val="20"/>
                <w:szCs w:val="20"/>
                <w:color w:val="auto"/>
              </w:rPr>
            </w:pPr>
            <w:r>
              <w:rPr>
                <w:rFonts w:ascii="Arial" w:cs="Arial" w:eastAsia="Arial" w:hAnsi="Arial"/>
                <w:sz w:val="18"/>
                <w:szCs w:val="18"/>
                <w:color w:val="auto"/>
              </w:rPr>
              <w:t>Member Loans</w:t>
            </w:r>
          </w:p>
        </w:tc>
        <w:tc>
          <w:tcPr>
            <w:tcW w:w="4560" w:type="dxa"/>
            <w:vAlign w:val="bottom"/>
          </w:tcPr>
          <w:p>
            <w:pPr>
              <w:ind w:left="80"/>
              <w:spacing w:after="0" w:line="183" w:lineRule="exact"/>
              <w:rPr>
                <w:sz w:val="20"/>
                <w:szCs w:val="20"/>
                <w:color w:val="auto"/>
              </w:rPr>
            </w:pPr>
            <w:r>
              <w:rPr>
                <w:rFonts w:ascii="Arial" w:cs="Arial" w:eastAsia="Arial" w:hAnsi="Arial"/>
                <w:sz w:val="18"/>
                <w:szCs w:val="18"/>
                <w:color w:val="auto"/>
              </w:rPr>
              <w:t>September 2044, net of deemed distributions of</w:t>
            </w:r>
          </w:p>
        </w:tc>
        <w:tc>
          <w:tcPr>
            <w:tcW w:w="900" w:type="dxa"/>
            <w:vAlign w:val="bottom"/>
            <w:vMerge w:val="restart"/>
          </w:tcPr>
          <w:p>
            <w:pPr>
              <w:jc w:val="right"/>
              <w:ind w:right="259"/>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18,516,818</w:t>
            </w:r>
          </w:p>
        </w:tc>
        <w:tc>
          <w:tcPr>
            <w:tcW w:w="0" w:type="dxa"/>
            <w:vAlign w:val="bottom"/>
          </w:tcPr>
          <w:p>
            <w:pPr>
              <w:spacing w:after="0"/>
              <w:rPr>
                <w:sz w:val="1"/>
                <w:szCs w:val="1"/>
                <w:color w:val="auto"/>
              </w:rPr>
            </w:pPr>
          </w:p>
        </w:tc>
      </w:tr>
      <w:tr>
        <w:trPr>
          <w:trHeight w:val="213"/>
        </w:trPr>
        <w:tc>
          <w:tcPr>
            <w:tcW w:w="860" w:type="dxa"/>
            <w:vAlign w:val="bottom"/>
            <w:vMerge w:val="continue"/>
          </w:tcPr>
          <w:p>
            <w:pPr>
              <w:spacing w:after="0"/>
              <w:rPr>
                <w:sz w:val="18"/>
                <w:szCs w:val="18"/>
                <w:color w:val="auto"/>
              </w:rPr>
            </w:pPr>
          </w:p>
        </w:tc>
        <w:tc>
          <w:tcPr>
            <w:tcW w:w="2940" w:type="dxa"/>
            <w:vAlign w:val="bottom"/>
            <w:vMerge w:val="continue"/>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$319,232</w:t>
            </w:r>
          </w:p>
        </w:tc>
        <w:tc>
          <w:tcPr>
            <w:tcW w:w="90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party-in-interest to the Plan.</w:t>
      </w:r>
    </w:p>
    <w:p>
      <w:pPr>
        <w:spacing w:after="0" w:line="21"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 information is not required for Member directed investments and, therefore, is not included.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5" w:name="page16"/>
    <w:bookmarkEnd w:id="15"/>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Pension Fund Trust and Investment Committee has duly caused this annual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XYLEM RETIREMENT SAVINGS PLAN</w:t>
      </w:r>
    </w:p>
    <w:p>
      <w:pPr>
        <w:spacing w:after="0" w:line="293" w:lineRule="exact"/>
        <w:rPr>
          <w:sz w:val="20"/>
          <w:szCs w:val="20"/>
          <w:color w:val="auto"/>
        </w:rPr>
      </w:pPr>
    </w:p>
    <w:p>
      <w:pPr>
        <w:ind w:left="20"/>
        <w:spacing w:after="0"/>
        <w:tabs>
          <w:tab w:leader="none" w:pos="5300" w:val="left"/>
          <w:tab w:leader="none" w:pos="6140" w:val="left"/>
        </w:tabs>
        <w:rPr>
          <w:sz w:val="20"/>
          <w:szCs w:val="20"/>
          <w:color w:val="auto"/>
        </w:rPr>
      </w:pPr>
      <w:r>
        <w:rPr>
          <w:rFonts w:ascii="Arial" w:cs="Arial" w:eastAsia="Arial" w:hAnsi="Arial"/>
          <w:sz w:val="18"/>
          <w:szCs w:val="18"/>
          <w:color w:val="auto"/>
        </w:rPr>
        <w:t>Date: June 23,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M.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34925</wp:posOffset>
            </wp:positionV>
            <wp:extent cx="3231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Christopher M. Logan</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Global Retirement Benefits</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 Pension Fund Trust and Investment Committee (Plan</w:t>
      </w:r>
    </w:p>
    <w:p>
      <w:pPr>
        <w:ind w:left="6160"/>
        <w:spacing w:after="0"/>
        <w:rPr>
          <w:sz w:val="20"/>
          <w:szCs w:val="20"/>
          <w:color w:val="auto"/>
        </w:rPr>
      </w:pPr>
      <w:r>
        <w:rPr>
          <w:rFonts w:ascii="Arial" w:cs="Arial" w:eastAsia="Arial" w:hAnsi="Arial"/>
          <w:sz w:val="18"/>
          <w:szCs w:val="18"/>
          <w:color w:val="auto"/>
        </w:rPr>
        <w:t>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320" w:top="890" w:right="57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We consent to the incorporation by reference in Registration Statement No. 333-177607 on Form S-8 of Xylem Inc. of our report dated June 23, 2026, appearing in this Annual Report on Form 11-K of Xylem Retirement Savings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2026</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upperLetter"/>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2026-06-23T16:57:06Z</dcterms:created>
  <dcterms:modified xsi:type="dcterms:W3CDTF">2026-06-23T16:57:06Z</dcterms:modified>
</cp:coreProperties>
</file>