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560705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517525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2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45" w:lineRule="exact"/>
        <w:rPr>
          <w:sz w:val="24"/>
          <w:szCs w:val="24"/>
          <w:color w:val="auto"/>
        </w:rPr>
      </w:pPr>
    </w:p>
    <w:p>
      <w:pPr>
        <w:ind w:left="3700" w:right="800" w:hanging="3674"/>
        <w:spacing w:after="0" w:line="461" w:lineRule="auto"/>
        <w:tabs>
          <w:tab w:leader="none" w:pos="12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1220" w:hanging="1194"/>
        <w:spacing w:after="0"/>
        <w:tabs>
          <w:tab w:leader="none" w:pos="12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1029" w:right="339" w:bottom="1440" w:gutter="0" w:footer="0" w:header="0"/>
        </w:sectPr>
      </w:pPr>
    </w:p>
    <w:p>
      <w:pPr>
        <w:spacing w:after="0" w:line="196" w:lineRule="exact"/>
        <w:rPr>
          <w:sz w:val="24"/>
          <w:szCs w:val="24"/>
          <w:color w:val="auto"/>
        </w:rPr>
      </w:pPr>
    </w:p>
    <w:p>
      <w:pPr>
        <w:ind w:left="36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85"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1-35229</w:t>
      </w:r>
    </w:p>
    <w:p>
      <w:pPr>
        <w:sectPr>
          <w:pgSz w:w="11900" w:h="16838" w:orient="portrait"/>
          <w:cols w:equalWidth="0" w:num="1">
            <w:col w:w="11240"/>
          </w:cols>
          <w:pgMar w:left="320" w:top="1029" w:right="339" w:bottom="1440" w:gutter="0" w:footer="0" w:header="0"/>
          <w:type w:val="continuous"/>
        </w:sectPr>
      </w:pP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Xylem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ectPr>
          <w:pgSz w:w="11900" w:h="16838" w:orient="portrait"/>
          <w:cols w:equalWidth="0" w:num="1">
            <w:col w:w="11240"/>
          </w:cols>
          <w:pgMar w:left="320" w:top="1029" w:right="339" w:bottom="1440" w:gutter="0" w:footer="0" w:header="0"/>
          <w:type w:val="continuous"/>
        </w:sectPr>
      </w:pPr>
    </w:p>
    <w:p>
      <w:pPr>
        <w:spacing w:after="0" w:line="246"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Indiana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45-2080495</w:t>
      </w:r>
    </w:p>
    <w:p>
      <w:pPr>
        <w:spacing w:after="0" w:line="32" w:lineRule="exact"/>
        <w:rPr>
          <w:sz w:val="24"/>
          <w:szCs w:val="24"/>
          <w:color w:val="auto"/>
        </w:rPr>
      </w:pPr>
    </w:p>
    <w:p>
      <w:pPr>
        <w:sectPr>
          <w:pgSz w:w="11900" w:h="16838" w:orient="portrait"/>
          <w:cols w:equalWidth="0" w:num="2">
            <w:col w:w="7360" w:space="720"/>
            <w:col w:w="3160"/>
          </w:cols>
          <w:pgMar w:left="320" w:top="1029" w:right="339" w:bottom="1440" w:gutter="0" w:footer="0" w:header="0"/>
          <w:type w:val="continuous"/>
        </w:sectPr>
      </w:pPr>
    </w:p>
    <w:p>
      <w:pPr>
        <w:jc w:val="center"/>
        <w:ind w:right="1380"/>
        <w:spacing w:after="0"/>
        <w:rPr>
          <w:sz w:val="20"/>
          <w:szCs w:val="20"/>
          <w:color w:val="auto"/>
        </w:rPr>
      </w:pPr>
      <w:r>
        <w:rPr>
          <w:rFonts w:ascii="Arial" w:cs="Arial" w:eastAsia="Arial" w:hAnsi="Arial"/>
          <w:sz w:val="14"/>
          <w:szCs w:val="14"/>
          <w:i w:val="1"/>
          <w:iCs w:val="1"/>
          <w:color w:val="auto"/>
        </w:rPr>
        <w:t>(State or other jurisdiction of incorporation or</w:t>
      </w:r>
    </w:p>
    <w:p>
      <w:pPr>
        <w:jc w:val="center"/>
        <w:ind w:right="1380"/>
        <w:spacing w:after="0"/>
        <w:rPr>
          <w:sz w:val="20"/>
          <w:szCs w:val="20"/>
          <w:color w:val="auto"/>
        </w:rPr>
      </w:pPr>
      <w:r>
        <w:rPr>
          <w:rFonts w:ascii="Arial" w:cs="Arial" w:eastAsia="Arial" w:hAnsi="Arial"/>
          <w:sz w:val="14"/>
          <w:szCs w:val="14"/>
          <w:i w:val="1"/>
          <w:iCs w:val="1"/>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(I.R.S. Employer Identification No.)</w:t>
      </w:r>
    </w:p>
    <w:p>
      <w:pPr>
        <w:spacing w:after="0" w:line="341" w:lineRule="exact"/>
        <w:rPr>
          <w:sz w:val="24"/>
          <w:szCs w:val="24"/>
          <w:color w:val="auto"/>
        </w:rPr>
      </w:pPr>
    </w:p>
    <w:p>
      <w:pPr>
        <w:sectPr>
          <w:pgSz w:w="11900" w:h="16838" w:orient="portrait"/>
          <w:cols w:equalWidth="0" w:num="2">
            <w:col w:w="6740" w:space="720"/>
            <w:col w:w="3780"/>
          </w:cols>
          <w:pgMar w:left="320" w:top="1029" w:right="339" w:bottom="1440" w:gutter="0" w:footer="0" w:header="0"/>
          <w:type w:val="continuous"/>
        </w:sectPr>
      </w:pP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Water Street SE, Washington, DC 20003</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(Address of principal executive offices) (Zip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(202) 869-9150</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740" w:type="dxa"/>
            <w:vAlign w:val="bottom"/>
          </w:tcPr>
          <w:p>
            <w:pPr>
              <w:spacing w:after="0"/>
              <w:rPr>
                <w:sz w:val="20"/>
                <w:szCs w:val="20"/>
                <w:color w:val="auto"/>
              </w:rPr>
            </w:pPr>
          </w:p>
        </w:tc>
      </w:tr>
      <w:tr>
        <w:trPr>
          <w:trHeight w:val="212"/>
        </w:trPr>
        <w:tc>
          <w:tcPr>
            <w:tcW w:w="1320" w:type="dxa"/>
            <w:vAlign w:val="bottom"/>
          </w:tcPr>
          <w:p>
            <w:pPr>
              <w:spacing w:after="0"/>
              <w:rPr>
                <w:sz w:val="18"/>
                <w:szCs w:val="18"/>
                <w:color w:val="auto"/>
              </w:rPr>
            </w:pPr>
          </w:p>
        </w:tc>
        <w:tc>
          <w:tcPr>
            <w:tcW w:w="3360" w:type="dxa"/>
            <w:vAlign w:val="bottom"/>
            <w:gridSpan w:val="2"/>
          </w:tcPr>
          <w:p>
            <w:pPr>
              <w:jc w:val="center"/>
              <w:ind w:right="1820"/>
              <w:spacing w:after="0"/>
              <w:rPr>
                <w:sz w:val="20"/>
                <w:szCs w:val="20"/>
                <w:color w:val="auto"/>
              </w:rPr>
            </w:pPr>
            <w:r>
              <w:rPr>
                <w:rFonts w:ascii="Arial" w:cs="Arial" w:eastAsia="Arial" w:hAnsi="Arial"/>
                <w:sz w:val="18"/>
                <w:szCs w:val="18"/>
                <w:b w:val="1"/>
                <w:bCs w:val="1"/>
                <w:color w:val="auto"/>
                <w:w w:val="99"/>
              </w:rPr>
              <w:t>Title of each class</w:t>
            </w:r>
          </w:p>
        </w:tc>
        <w:tc>
          <w:tcPr>
            <w:tcW w:w="250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8"/>
              </w:rPr>
              <w:t>Trading Symbol(s)</w:t>
            </w:r>
          </w:p>
        </w:tc>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of which registered</w:t>
            </w:r>
          </w:p>
        </w:tc>
      </w:tr>
      <w:tr>
        <w:trPr>
          <w:trHeight w:val="20"/>
        </w:trPr>
        <w:tc>
          <w:tcPr>
            <w:tcW w:w="13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r>
      <w:tr>
        <w:trPr>
          <w:trHeight w:val="254"/>
        </w:trPr>
        <w:tc>
          <w:tcPr>
            <w:tcW w:w="4680" w:type="dxa"/>
            <w:vAlign w:val="bottom"/>
            <w:gridSpan w:val="3"/>
          </w:tcPr>
          <w:p>
            <w:pPr>
              <w:jc w:val="center"/>
              <w:ind w:right="500"/>
              <w:spacing w:after="0"/>
              <w:rPr>
                <w:sz w:val="20"/>
                <w:szCs w:val="20"/>
                <w:color w:val="auto"/>
              </w:rPr>
            </w:pPr>
            <w:r>
              <w:rPr>
                <w:rFonts w:ascii="Arial" w:cs="Arial" w:eastAsia="Arial" w:hAnsi="Arial"/>
                <w:sz w:val="18"/>
                <w:szCs w:val="18"/>
                <w:color w:val="auto"/>
                <w:w w:val="99"/>
              </w:rPr>
              <w:t>Common Stock, par value $0.01 per share</w:t>
            </w:r>
          </w:p>
        </w:tc>
        <w:tc>
          <w:tcPr>
            <w:tcW w:w="100" w:type="dxa"/>
            <w:vAlign w:val="bottom"/>
          </w:tcPr>
          <w:p>
            <w:pPr>
              <w:spacing w:after="0"/>
              <w:rPr>
                <w:sz w:val="22"/>
                <w:szCs w:val="22"/>
                <w:color w:val="auto"/>
              </w:rPr>
            </w:pPr>
          </w:p>
        </w:tc>
        <w:tc>
          <w:tcPr>
            <w:tcW w:w="2400" w:type="dxa"/>
            <w:vAlign w:val="bottom"/>
            <w:gridSpan w:val="2"/>
          </w:tcPr>
          <w:p>
            <w:pPr>
              <w:jc w:val="center"/>
              <w:ind w:right="860"/>
              <w:spacing w:after="0"/>
              <w:rPr>
                <w:sz w:val="20"/>
                <w:szCs w:val="20"/>
                <w:color w:val="auto"/>
              </w:rPr>
            </w:pPr>
            <w:r>
              <w:rPr>
                <w:rFonts w:ascii="Arial" w:cs="Arial" w:eastAsia="Arial" w:hAnsi="Arial"/>
                <w:sz w:val="18"/>
                <w:szCs w:val="18"/>
                <w:color w:val="auto"/>
                <w:w w:val="99"/>
              </w:rPr>
              <w:t>XYL</w:t>
            </w:r>
          </w:p>
        </w:tc>
        <w:tc>
          <w:tcPr>
            <w:tcW w:w="374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234" w:lineRule="exact"/>
        <w:rPr>
          <w:sz w:val="24"/>
          <w:szCs w:val="24"/>
          <w:color w:val="auto"/>
        </w:rPr>
      </w:pPr>
    </w:p>
    <w:p>
      <w:pPr>
        <w:ind w:right="60"/>
        <w:spacing w:after="0" w:line="23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60"/>
        <w:spacing w:after="0" w:line="232"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224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47"/>
        </w:trPr>
        <w:tc>
          <w:tcPr>
            <w:tcW w:w="224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08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80" w:type="dxa"/>
            <w:vAlign w:val="bottom"/>
          </w:tcPr>
          <w:p>
            <w:pPr>
              <w:ind w:left="24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r>
      <w:tr>
        <w:trPr>
          <w:trHeight w:val="913"/>
        </w:trPr>
        <w:tc>
          <w:tcPr>
            <w:tcW w:w="224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line="239"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76" w:lineRule="exact"/>
        <w:rPr>
          <w:sz w:val="20"/>
          <w:szCs w:val="20"/>
          <w:color w:val="auto"/>
        </w:rPr>
      </w:pPr>
    </w:p>
    <w:p>
      <w:pPr>
        <w:ind w:right="540"/>
        <w:spacing w:after="0" w:line="29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26, 2024, there were 242,892,884 outstanding shares of the registrant’s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688340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41275</wp:posOffset>
            </wp:positionV>
            <wp:extent cx="71151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wp:posOffset>
            </wp:positionV>
            <wp:extent cx="7115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40"/>
          </w:cols>
          <w:pgMar w:left="320" w:top="607"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60" w:type="dxa"/>
            <w:vAlign w:val="bottom"/>
            <w:gridSpan w:val="9"/>
          </w:tcPr>
          <w:p>
            <w:pPr>
              <w:jc w:val="center"/>
              <w:ind w:right="3340"/>
              <w:spacing w:after="0"/>
              <w:rPr>
                <w:sz w:val="20"/>
                <w:szCs w:val="20"/>
                <w:color w:val="auto"/>
              </w:rPr>
            </w:pPr>
            <w:r>
              <w:rPr>
                <w:rFonts w:ascii="Arial" w:cs="Arial" w:eastAsia="Arial" w:hAnsi="Arial"/>
                <w:sz w:val="18"/>
                <w:szCs w:val="18"/>
                <w:b w:val="1"/>
                <w:bCs w:val="1"/>
                <w:color w:val="auto"/>
                <w:w w:val="98"/>
              </w:rPr>
              <w:t>Xylem Inc.</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gridSpan w:val="9"/>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ITEM</w:t>
            </w:r>
          </w:p>
        </w:tc>
        <w:tc>
          <w:tcPr>
            <w:tcW w:w="7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00" w:type="dxa"/>
            <w:vAlign w:val="bottom"/>
            <w:gridSpan w:val="14"/>
          </w:tcPr>
          <w:p>
            <w:pPr>
              <w:jc w:val="center"/>
              <w:ind w:right="3700"/>
              <w:spacing w:after="0"/>
              <w:rPr>
                <w:sz w:val="20"/>
                <w:szCs w:val="20"/>
                <w:color w:val="auto"/>
              </w:rPr>
            </w:pPr>
            <w:r>
              <w:rPr>
                <w:rFonts w:ascii="Arial" w:cs="Arial" w:eastAsia="Arial" w:hAnsi="Arial"/>
                <w:sz w:val="18"/>
                <w:szCs w:val="18"/>
                <w:b w:val="1"/>
                <w:bCs w:val="1"/>
                <w:color w:val="auto"/>
                <w:w w:val="99"/>
              </w:rPr>
              <w:t>PART I – Financial Information</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740" w:type="dxa"/>
            <w:vAlign w:val="bottom"/>
            <w:tcBorders>
              <w:bottom w:val="single" w:sz="8" w:color="0000FF"/>
            </w:tcBorders>
            <w:gridSpan w:val="7"/>
          </w:tcPr>
          <w:p>
            <w:pPr>
              <w:spacing w:after="0" w:line="195" w:lineRule="exact"/>
              <w:rPr>
                <w:sz w:val="20"/>
                <w:szCs w:val="20"/>
                <w:color w:val="auto"/>
              </w:rPr>
            </w:pPr>
            <w:r>
              <w:rPr>
                <w:rFonts w:ascii="Arial" w:cs="Arial" w:eastAsia="Arial" w:hAnsi="Arial"/>
                <w:sz w:val="18"/>
                <w:szCs w:val="18"/>
                <w:color w:val="0000FF"/>
                <w:w w:val="99"/>
              </w:rPr>
              <w:t>Financial Statements:</w:t>
            </w:r>
          </w:p>
        </w:tc>
        <w:tc>
          <w:tcPr>
            <w:tcW w:w="6060" w:type="dxa"/>
            <w:vAlign w:val="bottom"/>
            <w:gridSpan w:val="13"/>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0"/>
          </w:tcPr>
          <w:p>
            <w:pPr>
              <w:spacing w:after="0"/>
              <w:rPr>
                <w:sz w:val="20"/>
                <w:szCs w:val="20"/>
                <w:color w:val="auto"/>
              </w:rPr>
            </w:pPr>
            <w:r>
              <w:rPr>
                <w:rFonts w:ascii="Arial" w:cs="Arial" w:eastAsia="Arial" w:hAnsi="Arial"/>
                <w:sz w:val="18"/>
                <w:szCs w:val="18"/>
                <w:color w:val="0000FF"/>
              </w:rPr>
              <w:t>Condensed Consolidated Income Statements for the Three Months and Six Months Ended</w:t>
            </w:r>
          </w:p>
        </w:tc>
        <w:tc>
          <w:tcPr>
            <w:tcW w:w="152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20" w:type="dxa"/>
            <w:vAlign w:val="bottom"/>
            <w:tcBorders>
              <w:top w:val="single" w:sz="8" w:color="0000FF"/>
            </w:tcBorders>
            <w:gridSpan w:val="18"/>
          </w:tcPr>
          <w:p>
            <w:pPr>
              <w:spacing w:after="0" w:line="142" w:lineRule="exact"/>
              <w:rPr>
                <w:sz w:val="20"/>
                <w:szCs w:val="20"/>
                <w:color w:val="auto"/>
              </w:rPr>
            </w:pPr>
            <w:r>
              <w:rPr>
                <w:rFonts w:ascii="Arial" w:cs="Arial" w:eastAsia="Arial" w:hAnsi="Arial"/>
                <w:sz w:val="16"/>
                <w:szCs w:val="16"/>
                <w:color w:val="0000FF"/>
              </w:rPr>
              <w:t>June 30, 2024 and 2023 (Unaudited)</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0"/>
          </w:tcPr>
          <w:p>
            <w:pPr>
              <w:spacing w:after="0" w:line="203" w:lineRule="exact"/>
              <w:rPr>
                <w:sz w:val="20"/>
                <w:szCs w:val="20"/>
                <w:color w:val="auto"/>
              </w:rPr>
            </w:pPr>
            <w:r>
              <w:rPr>
                <w:rFonts w:ascii="Arial" w:cs="Arial" w:eastAsia="Arial" w:hAnsi="Arial"/>
                <w:sz w:val="18"/>
                <w:szCs w:val="18"/>
                <w:color w:val="0000FF"/>
              </w:rPr>
              <w:t>Condensed Consolidated Statements of Comprehensive Income for the Three Months and</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6"/>
                <w:szCs w:val="16"/>
                <w:color w:val="0000FF"/>
              </w:rPr>
              <w:t>Six Months Ended June 30, 2024 and 2023 (Unaudited)</w:t>
            </w: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0" w:type="dxa"/>
            <w:vAlign w:val="bottom"/>
            <w:gridSpan w:val="20"/>
            <w:vMerge w:val="restart"/>
          </w:tcPr>
          <w:p>
            <w:pPr>
              <w:spacing w:after="0"/>
              <w:rPr>
                <w:sz w:val="20"/>
                <w:szCs w:val="20"/>
                <w:color w:val="auto"/>
              </w:rPr>
            </w:pPr>
            <w:r>
              <w:rPr>
                <w:rFonts w:ascii="Arial" w:cs="Arial" w:eastAsia="Arial" w:hAnsi="Arial"/>
                <w:sz w:val="18"/>
                <w:szCs w:val="18"/>
                <w:color w:val="0000FF"/>
              </w:rPr>
              <w:t>Condensed Consolidated Balance Sheets as of June 30, 2024 and December 31, 2023</w:t>
            </w: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0"/>
            <w:vMerge w:val="continue"/>
          </w:tcPr>
          <w:p>
            <w:pPr>
              <w:spacing w:after="0"/>
              <w:rPr>
                <w:sz w:val="17"/>
                <w:szCs w:val="17"/>
                <w:color w:val="auto"/>
              </w:rPr>
            </w:pP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96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(Unaudited)</w:t>
            </w:r>
          </w:p>
        </w:tc>
        <w:tc>
          <w:tcPr>
            <w:tcW w:w="12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0" w:type="dxa"/>
            <w:vAlign w:val="bottom"/>
            <w:gridSpan w:val="20"/>
          </w:tcPr>
          <w:p>
            <w:pPr>
              <w:spacing w:after="0" w:line="203" w:lineRule="exact"/>
              <w:rPr>
                <w:sz w:val="20"/>
                <w:szCs w:val="20"/>
                <w:color w:val="auto"/>
              </w:rPr>
            </w:pPr>
            <w:r>
              <w:rPr>
                <w:rFonts w:ascii="Arial" w:cs="Arial" w:eastAsia="Arial" w:hAnsi="Arial"/>
                <w:sz w:val="18"/>
                <w:szCs w:val="18"/>
                <w:color w:val="0000FF"/>
              </w:rPr>
              <w:t>Condensed Consolidated Statements of Cash Flows for the Six Months Ended June 30, 2024</w:t>
            </w:r>
          </w:p>
        </w:tc>
        <w:tc>
          <w:tcPr>
            <w:tcW w:w="1400" w:type="dxa"/>
            <w:vAlign w:val="bottom"/>
            <w:gridSpan w:val="2"/>
            <w:vMerge w:val="restart"/>
          </w:tcPr>
          <w:p>
            <w:pPr>
              <w:spacing w:after="0"/>
              <w:rPr>
                <w:sz w:val="17"/>
                <w:szCs w:val="17"/>
                <w:color w:val="auto"/>
              </w:rPr>
            </w:pP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760" w:type="dxa"/>
            <w:vAlign w:val="bottom"/>
            <w:tcBorders>
              <w:top w:val="single" w:sz="8" w:color="0000FF"/>
            </w:tcBorders>
            <w:gridSpan w:val="8"/>
          </w:tcPr>
          <w:p>
            <w:pPr>
              <w:spacing w:after="0" w:line="142" w:lineRule="exact"/>
              <w:rPr>
                <w:sz w:val="20"/>
                <w:szCs w:val="20"/>
                <w:color w:val="auto"/>
              </w:rPr>
            </w:pPr>
            <w:r>
              <w:rPr>
                <w:rFonts w:ascii="Arial" w:cs="Arial" w:eastAsia="Arial" w:hAnsi="Arial"/>
                <w:sz w:val="16"/>
                <w:szCs w:val="16"/>
                <w:color w:val="0000FF"/>
              </w:rPr>
              <w:t>and 2023 (Unaudited)</w:t>
            </w:r>
          </w:p>
        </w:tc>
        <w:tc>
          <w:tcPr>
            <w:tcW w:w="18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2160" w:type="dxa"/>
            <w:vAlign w:val="bottom"/>
            <w:tcBorders>
              <w:top w:val="single" w:sz="8" w:color="0000FF"/>
            </w:tcBorders>
            <w:gridSpan w:val="3"/>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gridSpan w:val="2"/>
          </w:tcPr>
          <w:p>
            <w:pPr>
              <w:spacing w:after="0"/>
              <w:rPr>
                <w:sz w:val="13"/>
                <w:szCs w:val="13"/>
                <w:color w:val="auto"/>
              </w:rPr>
            </w:pPr>
          </w:p>
        </w:tc>
        <w:tc>
          <w:tcPr>
            <w:tcW w:w="360" w:type="dxa"/>
            <w:vAlign w:val="bottom"/>
            <w:tcBorders>
              <w:top w:val="single" w:sz="8" w:color="0000FF"/>
            </w:tcBorders>
            <w:gridSpan w:val="2"/>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40" w:type="dxa"/>
            <w:vAlign w:val="bottom"/>
            <w:gridSpan w:val="2"/>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40" w:type="dxa"/>
            <w:vAlign w:val="bottom"/>
            <w:gridSpan w:val="3"/>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216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720" w:type="dxa"/>
            <w:vAlign w:val="bottom"/>
            <w:gridSpan w:val="3"/>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780" w:type="dxa"/>
            <w:vAlign w:val="bottom"/>
            <w:gridSpan w:val="15"/>
          </w:tcPr>
          <w:p>
            <w:pPr>
              <w:spacing w:after="0"/>
              <w:rPr>
                <w:sz w:val="20"/>
                <w:szCs w:val="20"/>
                <w:color w:val="auto"/>
              </w:rPr>
            </w:pPr>
            <w:r>
              <w:rPr>
                <w:rFonts w:ascii="Arial" w:cs="Arial" w:eastAsia="Arial" w:hAnsi="Arial"/>
                <w:sz w:val="18"/>
                <w:szCs w:val="18"/>
                <w:color w:val="0000FF"/>
                <w:w w:val="99"/>
              </w:rPr>
              <w:t>Notes to the Condensed Consolidated Financial Statements (Unaudited)</w:t>
            </w:r>
          </w:p>
        </w:tc>
        <w:tc>
          <w:tcPr>
            <w:tcW w:w="2020" w:type="dxa"/>
            <w:vAlign w:val="bottom"/>
            <w:gridSpan w:val="5"/>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Management’s Discussion and Analysis of Financial Condition and Results of Operations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Quantitative and Qualitative Disclosures About Market Risk</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5"/>
              </w:rPr>
              <w:t>Controls and Procedures</w:t>
            </w:r>
          </w:p>
        </w:tc>
        <w:tc>
          <w:tcPr>
            <w:tcW w:w="2780" w:type="dxa"/>
            <w:vAlign w:val="bottom"/>
            <w:gridSpan w:val="4"/>
          </w:tcPr>
          <w:p>
            <w:pPr>
              <w:spacing w:after="0"/>
              <w:rPr>
                <w:sz w:val="18"/>
                <w:szCs w:val="18"/>
                <w:color w:val="auto"/>
              </w:rPr>
            </w:pPr>
          </w:p>
        </w:tc>
        <w:tc>
          <w:tcPr>
            <w:tcW w:w="3080" w:type="dxa"/>
            <w:vAlign w:val="bottom"/>
            <w:gridSpan w:val="7"/>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300" w:type="dxa"/>
            <w:vAlign w:val="bottom"/>
            <w:gridSpan w:val="14"/>
          </w:tcPr>
          <w:p>
            <w:pPr>
              <w:jc w:val="center"/>
              <w:ind w:right="3680"/>
              <w:spacing w:after="0"/>
              <w:rPr>
                <w:sz w:val="20"/>
                <w:szCs w:val="20"/>
                <w:color w:val="auto"/>
              </w:rPr>
            </w:pPr>
            <w:r>
              <w:rPr>
                <w:rFonts w:ascii="Arial" w:cs="Arial" w:eastAsia="Arial" w:hAnsi="Arial"/>
                <w:sz w:val="18"/>
                <w:szCs w:val="18"/>
                <w:b w:val="1"/>
                <w:bCs w:val="1"/>
                <w:color w:val="auto"/>
                <w:w w:val="99"/>
              </w:rPr>
              <w:t>PART II – Other Information</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5" w:lineRule="exact"/>
              <w:rPr>
                <w:sz w:val="20"/>
                <w:szCs w:val="20"/>
                <w:color w:val="auto"/>
              </w:rPr>
            </w:pPr>
            <w:r>
              <w:rPr>
                <w:rFonts w:ascii="Arial" w:cs="Arial" w:eastAsia="Arial" w:hAnsi="Arial"/>
                <w:sz w:val="18"/>
                <w:szCs w:val="18"/>
                <w:color w:val="auto"/>
              </w:rPr>
              <w:t>Item 1</w:t>
            </w:r>
          </w:p>
        </w:tc>
        <w:tc>
          <w:tcPr>
            <w:tcW w:w="780" w:type="dxa"/>
            <w:vAlign w:val="bottom"/>
          </w:tcPr>
          <w:p>
            <w:pPr>
              <w:ind w:left="520"/>
              <w:spacing w:after="0" w:line="195" w:lineRule="exact"/>
              <w:rPr>
                <w:sz w:val="20"/>
                <w:szCs w:val="20"/>
                <w:color w:val="auto"/>
              </w:rPr>
            </w:pPr>
            <w:r>
              <w:rPr>
                <w:rFonts w:ascii="Arial" w:cs="Arial" w:eastAsia="Arial" w:hAnsi="Arial"/>
                <w:sz w:val="18"/>
                <w:szCs w:val="18"/>
                <w:color w:val="auto"/>
              </w:rPr>
              <w:t>-</w:t>
            </w:r>
          </w:p>
        </w:tc>
        <w:tc>
          <w:tcPr>
            <w:tcW w:w="1500" w:type="dxa"/>
            <w:vAlign w:val="bottom"/>
            <w:gridSpan w:val="6"/>
          </w:tcPr>
          <w:p>
            <w:pPr>
              <w:spacing w:after="0" w:line="195" w:lineRule="exact"/>
              <w:rPr>
                <w:sz w:val="20"/>
                <w:szCs w:val="20"/>
                <w:color w:val="auto"/>
              </w:rPr>
            </w:pPr>
            <w:r>
              <w:rPr>
                <w:rFonts w:ascii="Arial" w:cs="Arial" w:eastAsia="Arial" w:hAnsi="Arial"/>
                <w:sz w:val="18"/>
                <w:szCs w:val="18"/>
                <w:color w:val="0000FF"/>
                <w:w w:val="99"/>
              </w:rPr>
              <w:t>Legal Proceedings</w:t>
            </w:r>
          </w:p>
        </w:tc>
        <w:tc>
          <w:tcPr>
            <w:tcW w:w="6300" w:type="dxa"/>
            <w:vAlign w:val="bottom"/>
            <w:gridSpan w:val="14"/>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gridSpan w:val="3"/>
          </w:tcPr>
          <w:p>
            <w:pPr>
              <w:jc w:val="right"/>
              <w:ind w:right="20"/>
              <w:spacing w:after="0" w:line="195" w:lineRule="exact"/>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1A</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500" w:type="dxa"/>
            <w:vAlign w:val="bottom"/>
            <w:gridSpan w:val="6"/>
          </w:tcPr>
          <w:p>
            <w:pPr>
              <w:spacing w:after="0"/>
              <w:rPr>
                <w:sz w:val="20"/>
                <w:szCs w:val="20"/>
                <w:color w:val="auto"/>
              </w:rPr>
            </w:pPr>
            <w:r>
              <w:rPr>
                <w:rFonts w:ascii="Arial" w:cs="Arial" w:eastAsia="Arial" w:hAnsi="Arial"/>
                <w:sz w:val="18"/>
                <w:szCs w:val="18"/>
                <w:color w:val="0000FF"/>
              </w:rPr>
              <w:t>Risk Factors</w:t>
            </w:r>
          </w:p>
        </w:tc>
        <w:tc>
          <w:tcPr>
            <w:tcW w:w="6300" w:type="dxa"/>
            <w:vAlign w:val="bottom"/>
            <w:gridSpan w:val="14"/>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858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Unregistered Sales of Equity Securities and Use of Proceeds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300" w:type="dxa"/>
            <w:vAlign w:val="bottom"/>
            <w:gridSpan w:val="4"/>
            <w:shd w:val="clear" w:color="auto" w:fill="0000FF"/>
          </w:tcPr>
          <w:p>
            <w:pPr>
              <w:spacing w:after="0" w:line="20" w:lineRule="exact"/>
              <w:rPr>
                <w:sz w:val="1"/>
                <w:szCs w:val="1"/>
                <w:color w:val="auto"/>
              </w:rPr>
            </w:pPr>
          </w:p>
        </w:tc>
        <w:tc>
          <w:tcPr>
            <w:tcW w:w="2940" w:type="dxa"/>
            <w:vAlign w:val="bottom"/>
            <w:gridSpan w:val="6"/>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8580" w:type="dxa"/>
            <w:vAlign w:val="bottom"/>
            <w:gridSpan w:val="21"/>
          </w:tcPr>
          <w:p>
            <w:pPr>
              <w:ind w:left="5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Defaults Upon Senior Securities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w w:val="98"/>
              </w:rPr>
              <w:t>Mine Safety Disclosures</w:t>
            </w:r>
          </w:p>
        </w:tc>
        <w:tc>
          <w:tcPr>
            <w:tcW w:w="620" w:type="dxa"/>
            <w:vAlign w:val="bottom"/>
          </w:tcPr>
          <w:p>
            <w:pPr>
              <w:spacing w:after="0"/>
              <w:rPr>
                <w:sz w:val="18"/>
                <w:szCs w:val="18"/>
                <w:color w:val="auto"/>
              </w:rPr>
            </w:pPr>
          </w:p>
        </w:tc>
        <w:tc>
          <w:tcPr>
            <w:tcW w:w="5240" w:type="dxa"/>
            <w:vAlign w:val="bottom"/>
            <w:gridSpan w:val="10"/>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59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5</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94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5860" w:type="dxa"/>
            <w:vAlign w:val="bottom"/>
            <w:gridSpan w:val="11"/>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640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6</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6400" w:type="dxa"/>
            <w:vAlign w:val="bottom"/>
            <w:gridSpan w:val="15"/>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0000FF"/>
                <w:w w:val="89"/>
              </w:rPr>
              <w:t>60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40" w:type="dxa"/>
            <w:vAlign w:val="bottom"/>
            <w:gridSpan w:val="18"/>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1520" w:type="dxa"/>
            <w:vAlign w:val="bottom"/>
            <w:gridSpan w:val="4"/>
          </w:tcPr>
          <w:p>
            <w:pPr>
              <w:jc w:val="right"/>
              <w:ind w:right="20"/>
              <w:spacing w:after="0"/>
              <w:rPr>
                <w:sz w:val="20"/>
                <w:szCs w:val="20"/>
                <w:color w:val="auto"/>
              </w:rPr>
            </w:pPr>
            <w:r>
              <w:rPr>
                <w:rFonts w:ascii="Arial" w:cs="Arial" w:eastAsia="Arial" w:hAnsi="Arial"/>
                <w:sz w:val="18"/>
                <w:szCs w:val="18"/>
                <w:color w:val="0000FF"/>
              </w:rPr>
              <w:t>62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CONDENSED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INCOME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June 30,</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2023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products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Revenue from services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367</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Cost of revenue from products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1,079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from services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23"/>
        </w:trPr>
        <w:tc>
          <w:tcPr>
            <w:tcW w:w="49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Cost of revenue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2,631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959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Restructuring and asset impairment charges</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Gain/(Loss) on sale of businesses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before taxes</w:t>
            </w: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1"/>
        </w:trPr>
        <w:tc>
          <w:tcPr>
            <w:tcW w:w="4900" w:type="dxa"/>
            <w:vAlign w:val="bottom"/>
            <w:tcBorders>
              <w:bottom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347</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30"/>
        </w:trPr>
        <w:tc>
          <w:tcPr>
            <w:tcW w:w="4900" w:type="dxa"/>
            <w:vAlign w:val="bottom"/>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3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242.6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242.2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COMPREHENSIVE INCOME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90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Three Months</w:t>
            </w: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For the periods ended June 30,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8"/>
                <w:szCs w:val="18"/>
                <w:color w:val="auto"/>
              </w:rPr>
              <w:t>Net change in derivative hedge agreements:</w:t>
            </w:r>
          </w:p>
        </w:tc>
        <w:tc>
          <w:tcPr>
            <w:tcW w:w="1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w:t>
            </w:r>
          </w:p>
        </w:tc>
        <w:tc>
          <w:tcPr>
            <w:tcW w:w="1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40" w:type="dxa"/>
            <w:vAlign w:val="bottom"/>
          </w:tcPr>
          <w:p>
            <w:pPr>
              <w:ind w:left="360"/>
              <w:spacing w:after="0"/>
              <w:rPr>
                <w:sz w:val="20"/>
                <w:szCs w:val="20"/>
                <w:color w:val="auto"/>
              </w:rPr>
            </w:pPr>
            <w:r>
              <w:rPr>
                <w:rFonts w:ascii="Arial" w:cs="Arial" w:eastAsia="Arial" w:hAnsi="Arial"/>
                <w:sz w:val="18"/>
                <w:szCs w:val="18"/>
                <w:color w:val="auto"/>
              </w:rPr>
              <w:t>Amount of (gain) loss reclassified into net income</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post-retirement benefit plans: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Amortization of prior service credit</w:t>
            </w:r>
          </w:p>
        </w:tc>
        <w:tc>
          <w:tcPr>
            <w:tcW w:w="1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actuarial (gain) loss into net income</w:t>
            </w:r>
          </w:p>
        </w:tc>
        <w:tc>
          <w:tcPr>
            <w:tcW w:w="1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40" w:type="dxa"/>
            <w:vAlign w:val="bottom"/>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1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before tax</w:t>
            </w:r>
          </w:p>
        </w:tc>
        <w:tc>
          <w:tcPr>
            <w:tcW w:w="11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1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line="183" w:lineRule="exact"/>
              <w:rPr>
                <w:sz w:val="20"/>
                <w:szCs w:val="20"/>
                <w:color w:val="auto"/>
              </w:rPr>
            </w:pPr>
            <w:r>
              <w:rPr>
                <w:rFonts w:ascii="Arial" w:cs="Arial" w:eastAsia="Arial" w:hAnsi="Arial"/>
                <w:sz w:val="18"/>
                <w:szCs w:val="18"/>
                <w:color w:val="auto"/>
              </w:rPr>
              <w:t>Income tax (benefit) expense related to items of other</w:t>
            </w:r>
          </w:p>
        </w:tc>
        <w:tc>
          <w:tcPr>
            <w:tcW w:w="1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income (loss)</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19"/>
                <w:szCs w:val="19"/>
                <w:color w:val="auto"/>
              </w:rPr>
            </w:pP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7"/>
                <w:szCs w:val="17"/>
                <w:color w:val="auto"/>
              </w:rPr>
            </w:pPr>
          </w:p>
        </w:tc>
        <w:tc>
          <w:tcPr>
            <w:tcW w:w="1520" w:type="dxa"/>
            <w:vAlign w:val="bottom"/>
          </w:tcPr>
          <w:p>
            <w:pPr>
              <w:jc w:val="right"/>
              <w:ind w:right="21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4"/>
        </w:trPr>
        <w:tc>
          <w:tcPr>
            <w:tcW w:w="7640" w:type="dxa"/>
            <w:vAlign w:val="bottom"/>
          </w:tcPr>
          <w:p>
            <w:pPr>
              <w:ind w:left="360"/>
              <w:spacing w:after="0"/>
              <w:rPr>
                <w:sz w:val="20"/>
                <w:szCs w:val="20"/>
                <w:color w:val="auto"/>
              </w:rPr>
            </w:pPr>
            <w:r>
              <w:rPr>
                <w:rFonts w:ascii="Arial" w:cs="Arial" w:eastAsia="Arial" w:hAnsi="Arial"/>
                <w:sz w:val="18"/>
                <w:szCs w:val="18"/>
                <w:color w:val="auto"/>
              </w:rPr>
              <w:t>Receivables, less allowances for discounts, returns and credit losses of $54 and $56 in</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640" w:type="dxa"/>
            <w:vAlign w:val="bottom"/>
          </w:tcPr>
          <w:p>
            <w:pPr>
              <w:ind w:left="360"/>
              <w:spacing w:after="0"/>
              <w:rPr>
                <w:sz w:val="20"/>
                <w:szCs w:val="20"/>
                <w:color w:val="auto"/>
              </w:rPr>
            </w:pPr>
            <w:r>
              <w:rPr>
                <w:rFonts w:ascii="Arial" w:cs="Arial" w:eastAsia="Arial" w:hAnsi="Arial"/>
                <w:sz w:val="18"/>
                <w:szCs w:val="18"/>
                <w:color w:val="auto"/>
              </w:rPr>
              <w:t>2024 and 2023, respectively</w:t>
            </w:r>
          </w:p>
        </w:tc>
        <w:tc>
          <w:tcPr>
            <w:tcW w:w="3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1,675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Other intangible assets, net</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2,374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15,765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maturities of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640" w:type="dxa"/>
            <w:vAlign w:val="bottom"/>
          </w:tcPr>
          <w:p>
            <w:pPr>
              <w:ind w:left="1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Accrued post-retirement benefits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 liabilities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non-current accrued liabilities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0"/>
        </w:trPr>
        <w:tc>
          <w:tcPr>
            <w:tcW w:w="7640" w:type="dxa"/>
            <w:vAlign w:val="bottom"/>
          </w:tcPr>
          <w:p>
            <w:pPr>
              <w:ind w:left="140"/>
              <w:spacing w:after="0"/>
              <w:rPr>
                <w:sz w:val="20"/>
                <w:szCs w:val="20"/>
                <w:color w:val="auto"/>
              </w:rPr>
            </w:pPr>
            <w:r>
              <w:rPr>
                <w:rFonts w:ascii="Arial" w:cs="Arial" w:eastAsia="Arial" w:hAnsi="Arial"/>
                <w:sz w:val="18"/>
                <w:szCs w:val="18"/>
                <w:color w:val="auto"/>
              </w:rPr>
              <w:t>Commitments and contingencies (Note 18)</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Common stock – par value $0.01 per share:</w:t>
            </w: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7640" w:type="dxa"/>
            <w:vAlign w:val="bottom"/>
            <w:shd w:val="clear" w:color="auto" w:fill="CCEEFF"/>
          </w:tcPr>
          <w:p>
            <w:pPr>
              <w:ind w:left="360"/>
              <w:spacing w:after="0" w:line="183" w:lineRule="exact"/>
              <w:rPr>
                <w:sz w:val="20"/>
                <w:szCs w:val="20"/>
                <w:color w:val="auto"/>
              </w:rPr>
            </w:pPr>
            <w:r>
              <w:rPr>
                <w:rFonts w:ascii="Arial" w:cs="Arial" w:eastAsia="Arial" w:hAnsi="Arial"/>
                <w:sz w:val="18"/>
                <w:szCs w:val="18"/>
                <w:color w:val="auto"/>
              </w:rPr>
              <w:t>Authorized 750.0 shares, issued 259.1 shares and 257.6 shares in 2024 and 2023,</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respectively</w:t>
            </w:r>
          </w:p>
        </w:tc>
        <w:tc>
          <w:tcPr>
            <w:tcW w:w="320" w:type="dxa"/>
            <w:vAlign w:val="bottom"/>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40" w:type="dxa"/>
            <w:vAlign w:val="bottom"/>
          </w:tcPr>
          <w:p>
            <w:pPr>
              <w:ind w:left="360"/>
              <w:spacing w:after="0"/>
              <w:rPr>
                <w:sz w:val="20"/>
                <w:szCs w:val="20"/>
                <w:color w:val="auto"/>
              </w:rPr>
            </w:pPr>
            <w:r>
              <w:rPr>
                <w:rFonts w:ascii="Arial" w:cs="Arial" w:eastAsia="Arial" w:hAnsi="Arial"/>
                <w:sz w:val="18"/>
                <w:szCs w:val="18"/>
                <w:color w:val="auto"/>
              </w:rPr>
              <w:t>Capital in excess of par value</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8,660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8,564</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Treasury stock – at cost 16.2 shares and 16.0 shares in 2024 and 2023, respectively</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(751)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10,166</w:t>
            </w:r>
          </w:p>
        </w:tc>
        <w:tc>
          <w:tcPr>
            <w:tcW w:w="0" w:type="dxa"/>
            <w:vAlign w:val="bottom"/>
          </w:tcPr>
          <w:p>
            <w:pPr>
              <w:spacing w:after="0"/>
              <w:rPr>
                <w:sz w:val="1"/>
                <w:szCs w:val="1"/>
                <w:color w:val="auto"/>
              </w:rPr>
            </w:pPr>
          </w:p>
        </w:tc>
      </w:tr>
      <w:tr>
        <w:trPr>
          <w:trHeight w:val="223"/>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equity</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10,176</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16,112</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 (Unaudited) (in millions)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347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Depreciation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Share-based compensation</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Restructuring and asset impairment charges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Loss from sale of business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Payments for restructuring</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 (net of acquisitions):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receivables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inventories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6"/>
                <w:szCs w:val="16"/>
                <w:color w:val="auto"/>
              </w:rPr>
              <w:t>Changes in accounts payable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Changes in accrued and deferred taxes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09"/>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Operating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expenditures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Acquisitions of businesses, net of cash acquired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 of business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the sale of property, plant and equipment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paid for investments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equity investments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Cash received from interest rate swaps</w:t>
            </w:r>
          </w:p>
        </w:tc>
        <w:tc>
          <w:tcPr>
            <w:tcW w:w="40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received from cross-currency swaps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Short-term debt issued, net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Short-term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(268)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issued, net</w:t>
            </w:r>
          </w:p>
        </w:tc>
        <w:tc>
          <w:tcPr>
            <w:tcW w:w="4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16"/>
        </w:trPr>
        <w:tc>
          <w:tcPr>
            <w:tcW w:w="7640" w:type="dxa"/>
            <w:vAlign w:val="bottom"/>
          </w:tcPr>
          <w:p>
            <w:pPr>
              <w:ind w:left="160"/>
              <w:spacing w:after="0"/>
              <w:rPr>
                <w:sz w:val="20"/>
                <w:szCs w:val="20"/>
                <w:color w:val="auto"/>
              </w:rPr>
            </w:pPr>
            <w:r>
              <w:rPr>
                <w:rFonts w:ascii="Arial" w:cs="Arial" w:eastAsia="Arial" w:hAnsi="Arial"/>
                <w:sz w:val="16"/>
                <w:szCs w:val="16"/>
                <w:color w:val="auto"/>
              </w:rPr>
              <w:t>Long-term debt repaid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6"/>
                <w:szCs w:val="16"/>
                <w:color w:val="auto"/>
              </w:rPr>
              <w:t>Proceeds from exercise of employee stock options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b w:val="1"/>
                <w:bCs w:val="1"/>
                <w:color w:val="auto"/>
              </w:rPr>
              <w:t>Net Cash –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(419)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10"/>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Effect of exchange rate changes on cash</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0"/>
        </w:trPr>
        <w:tc>
          <w:tcPr>
            <w:tcW w:w="7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16"/>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w:t>
            </w:r>
          </w:p>
        </w:tc>
        <w:tc>
          <w:tcPr>
            <w:tcW w:w="0" w:type="dxa"/>
            <w:vAlign w:val="bottom"/>
          </w:tcPr>
          <w:p>
            <w:pPr>
              <w:spacing w:after="0"/>
              <w:rPr>
                <w:sz w:val="1"/>
                <w:szCs w:val="1"/>
                <w:color w:val="auto"/>
              </w:rPr>
            </w:pPr>
          </w:p>
        </w:tc>
      </w:tr>
      <w:tr>
        <w:trPr>
          <w:trHeight w:val="23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6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paid during the period for:</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560"/>
              <w:spacing w:after="0"/>
              <w:rPr>
                <w:sz w:val="20"/>
                <w:szCs w:val="20"/>
                <w:color w:val="auto"/>
              </w:rPr>
            </w:pPr>
            <w:r>
              <w:rPr>
                <w:rFonts w:ascii="Arial" w:cs="Arial" w:eastAsia="Arial" w:hAnsi="Arial"/>
                <w:sz w:val="16"/>
                <w:szCs w:val="16"/>
                <w:color w:val="auto"/>
              </w:rPr>
              <w:t>Interest</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560"/>
              <w:spacing w:after="0"/>
              <w:rPr>
                <w:sz w:val="20"/>
                <w:szCs w:val="20"/>
                <w:color w:val="auto"/>
              </w:rPr>
            </w:pPr>
            <w:r>
              <w:rPr>
                <w:rFonts w:ascii="Arial" w:cs="Arial" w:eastAsia="Arial" w:hAnsi="Arial"/>
                <w:sz w:val="16"/>
                <w:szCs w:val="16"/>
                <w:color w:val="auto"/>
              </w:rPr>
              <w:t>Income taxes (net of refunds received)</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t>XYLEM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 and Basis of Presentation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1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spacing w:after="0" w:line="63" w:lineRule="exact"/>
        <w:rPr>
          <w:sz w:val="20"/>
          <w:szCs w:val="20"/>
          <w:color w:val="auto"/>
        </w:rPr>
      </w:pPr>
    </w:p>
    <w:p>
      <w:pPr>
        <w:jc w:val="both"/>
        <w:ind w:right="680"/>
        <w:spacing w:after="0" w:line="268" w:lineRule="auto"/>
        <w:rPr>
          <w:sz w:val="20"/>
          <w:szCs w:val="20"/>
          <w:color w:val="auto"/>
        </w:rPr>
      </w:pPr>
      <w:r>
        <w:rPr>
          <w:rFonts w:ascii="Arial" w:cs="Arial" w:eastAsia="Arial" w:hAnsi="Arial"/>
          <w:sz w:val="18"/>
          <w:szCs w:val="18"/>
          <w:color w:val="auto"/>
        </w:rPr>
        <w:t>Xylem operates in four segments, Water Infrastructure, Applied Water, Measurement and Control Solutions and Water Solutions and Services. See Note 19, "Segment Information," to the condensed consolidated financial statements for further segment background information.</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Except as otherwise indicated or unless the context otherwise requires, "Xylem," "we," "us," "our" and the "Company" refer to Xylem Inc. and its subsidiaries.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Evoqua</w:t>
      </w:r>
    </w:p>
    <w:p>
      <w:pPr>
        <w:spacing w:after="0" w:line="115"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On May 24, 2023, Xylem completed the acquisition of Evoqua Water Technologies Corp. (“Evoqua”). Refer to Note 3, "Acquisitions and Divestitures," for additional information.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2023 ("2023 Annual Report") in preparing these unaudited condensed consolidated financial statements. These condensed consolidated financial statements should be read in conjunction with the audited consolidated financial statements and the notes included in our 2023 Annual Report. Certain prior year amounts have been reclassified to conform to the current year presentation.</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announced a change to its reportable segments effective January 1, 2024, and as a result, is now reporting the financial position and results of operations of its former Integrated Solutions and Services segment together with the dewatering business, previously within our Water Infrastructure segment, and the assessment services business, previously within our Measurement and Control Solutions segment, in a new segment that is referred to as Water Solutions and Services. The Company’s Water Infrastructure reportable segment no longer includes the results of the dewatering business, and the Company’s Measurement and Control Solutions reportable segment no longer includes the results of the assessment services business. The Company's Applied Water reportable segment remains unchanged. As a result of the change, the Company has recast prior period segment amounts to align with the new segment reporting. The recast financial information reflects depreciation, amortization and share-based compensation specifically identified to the segments that were previously reported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8" w:name="page9"/>
    <w:bookmarkEnd w:id="8"/>
    <w:p>
      <w:pPr>
        <w:ind w:right="140"/>
        <w:spacing w:after="0" w:line="287" w:lineRule="auto"/>
        <w:rPr>
          <w:sz w:val="20"/>
          <w:szCs w:val="20"/>
          <w:color w:val="auto"/>
        </w:rPr>
      </w:pPr>
      <w:r>
        <w:rPr>
          <w:rFonts w:ascii="Arial" w:cs="Arial" w:eastAsia="Arial" w:hAnsi="Arial"/>
          <w:sz w:val="18"/>
          <w:szCs w:val="18"/>
          <w:color w:val="auto"/>
        </w:rPr>
        <w:t>within Corporate and other and Regional selling locations as part of an overall allocation. These changes have no impact on the Company’s historical consolidated financial position or results of operations.</w:t>
      </w:r>
    </w:p>
    <w:p>
      <w:pPr>
        <w:spacing w:after="0" w:line="4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November 2023, the Financial Accounting Standards Board ("FASB") issued Accounting Standards Update ("ASU") No. 2023-07, </w:t>
      </w:r>
      <w:r>
        <w:rPr>
          <w:rFonts w:ascii="Arial" w:cs="Arial" w:eastAsia="Arial" w:hAnsi="Arial"/>
          <w:sz w:val="18"/>
          <w:szCs w:val="18"/>
          <w:i w:val="1"/>
          <w:iCs w:val="1"/>
          <w:color w:val="auto"/>
        </w:rPr>
        <w:t xml:space="preserve">"Segment Reporting (Topic 280) Improvements to Reportable Segment Disclosures." </w:t>
      </w:r>
      <w:r>
        <w:rPr>
          <w:rFonts w:ascii="Arial" w:cs="Arial" w:eastAsia="Arial" w:hAnsi="Arial"/>
          <w:sz w:val="18"/>
          <w:szCs w:val="18"/>
          <w:color w:val="auto"/>
        </w:rPr>
        <w:t>This guidance requires disclosure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segment expenses. The standard is effective for fiscal years beginning after December 15, 2023, and interim periods within fiscal years beginning after December 15, 2024, with early adoption permitted. The standard is required to be applied on a retrospective basis to all periods presented in the consolidated financial statements. The Company is currently evaluating the impacts of the guidance on our disclosures in future periods.</w:t>
      </w:r>
    </w:p>
    <w:p>
      <w:pPr>
        <w:spacing w:after="0" w:line="7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"Improvements to Income Tax Disclosures."</w:t>
      </w:r>
      <w:r>
        <w:rPr>
          <w:rFonts w:ascii="Arial" w:cs="Arial" w:eastAsia="Arial" w:hAnsi="Arial"/>
          <w:sz w:val="18"/>
          <w:szCs w:val="18"/>
          <w:color w:val="auto"/>
        </w:rPr>
        <w:t xml:space="preserve"> The ASU is intended to improve income tax disclosure requirements, primarily through additional disclosures about a reporting entity’s effective tax rate reconciliations as well as information on income taxes paid. The standard is effective for fiscal years beginning after December 15, 2024, and interim periods within fiscal years beginning after December 15, 2025, with early adoption permitted. The amendments are required to be applied on a prospective basis, with the option to apply retrospectively to all prior periods presented in the consolidated financial statements. The Company is currently evaluating the method of adoption and the impacts of the guidance on our disclosures in future periods.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September 2022, the FASB issued ASU 2022-04, "</w:t>
      </w:r>
      <w:r>
        <w:rPr>
          <w:rFonts w:ascii="Arial" w:cs="Arial" w:eastAsia="Arial" w:hAnsi="Arial"/>
          <w:sz w:val="18"/>
          <w:szCs w:val="18"/>
          <w:i w:val="1"/>
          <w:iCs w:val="1"/>
          <w:color w:val="auto"/>
        </w:rPr>
        <w:t>Liabilities-Supplier Finance Programs (Subtopic 405 -50): Disclosure of Supplier</w:t>
      </w:r>
      <w:r>
        <w:rPr>
          <w:rFonts w:ascii="Arial" w:cs="Arial" w:eastAsia="Arial" w:hAnsi="Arial"/>
          <w:sz w:val="18"/>
          <w:szCs w:val="18"/>
          <w:color w:val="auto"/>
        </w:rPr>
        <w:t xml:space="preserve"> </w:t>
      </w:r>
      <w:r>
        <w:rPr>
          <w:rFonts w:ascii="Arial" w:cs="Arial" w:eastAsia="Arial" w:hAnsi="Arial"/>
          <w:sz w:val="18"/>
          <w:szCs w:val="18"/>
          <w:i w:val="1"/>
          <w:iCs w:val="1"/>
          <w:color w:val="auto"/>
        </w:rPr>
        <w:t>Finance Program Obligations.</w:t>
      </w:r>
      <w:r>
        <w:rPr>
          <w:rFonts w:ascii="Arial" w:cs="Arial" w:eastAsia="Arial" w:hAnsi="Arial"/>
          <w:sz w:val="18"/>
          <w:szCs w:val="18"/>
          <w:color w:val="auto"/>
        </w:rPr>
        <w:t>" This guidance requires disclosure of the key terms of outstanding supplier finance programs and a rollforward</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related obligations. The standard does not affect the recognition, measurement, or financial statement presentation of supplier finance program obligations. The ASU became effective January 1, 2023, and the rollforward requirement became effective January 1, 2024. Refer to Note 11, "Current Liabilities" for the disclosures related to our adoption of the standard.</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 and Divestitures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Evoqua Water Technologies Corp.</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on May 24, 2023, legacy Evoqua stockholders owned approximately 25% and legacy Xylem shareholders owned approximately 75% of the combined company. The purchase price for purposes of the Merger consisted of an aggregate of $6,121 million of the Company’s common stock, $160 million in replacement equity awards, and $619 million to repay certain indebtedness of Evoqua (refer to Note 12, "Credit Facilities and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acquisition-date fair value of the consideration totaled $6,900 million, which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Fair Value of Purchase Consideration</w:t>
            </w:r>
          </w:p>
        </w:tc>
      </w:tr>
      <w:tr>
        <w:trPr>
          <w:trHeight w:val="223"/>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Xylem Common Stock issued to Evoqua stockholders (58,779,096 shares)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Estimated replacement equity awards</w:t>
            </w:r>
          </w:p>
        </w:tc>
        <w:tc>
          <w:tcPr>
            <w:tcW w:w="160" w:type="dxa"/>
            <w:vAlign w:val="bottom"/>
          </w:tcPr>
          <w:p>
            <w:pPr>
              <w:spacing w:after="0"/>
              <w:rPr>
                <w:sz w:val="19"/>
                <w:szCs w:val="19"/>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certain Evoqua indebtedness</w:t>
            </w:r>
          </w:p>
        </w:tc>
        <w:tc>
          <w:tcPr>
            <w:tcW w:w="160" w:type="dxa"/>
            <w:vAlign w:val="bottom"/>
            <w:tcBorders>
              <w:bottom w:val="single" w:sz="8" w:color="auto"/>
            </w:tcBorders>
            <w:shd w:val="clear" w:color="auto" w:fill="CCEEFF"/>
          </w:tcPr>
          <w:p>
            <w:pPr>
              <w:spacing w:after="0"/>
              <w:rPr>
                <w:sz w:val="19"/>
                <w:szCs w:val="19"/>
                <w:color w:val="auto"/>
              </w:rPr>
            </w:pPr>
          </w:p>
        </w:tc>
        <w:tc>
          <w:tcPr>
            <w:tcW w:w="3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6,900</w:t>
            </w:r>
          </w:p>
        </w:tc>
      </w:tr>
      <w:tr>
        <w:trPr>
          <w:trHeight w:val="21"/>
        </w:trPr>
        <w:tc>
          <w:tcPr>
            <w:tcW w:w="7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During the second quarter of 2024, the Company finalized the purchase price allocation. The following table summarizes the acquisition date fair value of net tangible and intangible assets acquired, net of liabilities assumed from Evoqua:</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9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Receivables(a)</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Prepaid and other current assets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508</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w:t>
            </w:r>
          </w:p>
        </w:tc>
      </w:tr>
      <w:tr>
        <w:trPr>
          <w:trHeight w:val="229"/>
        </w:trPr>
        <w:tc>
          <w:tcPr>
            <w:tcW w:w="6800" w:type="dxa"/>
            <w:vAlign w:val="bottom"/>
          </w:tcPr>
          <w:p>
            <w:pPr>
              <w:ind w:left="240"/>
              <w:spacing w:after="0"/>
              <w:rPr>
                <w:sz w:val="20"/>
                <w:szCs w:val="20"/>
                <w:color w:val="auto"/>
              </w:rPr>
            </w:pPr>
            <w:r>
              <w:rPr>
                <w:rFonts w:ascii="Arial" w:cs="Arial" w:eastAsia="Arial" w:hAnsi="Arial"/>
                <w:sz w:val="18"/>
                <w:szCs w:val="18"/>
                <w:color w:val="auto"/>
              </w:rPr>
              <w:t>Other intangible assets, net</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1,769</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Non-current assets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6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6800" w:type="dxa"/>
            <w:vAlign w:val="bottom"/>
          </w:tcPr>
          <w:p>
            <w:pPr>
              <w:ind w:left="220"/>
              <w:spacing w:after="0"/>
              <w:rPr>
                <w:sz w:val="20"/>
                <w:szCs w:val="20"/>
                <w:color w:val="auto"/>
              </w:rPr>
            </w:pPr>
            <w:r>
              <w:rPr>
                <w:rFonts w:ascii="Arial" w:cs="Arial" w:eastAsia="Arial" w:hAnsi="Arial"/>
                <w:sz w:val="18"/>
                <w:szCs w:val="18"/>
                <w:color w:val="auto"/>
              </w:rPr>
              <w:t>Accrued and other current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Short-term borrowings and current maturities of 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Liabilities held for sale</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Long-term debt</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6800" w:type="dxa"/>
            <w:vAlign w:val="bottom"/>
          </w:tcPr>
          <w:p>
            <w:pPr>
              <w:ind w:left="240"/>
              <w:spacing w:after="0"/>
              <w:rPr>
                <w:sz w:val="20"/>
                <w:szCs w:val="20"/>
                <w:color w:val="auto"/>
              </w:rPr>
            </w:pPr>
            <w:r>
              <w:rPr>
                <w:rFonts w:ascii="Arial" w:cs="Arial" w:eastAsia="Arial" w:hAnsi="Arial"/>
                <w:sz w:val="18"/>
                <w:szCs w:val="18"/>
                <w:color w:val="auto"/>
              </w:rPr>
              <w:t>Other non-current accrued liabilities</w:t>
            </w:r>
          </w:p>
        </w:tc>
        <w:tc>
          <w:tcPr>
            <w:tcW w:w="960" w:type="dxa"/>
            <w:vAlign w:val="bottom"/>
          </w:tcPr>
          <w:p>
            <w:pPr>
              <w:spacing w:after="0"/>
              <w:rPr>
                <w:sz w:val="19"/>
                <w:szCs w:val="19"/>
                <w:color w:val="auto"/>
              </w:rPr>
            </w:pPr>
          </w:p>
        </w:tc>
        <w:tc>
          <w:tcPr>
            <w:tcW w:w="3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8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 liabilities</w:t>
            </w:r>
          </w:p>
        </w:tc>
        <w:tc>
          <w:tcPr>
            <w:tcW w:w="960" w:type="dxa"/>
            <w:vAlign w:val="bottom"/>
            <w:shd w:val="clear" w:color="auto" w:fill="CCEEFF"/>
          </w:tcPr>
          <w:p>
            <w:pPr>
              <w:spacing w:after="0"/>
              <w:rPr>
                <w:sz w:val="19"/>
                <w:szCs w:val="19"/>
                <w:color w:val="auto"/>
              </w:rPr>
            </w:pP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230"/>
        </w:trPr>
        <w:tc>
          <w:tcPr>
            <w:tcW w:w="68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liabilities held for sale</w:t>
            </w:r>
          </w:p>
        </w:tc>
        <w:tc>
          <w:tcPr>
            <w:tcW w:w="9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3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6,900</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Including $320 million of receivables and $110 million of contract assets.</w:t>
      </w:r>
    </w:p>
    <w:p>
      <w:pPr>
        <w:spacing w:after="0" w:line="1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Prior to finalizing the purchase price allocation during the second quarter of 2024, the fair values of the assets acquired and liabilities assumed were determined using the income and cost approaches. In many cases, the determination of the fair values required estimates about discount rates, future expected cash flows and other future events that are judgmental and subject to change.</w:t>
      </w:r>
    </w:p>
    <w:p>
      <w:pPr>
        <w:spacing w:after="0" w:line="63"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 of receivables acquired is $320 million, with the gross contractual amount being $329 million. The Company expects $9 million to be uncollectible.</w:t>
      </w:r>
    </w:p>
    <w:p>
      <w:pPr>
        <w:spacing w:after="0" w:line="45"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The $4,801 million of goodwill recognized, which is not deductible for U.S. income tax purposes, is primarily attributable to synergies and economies of scale expected from combining the operations of Evoqua and Xylem as well as the assembled workforce of Evoqua.</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Identifiable Intangible Assets Acquired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key information underlying identifiable intangible assets related to the Evoqua acquisition: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84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Useful Life (in years)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99"/>
              </w:rPr>
              <w:t>Useful Life Weighted</w:t>
            </w:r>
          </w:p>
        </w:tc>
        <w:tc>
          <w:tcPr>
            <w:tcW w:w="540" w:type="dxa"/>
            <w:vAlign w:val="bottom"/>
          </w:tcPr>
          <w:p>
            <w:pPr>
              <w:spacing w:after="0"/>
              <w:rPr>
                <w:sz w:val="19"/>
                <w:szCs w:val="19"/>
                <w:color w:val="auto"/>
              </w:rPr>
            </w:pPr>
          </w:p>
        </w:tc>
        <w:tc>
          <w:tcPr>
            <w:tcW w:w="2000" w:type="dxa"/>
            <w:vAlign w:val="bottom"/>
          </w:tcPr>
          <w:p>
            <w:pPr>
              <w:jc w:val="right"/>
              <w:ind w:right="732"/>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3"/>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40" w:type="dxa"/>
            <w:vAlign w:val="bottom"/>
            <w:tcBorders>
              <w:bottom w:val="single" w:sz="8" w:color="auto"/>
            </w:tcBorders>
            <w:vMerge w:val="continue"/>
          </w:tcPr>
          <w:p>
            <w:pPr>
              <w:spacing w:after="0"/>
              <w:rPr>
                <w:sz w:val="17"/>
                <w:szCs w:val="17"/>
                <w:color w:val="auto"/>
              </w:rPr>
            </w:pPr>
          </w:p>
        </w:tc>
        <w:tc>
          <w:tcPr>
            <w:tcW w:w="20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Average (in years)</w:t>
            </w:r>
          </w:p>
        </w:tc>
        <w:tc>
          <w:tcPr>
            <w:tcW w:w="5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6.0</w:t>
            </w:r>
          </w:p>
        </w:tc>
        <w:tc>
          <w:tcPr>
            <w:tcW w:w="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4 - 9</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7.1</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and distributor relationships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6 - 20</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Backlog</w:t>
            </w:r>
          </w:p>
        </w:tc>
        <w:tc>
          <w:tcPr>
            <w:tcW w:w="2840" w:type="dxa"/>
            <w:vAlign w:val="bottom"/>
          </w:tcPr>
          <w:p>
            <w:pPr>
              <w:jc w:val="center"/>
              <w:spacing w:after="0"/>
              <w:rPr>
                <w:sz w:val="20"/>
                <w:szCs w:val="20"/>
                <w:color w:val="auto"/>
              </w:rPr>
            </w:pPr>
            <w:r>
              <w:rPr>
                <w:rFonts w:ascii="Arial" w:cs="Arial" w:eastAsia="Arial" w:hAnsi="Arial"/>
                <w:sz w:val="18"/>
                <w:szCs w:val="18"/>
                <w:color w:val="auto"/>
                <w:w w:val="99"/>
              </w:rPr>
              <w:t>1 - 10</w:t>
            </w:r>
          </w:p>
        </w:tc>
        <w:tc>
          <w:tcPr>
            <w:tcW w:w="2000" w:type="dxa"/>
            <w:vAlign w:val="bottom"/>
          </w:tcPr>
          <w:p>
            <w:pPr>
              <w:jc w:val="center"/>
              <w:spacing w:after="0"/>
              <w:rPr>
                <w:sz w:val="20"/>
                <w:szCs w:val="20"/>
                <w:color w:val="auto"/>
              </w:rPr>
            </w:pPr>
            <w:r>
              <w:rPr>
                <w:rFonts w:ascii="Arial" w:cs="Arial" w:eastAsia="Arial" w:hAnsi="Arial"/>
                <w:sz w:val="18"/>
                <w:szCs w:val="18"/>
                <w:color w:val="auto"/>
                <w:w w:val="95"/>
              </w:rPr>
              <w:t>5.4</w:t>
            </w:r>
          </w:p>
        </w:tc>
        <w:tc>
          <w:tcPr>
            <w:tcW w:w="5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Permits</w:t>
            </w:r>
          </w:p>
        </w:tc>
        <w:tc>
          <w:tcPr>
            <w:tcW w:w="2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8.0</w:t>
            </w:r>
          </w:p>
        </w:tc>
        <w:tc>
          <w:tcPr>
            <w:tcW w:w="5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Software</w:t>
            </w:r>
          </w:p>
        </w:tc>
        <w:tc>
          <w:tcPr>
            <w:tcW w:w="28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1 - 13</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2.3</w:t>
            </w:r>
          </w:p>
        </w:tc>
        <w:tc>
          <w:tcPr>
            <w:tcW w:w="5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84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15.4</w:t>
            </w:r>
          </w:p>
        </w:tc>
        <w:tc>
          <w:tcPr>
            <w:tcW w:w="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backlog, and permits were valued using the multi-period excess earnings method (“MEEM”), the relief from royalty (“RFR”) method, or the with and without method, which are all forms of the income approach. Intangible assets related to Evoqua software were valued using the cost approach.</w:t>
      </w:r>
    </w:p>
    <w:p>
      <w:pPr>
        <w:spacing w:after="0" w:line="75" w:lineRule="exact"/>
        <w:rPr>
          <w:sz w:val="20"/>
          <w:szCs w:val="20"/>
          <w:color w:val="auto"/>
        </w:rPr>
      </w:pPr>
    </w:p>
    <w:p>
      <w:pPr>
        <w:ind w:left="660" w:right="58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spacing w:after="0" w:line="68"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and distributor relationships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spacing w:after="0" w:line="62" w:lineRule="exact"/>
        <w:rPr>
          <w:rFonts w:ascii="Arial" w:cs="Arial" w:eastAsia="Arial" w:hAnsi="Arial"/>
          <w:sz w:val="18"/>
          <w:szCs w:val="18"/>
          <w:color w:val="auto"/>
        </w:rPr>
      </w:pPr>
    </w:p>
    <w:p>
      <w:pPr>
        <w:ind w:left="660" w:right="4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Permits intangible asset was valued using the with and without method. The with and without method of valuation is an approach that considers the hypothetical impact to the projected cash flows of the business if the intangible asset was not put in place.</w:t>
      </w:r>
    </w:p>
    <w:p>
      <w:pPr>
        <w:spacing w:after="0" w:line="62" w:lineRule="exact"/>
        <w:rPr>
          <w:rFonts w:ascii="Arial" w:cs="Arial" w:eastAsia="Arial" w:hAnsi="Arial"/>
          <w:sz w:val="18"/>
          <w:szCs w:val="18"/>
          <w:color w:val="auto"/>
        </w:rPr>
      </w:pPr>
    </w:p>
    <w:p>
      <w:pPr>
        <w:ind w:left="660" w:right="4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Software intangible asset was valued using the cost approach. The cost approach method of valuation is an approach that relies on estimating the replacement or reproduction costs new of assets, along with factors of physical deterioration, based on the principle that an asset would not be purchased for a price higher than the cost to replace it with an asset of comparable utility.</w:t>
      </w:r>
    </w:p>
    <w:p>
      <w:pPr>
        <w:spacing w:after="0" w:line="62" w:lineRule="exact"/>
        <w:rPr>
          <w:rFonts w:ascii="Arial" w:cs="Arial" w:eastAsia="Arial" w:hAnsi="Arial"/>
          <w:sz w:val="18"/>
          <w:szCs w:val="18"/>
          <w:color w:val="auto"/>
        </w:rPr>
      </w:pPr>
    </w:p>
    <w:p>
      <w:pPr>
        <w:ind w:left="660" w:right="4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Stock-Based Compensation</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and 707 thousand RSU awards (of which 330 thousand were converted PSUs.) The portion of the fair value related to pre-combination services of $ 160 million was included in the purchase price, and $56 million will be recognized over the remaining service periods. As of June 30, 2024, the future unrecognized expense related to the outstanding options and RSUs was less than $ 1 million and approximately $5 million, respectively. The future unrecognized expense related to options and RSUs will be recognized over a weighted-average service period of approximately one year. SARs are immaterial.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Financial Information</w:t>
      </w:r>
    </w:p>
    <w:p>
      <w:pPr>
        <w:spacing w:after="0" w:line="358"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table summarizes, on an unaudited pro forma basis, the condensed combined results of operations of the Company for the three and six months ended June 30, 2023, assuming the acquisition had occurred on January 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17"/>
                <w:szCs w:val="17"/>
                <w:color w:val="auto"/>
              </w:rPr>
            </w:pPr>
          </w:p>
        </w:tc>
        <w:tc>
          <w:tcPr>
            <w:tcW w:w="23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(Unaudited)</w:t>
            </w:r>
          </w:p>
        </w:tc>
      </w:tr>
      <w:tr>
        <w:trPr>
          <w:trHeight w:val="176"/>
        </w:trPr>
        <w:tc>
          <w:tcPr>
            <w:tcW w:w="5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8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5"/>
                <w:szCs w:val="15"/>
                <w:color w:val="auto"/>
              </w:rPr>
            </w:pPr>
          </w:p>
        </w:tc>
        <w:tc>
          <w:tcPr>
            <w:tcW w:w="234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99"/>
              </w:rPr>
              <w:t>Six Months Ended</w:t>
            </w:r>
          </w:p>
        </w:tc>
      </w:tr>
      <w:tr>
        <w:trPr>
          <w:trHeight w:val="243"/>
        </w:trPr>
        <w:tc>
          <w:tcPr>
            <w:tcW w:w="57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9"/>
              </w:rPr>
              <w:t>June 30,</w:t>
            </w:r>
          </w:p>
        </w:tc>
        <w:tc>
          <w:tcPr>
            <w:tcW w:w="3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June 30,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340" w:type="dxa"/>
            <w:vAlign w:val="bottom"/>
            <w:tcBorders>
              <w:bottom w:val="single" w:sz="8" w:color="auto"/>
            </w:tcBorders>
            <w:shd w:val="clear" w:color="auto" w:fill="CCEEFF"/>
          </w:tcPr>
          <w:p>
            <w:pPr>
              <w:jc w:val="center"/>
              <w:ind w:right="250"/>
              <w:spacing w:after="0"/>
              <w:rPr>
                <w:sz w:val="20"/>
                <w:szCs w:val="20"/>
                <w:color w:val="auto"/>
              </w:rPr>
            </w:pPr>
            <w:r>
              <w:rPr>
                <w:rFonts w:ascii="Arial" w:cs="Arial" w:eastAsia="Arial" w:hAnsi="Arial"/>
                <w:sz w:val="18"/>
                <w:szCs w:val="18"/>
                <w:b w:val="1"/>
                <w:bCs w:val="1"/>
                <w:color w:val="auto"/>
                <w:w w:val="99"/>
              </w:rPr>
              <w:t>2023</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3,952</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bl>
    <w:p>
      <w:pPr>
        <w:spacing w:after="0" w:line="305"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12, "Credit Facilities and Debt"), (v) depreciation expense on property, plant and equipment, (vi) additional incremental stock-based compensation expense for the replacement of Evoqua’s outstanding equity awards with Xylem’s replacement equity awards, and (vii) the related tax effects assuming that the business combination occurred on January 1, 2022.</w:t>
      </w:r>
    </w:p>
    <w:p>
      <w:pPr>
        <w:spacing w:after="0" w:line="20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15"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On June 15, 2023, Xylem sold the former Evoqua carbon reactivation and slurry operations to Desotec US LLC, a subsidiary of Desotec N.V., for approximately $91 million, a price equal to the fair value less costs to sell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4. Revenue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sources of revenue: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234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40" w:type="dxa"/>
            <w:vAlign w:val="bottom"/>
            <w:gridSpan w:val="4"/>
          </w:tcPr>
          <w:p>
            <w:pPr>
              <w:jc w:val="right"/>
              <w:ind w:right="735"/>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4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contracts with customers</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2,037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 Revenue</w:t>
            </w: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revenue from contracts with customers by application.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2023</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5400" w:type="dxa"/>
            <w:vAlign w:val="bottom"/>
          </w:tcPr>
          <w:p>
            <w:pPr>
              <w:ind w:left="280"/>
              <w:spacing w:after="0"/>
              <w:rPr>
                <w:sz w:val="20"/>
                <w:szCs w:val="20"/>
                <w:color w:val="auto"/>
              </w:rPr>
            </w:pPr>
            <w:r>
              <w:rPr>
                <w:rFonts w:ascii="Arial" w:cs="Arial" w:eastAsia="Arial" w:hAnsi="Arial"/>
                <w:sz w:val="18"/>
                <w:szCs w:val="18"/>
                <w:color w:val="auto"/>
              </w:rPr>
              <w:t>Transport</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708</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673</w:t>
            </w:r>
          </w:p>
        </w:tc>
      </w:tr>
      <w:tr>
        <w:trPr>
          <w:trHeight w:val="229"/>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Treatment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Building Solutions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30"/>
        </w:trPr>
        <w:tc>
          <w:tcPr>
            <w:tcW w:w="5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Industrial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Smart Metering and Other</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770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Analytics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following table reflects revenue from contracts with customers by geographical region.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7"/>
                <w:szCs w:val="17"/>
                <w:color w:val="auto"/>
              </w:rPr>
            </w:pPr>
          </w:p>
        </w:tc>
        <w:tc>
          <w:tcPr>
            <w:tcW w:w="254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17"/>
                <w:szCs w:val="17"/>
                <w:color w:val="auto"/>
              </w:rPr>
            </w:pPr>
          </w:p>
        </w:tc>
      </w:tr>
      <w:tr>
        <w:trPr>
          <w:trHeight w:val="19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2023</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Infrastructure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Applied Water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29"/>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Measurement and Control Solutions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40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634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Water Solutions and Services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Western Europe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Emerging Markets (a)</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54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4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3,947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3,020</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740" w:hanging="328"/>
        <w:spacing w:after="0" w:line="286"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Emerging Markets includes results from the following regions: Eastern Europe, the Middle East and Africa, Latin America and Asia Pacific (excluding Japan, Australia and New Zealand, which are presented in "Other")</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Contract Balances</w:t>
      </w:r>
    </w:p>
    <w:p>
      <w:pPr>
        <w:spacing w:after="0" w:line="11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Assets (a)</w:t>
            </w:r>
          </w:p>
        </w:tc>
        <w:tc>
          <w:tcPr>
            <w:tcW w:w="440" w:type="dxa"/>
            <w:vAlign w:val="bottom"/>
          </w:tcPr>
          <w:p>
            <w:pPr>
              <w:spacing w:after="0"/>
              <w:rPr>
                <w:sz w:val="17"/>
                <w:szCs w:val="17"/>
                <w:color w:val="auto"/>
              </w:rPr>
            </w:pPr>
          </w:p>
        </w:tc>
        <w:tc>
          <w:tcPr>
            <w:tcW w:w="2380" w:type="dxa"/>
            <w:vAlign w:val="bottom"/>
          </w:tcPr>
          <w:p>
            <w:pPr>
              <w:jc w:val="right"/>
              <w:ind w:right="671"/>
              <w:spacing w:after="0"/>
              <w:rPr>
                <w:sz w:val="20"/>
                <w:szCs w:val="20"/>
                <w:color w:val="auto"/>
              </w:rPr>
            </w:pPr>
            <w:r>
              <w:rPr>
                <w:rFonts w:ascii="Arial" w:cs="Arial" w:eastAsia="Arial" w:hAnsi="Arial"/>
                <w:sz w:val="14"/>
                <w:szCs w:val="14"/>
                <w:b w:val="1"/>
                <w:bCs w:val="1"/>
                <w:color w:val="auto"/>
              </w:rPr>
              <w:t>Contract Liabilities</w:t>
            </w: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29"/>
        </w:trPr>
        <w:tc>
          <w:tcPr>
            <w:tcW w:w="5600" w:type="dxa"/>
            <w:vAlign w:val="bottom"/>
          </w:tcPr>
          <w:p>
            <w:pPr>
              <w:ind w:left="20"/>
              <w:spacing w:after="0"/>
              <w:rPr>
                <w:sz w:val="20"/>
                <w:szCs w:val="20"/>
                <w:color w:val="auto"/>
              </w:rPr>
            </w:pPr>
            <w:r>
              <w:rPr>
                <w:rFonts w:ascii="Arial" w:cs="Arial" w:eastAsia="Arial" w:hAnsi="Arial"/>
                <w:sz w:val="18"/>
                <w:szCs w:val="18"/>
                <w:color w:val="auto"/>
              </w:rPr>
              <w:t>Opening balance from the acquisition of Evoqua</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110</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2023</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229"/>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r>
      <w:tr>
        <w:trPr>
          <w:trHeight w:val="230"/>
        </w:trPr>
        <w:tc>
          <w:tcPr>
            <w:tcW w:w="5600" w:type="dxa"/>
            <w:vAlign w:val="bottom"/>
          </w:tcPr>
          <w:p>
            <w:pPr>
              <w:ind w:left="120"/>
              <w:spacing w:after="0"/>
              <w:rPr>
                <w:sz w:val="20"/>
                <w:szCs w:val="20"/>
                <w:color w:val="auto"/>
              </w:rPr>
            </w:pPr>
            <w:r>
              <w:rPr>
                <w:rFonts w:ascii="Arial" w:cs="Arial" w:eastAsia="Arial" w:hAnsi="Arial"/>
                <w:sz w:val="18"/>
                <w:szCs w:val="18"/>
                <w:color w:val="auto"/>
              </w:rPr>
              <w:t>Additions, net</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191</w:t>
            </w:r>
          </w:p>
        </w:tc>
      </w:tr>
      <w:tr>
        <w:trPr>
          <w:trHeight w:val="229"/>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 recognized from opening balance</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Billings transferred to accounts receivable</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(239)</w:t>
            </w:r>
          </w:p>
        </w:tc>
        <w:tc>
          <w:tcPr>
            <w:tcW w:w="440" w:type="dxa"/>
            <w:vAlign w:val="bottom"/>
          </w:tcPr>
          <w:p>
            <w:pPr>
              <w:spacing w:after="0"/>
              <w:rPr>
                <w:sz w:val="19"/>
                <w:szCs w:val="19"/>
                <w:color w:val="auto"/>
              </w:rPr>
            </w:pPr>
          </w:p>
        </w:tc>
        <w:tc>
          <w:tcPr>
            <w:tcW w:w="23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and other</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40" w:type="dxa"/>
            <w:vAlign w:val="bottom"/>
            <w:tcBorders>
              <w:bottom w:val="single" w:sz="8" w:color="auto"/>
            </w:tcBorders>
            <w:shd w:val="clear" w:color="auto" w:fill="CCEEFF"/>
          </w:tcPr>
          <w:p>
            <w:pPr>
              <w:spacing w:after="0"/>
              <w:rPr>
                <w:sz w:val="19"/>
                <w:szCs w:val="19"/>
                <w:color w:val="auto"/>
              </w:rPr>
            </w:pPr>
          </w:p>
        </w:tc>
        <w:tc>
          <w:tcPr>
            <w:tcW w:w="2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23"/>
        </w:trPr>
        <w:tc>
          <w:tcPr>
            <w:tcW w:w="5600" w:type="dxa"/>
            <w:vAlign w:val="bottom"/>
          </w:tcPr>
          <w:p>
            <w:pPr>
              <w:ind w:left="20"/>
              <w:spacing w:after="0"/>
              <w:rPr>
                <w:sz w:val="20"/>
                <w:szCs w:val="20"/>
                <w:color w:val="auto"/>
              </w:rPr>
            </w:pPr>
            <w:r>
              <w:rPr>
                <w:rFonts w:ascii="Arial" w:cs="Arial" w:eastAsia="Arial" w:hAnsi="Arial"/>
                <w:sz w:val="18"/>
                <w:szCs w:val="18"/>
                <w:color w:val="auto"/>
              </w:rPr>
              <w:t>Balance at June 30, 2024</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285</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w:t>
            </w:r>
          </w:p>
        </w:tc>
      </w:tr>
      <w:tr>
        <w:trPr>
          <w:trHeight w:val="21"/>
        </w:trPr>
        <w:tc>
          <w:tcPr>
            <w:tcW w:w="5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Excludes receivable balances, which are disclosed on the Condensed Consolidated Balance Sheets</w:t>
      </w:r>
    </w:p>
    <w:p>
      <w:pPr>
        <w:spacing w:after="0" w:line="11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Performance obligations</w:t>
      </w:r>
    </w:p>
    <w:p>
      <w:pPr>
        <w:spacing w:after="0" w:line="11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Delivery schedules vary from customer to customer based upon their requirements. Typically, large projects require longer lead production cycles and delays can occur from time to time. As of June 30, 2024, the aggregate amount of the transaction price allocated to performance obligations that are unsatisfied or partially unsatisfied for contracts with performance obligations, amount to $1.4 billion, of which $804 million was contributed by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Restructuring and Asset Impairment Charges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and six months ended June 30, 2024, we incurred restructuring charges of $23 million and $32 million, respectively. For the three and six months ended June 30, 2024, the charges incurred primarily related to strengthening our competitive positioning and the integration of Evoqua.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restructuring expense and asset impairment charges: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4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7"/>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c>
          <w:tcPr>
            <w:tcW w:w="3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color w:val="auto"/>
              </w:rPr>
              <w:t>2023</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component:</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8"/>
                <w:szCs w:val="18"/>
                <w:color w:val="auto"/>
              </w:rPr>
              <w:t>Severance and other charges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impairment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520" w:type="dxa"/>
            <w:vAlign w:val="bottom"/>
          </w:tcPr>
          <w:p>
            <w:pPr>
              <w:ind w:left="140"/>
              <w:spacing w:after="0"/>
              <w:rPr>
                <w:sz w:val="20"/>
                <w:szCs w:val="20"/>
                <w:color w:val="auto"/>
              </w:rPr>
            </w:pPr>
            <w:r>
              <w:rPr>
                <w:rFonts w:ascii="Arial" w:cs="Arial" w:eastAsia="Arial" w:hAnsi="Arial"/>
                <w:sz w:val="18"/>
                <w:szCs w:val="18"/>
                <w:color w:val="auto"/>
              </w:rPr>
              <w:t>Reversal of restructuring accruals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costs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 impairment charges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restructuring and asset impairment charges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5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52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2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7"/>
        </w:trPr>
        <w:tc>
          <w:tcPr>
            <w:tcW w:w="5520" w:type="dxa"/>
            <w:vAlign w:val="bottom"/>
          </w:tcPr>
          <w:p>
            <w:pPr>
              <w:ind w:left="480"/>
              <w:spacing w:after="0"/>
              <w:rPr>
                <w:sz w:val="20"/>
                <w:szCs w:val="20"/>
                <w:color w:val="auto"/>
              </w:rPr>
            </w:pPr>
            <w:r>
              <w:rPr>
                <w:rFonts w:ascii="Arial" w:cs="Arial" w:eastAsia="Arial" w:hAnsi="Arial"/>
                <w:sz w:val="18"/>
                <w:szCs w:val="18"/>
                <w:color w:val="auto"/>
              </w:rPr>
              <w:t>Corporate and other</w:t>
            </w:r>
          </w:p>
        </w:tc>
        <w:tc>
          <w:tcPr>
            <w:tcW w:w="3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66" w:lineRule="exact"/>
        <w:rPr>
          <w:sz w:val="20"/>
          <w:szCs w:val="20"/>
          <w:color w:val="auto"/>
        </w:rPr>
      </w:pPr>
    </w:p>
    <w:p>
      <w:pPr>
        <w:ind w:right="320"/>
        <w:spacing w:after="0" w:line="318" w:lineRule="auto"/>
        <w:rPr>
          <w:sz w:val="20"/>
          <w:szCs w:val="20"/>
          <w:color w:val="auto"/>
        </w:rPr>
      </w:pPr>
      <w:r>
        <w:rPr>
          <w:rFonts w:ascii="Arial" w:cs="Arial" w:eastAsia="Arial" w:hAnsi="Arial"/>
          <w:sz w:val="17"/>
          <w:szCs w:val="17"/>
          <w:color w:val="auto"/>
        </w:rPr>
        <w:t>The following table displays a roll-forward of the restructuring accruals, presented on our Condensed Consolidated Balance Sheets within "Accrued and other current liabilities" and "Other non-current accrued liabilities", for the six months ended June 30, 2024 and 2023:</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2023</w:t>
            </w:r>
          </w:p>
        </w:tc>
      </w:tr>
      <w:tr>
        <w:trPr>
          <w:trHeight w:val="224"/>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accruals - January 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Restructuring costs, net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8440" w:type="dxa"/>
            <w:vAlign w:val="bottom"/>
          </w:tcPr>
          <w:p>
            <w:pPr>
              <w:ind w:left="140"/>
              <w:spacing w:after="0"/>
              <w:rPr>
                <w:sz w:val="20"/>
                <w:szCs w:val="20"/>
                <w:color w:val="auto"/>
              </w:rPr>
            </w:pPr>
            <w:r>
              <w:rPr>
                <w:rFonts w:ascii="Arial" w:cs="Arial" w:eastAsia="Arial" w:hAnsi="Arial"/>
                <w:sz w:val="18"/>
                <w:szCs w:val="18"/>
                <w:color w:val="auto"/>
              </w:rPr>
              <w:t>Asset impairment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based compensation expense included within AOCL</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accruals - June 30</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71"/>
        </w:trPr>
        <w:tc>
          <w:tcPr>
            <w:tcW w:w="8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30"/>
        </w:trPr>
        <w:tc>
          <w:tcPr>
            <w:tcW w:w="8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By segment: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Water Infrastructure</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Applied Water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Measurement and Control Solutions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Water Solutions and Services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440" w:type="dxa"/>
            <w:vAlign w:val="bottom"/>
          </w:tcPr>
          <w:p>
            <w:pPr>
              <w:ind w:left="480"/>
              <w:spacing w:after="0"/>
              <w:rPr>
                <w:sz w:val="20"/>
                <w:szCs w:val="20"/>
                <w:color w:val="auto"/>
              </w:rPr>
            </w:pPr>
            <w:r>
              <w:rPr>
                <w:rFonts w:ascii="Arial" w:cs="Arial" w:eastAsia="Arial" w:hAnsi="Arial"/>
                <w:sz w:val="18"/>
                <w:szCs w:val="18"/>
                <w:color w:val="auto"/>
              </w:rPr>
              <w:t>Regional selling locations (a)</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Corporate and 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bl>
    <w:p>
      <w:pPr>
        <w:spacing w:after="0" w:line="229" w:lineRule="exact"/>
        <w:rPr>
          <w:sz w:val="20"/>
          <w:szCs w:val="20"/>
          <w:color w:val="auto"/>
        </w:rPr>
      </w:pPr>
    </w:p>
    <w:p>
      <w:pPr>
        <w:ind w:left="340" w:right="180" w:hanging="332"/>
        <w:spacing w:after="0" w:line="304" w:lineRule="auto"/>
        <w:tabs>
          <w:tab w:leader="none" w:pos="335" w:val="left"/>
        </w:tabs>
        <w:numPr>
          <w:ilvl w:val="0"/>
          <w:numId w:val="6"/>
        </w:numPr>
        <w:rPr>
          <w:rFonts w:ascii="Arial" w:cs="Arial" w:eastAsia="Arial" w:hAnsi="Arial"/>
          <w:sz w:val="16"/>
          <w:szCs w:val="16"/>
          <w:color w:val="auto"/>
        </w:rPr>
      </w:pPr>
      <w:r>
        <w:rPr>
          <w:rFonts w:ascii="Arial" w:cs="Arial" w:eastAsia="Arial" w:hAnsi="Arial"/>
          <w:sz w:val="16"/>
          <w:szCs w:val="16"/>
          <w:color w:val="auto"/>
        </w:rPr>
        <w:t>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following table presents expected restructuring spend in 2024 and thereafter: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Water</w:t>
            </w:r>
          </w:p>
        </w:tc>
        <w:tc>
          <w:tcPr>
            <w:tcW w:w="16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Applied Water</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Measurement and</w:t>
            </w: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Water Solutions</w:t>
            </w:r>
          </w:p>
        </w:tc>
        <w:tc>
          <w:tcPr>
            <w:tcW w:w="220" w:type="dxa"/>
            <w:vAlign w:val="bottom"/>
          </w:tcPr>
          <w:p>
            <w:pPr>
              <w:spacing w:after="0"/>
              <w:rPr>
                <w:sz w:val="14"/>
                <w:szCs w:val="14"/>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Corporate</w:t>
            </w:r>
          </w:p>
        </w:tc>
        <w:tc>
          <w:tcPr>
            <w:tcW w:w="300" w:type="dxa"/>
            <w:vAlign w:val="bottom"/>
          </w:tcPr>
          <w:p>
            <w:pPr>
              <w:spacing w:after="0"/>
              <w:rPr>
                <w:sz w:val="14"/>
                <w:szCs w:val="14"/>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Control Solutions</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and Services</w:t>
            </w: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2024</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56"/>
        </w:trPr>
        <w:tc>
          <w:tcPr>
            <w:tcW w:w="26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Actions Commenced in</w:t>
            </w:r>
          </w:p>
        </w:tc>
        <w:tc>
          <w:tcPr>
            <w:tcW w:w="1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in 2023</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incurred during Q1 2024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Arial" w:cs="Arial" w:eastAsia="Arial" w:hAnsi="Arial"/>
                <w:sz w:val="18"/>
                <w:szCs w:val="18"/>
                <w:color w:val="auto"/>
              </w:rPr>
              <w:t>Costs incurred during Q2 2024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expected costs remaining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actions commenced in 2024 consist primarily of severance and asset impairment charges. The actions are expected to continue through the end of 2025.</w:t>
      </w:r>
    </w:p>
    <w:p>
      <w:pPr>
        <w:spacing w:after="0" w:line="4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During the second quarter of 2024, we recognized $15 million in impairment charges primarily related to customer relationships and trademarks due to restructuring actions within our Water Solutions and Services segment.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 Refer to Note 9, "Goodwill and Other Intangible Assets," for additional information.</w:t>
      </w:r>
    </w:p>
    <w:p>
      <w:pPr>
        <w:spacing w:after="0" w:line="45"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During the first quarter of 2023, we determined that internally developed in-process software within our Measurement and Control Solutions segment was impaired as a result of actions taken to prioritize strategic investments and we therefore recognized an impairment charge of $2 million. Refer to Note 9, "Goodwill and Other Intangible Assets," for additional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Income Taxes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w:t>
      </w:r>
    </w:p>
    <w:p>
      <w:pPr>
        <w:spacing w:after="0" w:line="6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income tax provision for the three months ended June 30, 2024 was $53 million resulting in an effective tax rate of 21.4%, compared to a $22 million expense resulting in an effective tax rate of 19.1% for the same period in 2023. The income tax provision for the six months ended June 30, 2024 was $96 million resulting in an effective tax rate of 21.6%, compared to a $49 million expense resulting in an effective tax rate of 20.5% for the same period in 2023. The effective tax rate for the three and six month periods ended June 30, 2024 were higher than the U.S. federal statutory rate primarily due to earnings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2019, Xylem’s Swedish subsidiary received a tax assessment from the Swedish Tax Agency (the "STA")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SEK837 million (approximately $79 million), consisting of the full tax assessment amount plus penalties and interest. Xylem appealed this decision with the intermediate appellate court, the Administrative Court of Appeal, and on May 15, 2024, that court rendered a decision in favor of Xylem and also remanded an issue to the trial court for resolution. In June 2024, the STA filed a notice of appeal of this decision to the Supreme Administrative Court (the “Court”). The parties await the Court’s decision as to whether it will hear the STA’s appeal, which may impact the timing of when the trial court considers the issue on remand. Management, in consultation with external legal advisors, continues to believe it is more likely than not that Xylem will prevail on the proposed assessment and will continue to vigorously defend our position through this litigation. There can be no assurance that the final determination by the authorities will not be materially different than our position. As of June 30, 2024, we do not have any unrecognized tax benefits related to this uncertain tax position.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Earnings Per Share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shares used in calculating basic and diluted net earnings per share: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2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7"/>
                <w:szCs w:val="17"/>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5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7"/>
                <w:szCs w:val="17"/>
                <w:color w:val="auto"/>
              </w:rPr>
            </w:pPr>
          </w:p>
        </w:tc>
      </w:tr>
      <w:tr>
        <w:trPr>
          <w:trHeight w:val="196"/>
        </w:trPr>
        <w:tc>
          <w:tcPr>
            <w:tcW w:w="58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color w:val="auto"/>
              </w:rPr>
              <w:t>2023</w:t>
            </w:r>
          </w:p>
        </w:tc>
      </w:tr>
      <w:tr>
        <w:trPr>
          <w:trHeight w:val="224"/>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(in millions)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10"/>
        </w:trPr>
        <w:tc>
          <w:tcPr>
            <w:tcW w:w="5880" w:type="dxa"/>
            <w:vAlign w:val="bottom"/>
          </w:tcPr>
          <w:p>
            <w:pPr>
              <w:ind w:left="140"/>
              <w:spacing w:after="0"/>
              <w:rPr>
                <w:sz w:val="20"/>
                <w:szCs w:val="20"/>
                <w:color w:val="auto"/>
              </w:rPr>
            </w:pPr>
            <w:r>
              <w:rPr>
                <w:rFonts w:ascii="Arial" w:cs="Arial" w:eastAsia="Arial" w:hAnsi="Arial"/>
                <w:sz w:val="18"/>
                <w:szCs w:val="18"/>
                <w:color w:val="auto"/>
              </w:rPr>
              <w:t>Shares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242,182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192,938</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Add: Participating securities (a)</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242,572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205,539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242,213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192,967</w:t>
            </w:r>
          </w:p>
        </w:tc>
      </w:tr>
      <w:tr>
        <w:trPr>
          <w:trHeight w:val="230"/>
        </w:trPr>
        <w:tc>
          <w:tcPr>
            <w:tcW w:w="5880" w:type="dxa"/>
            <w:vAlign w:val="bottom"/>
          </w:tcPr>
          <w:p>
            <w:pPr>
              <w:ind w:left="140"/>
              <w:spacing w:after="0"/>
              <w:rPr>
                <w:sz w:val="20"/>
                <w:szCs w:val="20"/>
                <w:color w:val="auto"/>
              </w:rPr>
            </w:pPr>
            <w:r>
              <w:rPr>
                <w:rFonts w:ascii="Arial" w:cs="Arial" w:eastAsia="Arial" w:hAnsi="Arial"/>
                <w:sz w:val="18"/>
                <w:szCs w:val="18"/>
                <w:color w:val="auto"/>
              </w:rPr>
              <w:t>Plus incremental shares from assumed conversions: (b)</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stock options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Dilutive effect of restricted stock units and performance share units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23"/>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 — Diluted</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243,538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206,740</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243,279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194,029</w:t>
            </w:r>
          </w:p>
        </w:tc>
      </w:tr>
      <w:tr>
        <w:trPr>
          <w:trHeight w:val="223"/>
        </w:trPr>
        <w:tc>
          <w:tcPr>
            <w:tcW w:w="5880" w:type="dxa"/>
            <w:vAlign w:val="bottom"/>
          </w:tcPr>
          <w:p>
            <w:pPr>
              <w:ind w:left="1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0.99</w:t>
            </w:r>
          </w:p>
        </w:tc>
      </w:tr>
      <w:tr>
        <w:trPr>
          <w:trHeight w:val="230"/>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earnings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r>
    </w:tbl>
    <w:p>
      <w:pPr>
        <w:spacing w:after="0" w:line="242" w:lineRule="exact"/>
        <w:rPr>
          <w:sz w:val="20"/>
          <w:szCs w:val="20"/>
          <w:color w:val="auto"/>
        </w:rPr>
      </w:pPr>
    </w:p>
    <w:p>
      <w:pPr>
        <w:ind w:left="340" w:right="180" w:hanging="332"/>
        <w:spacing w:after="0" w:line="286"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Restricted stock units containing rights to non-forfeitable dividends that participate in undistributed earnings with common stockholders are considered participating securities for purposes of computing earnings per share.</w:t>
      </w:r>
    </w:p>
    <w:p>
      <w:pPr>
        <w:spacing w:after="0" w:line="47" w:lineRule="exact"/>
        <w:rPr>
          <w:rFonts w:ascii="Arial" w:cs="Arial" w:eastAsia="Arial" w:hAnsi="Arial"/>
          <w:sz w:val="16"/>
          <w:szCs w:val="16"/>
          <w:color w:val="auto"/>
        </w:rPr>
      </w:pPr>
    </w:p>
    <w:p>
      <w:pPr>
        <w:ind w:left="340" w:right="40" w:hanging="332"/>
        <w:spacing w:after="0" w:line="262" w:lineRule="auto"/>
        <w:tabs>
          <w:tab w:leader="none" w:pos="335"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1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rPr>
              <w:t>Three Months Ended</w:t>
            </w:r>
          </w:p>
        </w:tc>
        <w:tc>
          <w:tcPr>
            <w:tcW w:w="2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020" w:type="dxa"/>
            <w:vAlign w:val="bottom"/>
          </w:tcPr>
          <w:p>
            <w:pPr>
              <w:spacing w:after="0"/>
              <w:rPr>
                <w:sz w:val="17"/>
                <w:szCs w:val="17"/>
                <w:color w:val="auto"/>
              </w:rPr>
            </w:pPr>
          </w:p>
        </w:tc>
        <w:tc>
          <w:tcPr>
            <w:tcW w:w="1880" w:type="dxa"/>
            <w:vAlign w:val="bottom"/>
            <w:tcBorders>
              <w:bottom w:val="single" w:sz="8" w:color="auto"/>
            </w:tcBorders>
            <w:gridSpan w:val="3"/>
          </w:tcPr>
          <w:p>
            <w:pPr>
              <w:jc w:val="center"/>
              <w:ind w:left="939"/>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7"/>
                <w:szCs w:val="17"/>
                <w:color w:val="auto"/>
              </w:rPr>
            </w:pPr>
          </w:p>
        </w:tc>
      </w:tr>
      <w:tr>
        <w:trPr>
          <w:trHeight w:val="197"/>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color w:val="auto"/>
              </w:rPr>
              <w:t>2023</w:t>
            </w:r>
          </w:p>
        </w:tc>
      </w:tr>
      <w:tr>
        <w:trPr>
          <w:trHeight w:val="224"/>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Restricted stock units</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452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Note 8. Inventories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total inventories are summarized as follows:</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 millions)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Raw materials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inventories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96"/>
              <w:spacing w:after="0"/>
              <w:rPr>
                <w:sz w:val="20"/>
                <w:szCs w:val="20"/>
                <w:color w:val="auto"/>
              </w:rPr>
            </w:pPr>
            <w:r>
              <w:rPr>
                <w:rFonts w:ascii="Arial" w:cs="Arial" w:eastAsia="Arial" w:hAnsi="Arial"/>
                <w:sz w:val="14"/>
                <w:szCs w:val="14"/>
                <w:color w:val="auto"/>
              </w:rPr>
              <w:t>December 31,</w:t>
            </w:r>
          </w:p>
        </w:tc>
      </w:tr>
      <w:tr>
        <w:trPr>
          <w:trHeight w:val="185"/>
        </w:trPr>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color w:val="auto"/>
              </w:rPr>
              <w:t>2023</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379</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29"/>
        </w:trPr>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5"/>
        </w:trPr>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82" w:lineRule="exact"/>
        <w:rPr>
          <w:sz w:val="20"/>
          <w:szCs w:val="20"/>
          <w:color w:val="auto"/>
        </w:rPr>
      </w:pPr>
    </w:p>
    <w:p>
      <w:pPr>
        <w:sectPr>
          <w:pgSz w:w="11900" w:h="16838" w:orient="portrait"/>
          <w:cols w:equalWidth="0" w:num="2">
            <w:col w:w="7460" w:space="720"/>
            <w:col w:w="3060"/>
          </w:cols>
          <w:pgMar w:left="320" w:top="1201" w:right="339" w:bottom="1440" w:gutter="0" w:footer="0" w:header="0"/>
        </w:sectPr>
      </w:pPr>
    </w:p>
    <w:p>
      <w:pPr>
        <w:ind w:right="60"/>
        <w:spacing w:after="0" w:line="268" w:lineRule="auto"/>
        <w:rPr>
          <w:sz w:val="20"/>
          <w:szCs w:val="20"/>
          <w:color w:val="auto"/>
        </w:rPr>
      </w:pPr>
      <w:r>
        <w:rPr>
          <w:rFonts w:ascii="Arial" w:cs="Arial" w:eastAsia="Arial" w:hAnsi="Arial"/>
          <w:sz w:val="18"/>
          <w:szCs w:val="18"/>
          <w:color w:val="auto"/>
        </w:rPr>
        <w:t>As a result of the change in reportable segments disclosed in Note 1, "Background and Basis of Presentation," goodwill was reallocated amongst segments. This reallocation and changes in the carrying value of goodwill by reportable segment for the six months ended June 30, 2024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Water</w:t>
            </w:r>
          </w:p>
        </w:tc>
        <w:tc>
          <w:tcPr>
            <w:tcW w:w="160" w:type="dxa"/>
            <w:vAlign w:val="bottom"/>
          </w:tcPr>
          <w:p>
            <w:pPr>
              <w:spacing w:after="0"/>
              <w:rPr>
                <w:sz w:val="14"/>
                <w:szCs w:val="14"/>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Applied Water</w:t>
            </w:r>
          </w:p>
        </w:tc>
        <w:tc>
          <w:tcPr>
            <w:tcW w:w="140" w:type="dxa"/>
            <w:vAlign w:val="bottom"/>
          </w:tcPr>
          <w:p>
            <w:pPr>
              <w:spacing w:after="0"/>
              <w:rPr>
                <w:sz w:val="14"/>
                <w:szCs w:val="14"/>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and</w:t>
            </w:r>
          </w:p>
        </w:tc>
        <w:tc>
          <w:tcPr>
            <w:tcW w:w="12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Water Solutions</w:t>
            </w:r>
          </w:p>
        </w:tc>
        <w:tc>
          <w:tcPr>
            <w:tcW w:w="320" w:type="dxa"/>
            <w:vAlign w:val="bottom"/>
          </w:tcPr>
          <w:p>
            <w:pPr>
              <w:spacing w:after="0"/>
              <w:rPr>
                <w:sz w:val="14"/>
                <w:szCs w:val="14"/>
                <w:color w:val="auto"/>
              </w:rPr>
            </w:pPr>
          </w:p>
        </w:tc>
        <w:tc>
          <w:tcPr>
            <w:tcW w:w="90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4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Control Solutions</w:t>
            </w:r>
          </w:p>
        </w:tc>
        <w:tc>
          <w:tcPr>
            <w:tcW w:w="140" w:type="dxa"/>
            <w:vAlign w:val="bottom"/>
          </w:tcPr>
          <w:p>
            <w:pPr>
              <w:spacing w:after="0"/>
              <w:rPr>
                <w:sz w:val="16"/>
                <w:szCs w:val="16"/>
                <w:color w:val="auto"/>
              </w:rPr>
            </w:pPr>
          </w:p>
        </w:tc>
        <w:tc>
          <w:tcPr>
            <w:tcW w:w="1120" w:type="dxa"/>
            <w:vAlign w:val="bottom"/>
          </w:tcPr>
          <w:p>
            <w:pPr>
              <w:jc w:val="right"/>
              <w:ind w:right="113"/>
              <w:spacing w:after="0"/>
              <w:rPr>
                <w:sz w:val="20"/>
                <w:szCs w:val="20"/>
                <w:color w:val="auto"/>
              </w:rPr>
            </w:pPr>
            <w:r>
              <w:rPr>
                <w:rFonts w:ascii="Arial" w:cs="Arial" w:eastAsia="Arial" w:hAnsi="Arial"/>
                <w:sz w:val="14"/>
                <w:szCs w:val="14"/>
                <w:b w:val="1"/>
                <w:bCs w:val="1"/>
                <w:color w:val="auto"/>
              </w:rPr>
              <w:t>and Services</w:t>
            </w: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2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2,519</w:t>
            </w:r>
          </w:p>
        </w:tc>
        <w:tc>
          <w:tcPr>
            <w:tcW w:w="3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30"/>
        </w:trPr>
        <w:tc>
          <w:tcPr>
            <w:tcW w:w="4220" w:type="dxa"/>
            <w:vAlign w:val="bottom"/>
          </w:tcPr>
          <w:p>
            <w:pPr>
              <w:ind w:left="140"/>
              <w:spacing w:after="0"/>
              <w:rPr>
                <w:sz w:val="20"/>
                <w:szCs w:val="20"/>
                <w:color w:val="auto"/>
              </w:rPr>
            </w:pPr>
            <w:r>
              <w:rPr>
                <w:rFonts w:ascii="Arial" w:cs="Arial" w:eastAsia="Arial" w:hAnsi="Arial"/>
                <w:sz w:val="18"/>
                <w:szCs w:val="18"/>
                <w:color w:val="auto"/>
              </w:rPr>
              <w:t>Reallocation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351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Balance as of January 1, 2024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2,870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7,587</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8"/>
                <w:szCs w:val="18"/>
                <w:i w:val="1"/>
                <w:iCs w:val="1"/>
                <w:color w:val="auto"/>
              </w:rPr>
              <w:t>Activity in 2024</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and other</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220" w:type="dxa"/>
            <w:vAlign w:val="bottom"/>
          </w:tcPr>
          <w:p>
            <w:pPr>
              <w:ind w:left="140"/>
              <w:spacing w:after="0"/>
              <w:rPr>
                <w:sz w:val="20"/>
                <w:szCs w:val="20"/>
                <w:color w:val="auto"/>
              </w:rPr>
            </w:pPr>
            <w:r>
              <w:rPr>
                <w:rFonts w:ascii="Arial" w:cs="Arial" w:eastAsia="Arial" w:hAnsi="Arial"/>
                <w:sz w:val="18"/>
                <w:szCs w:val="18"/>
                <w:b w:val="1"/>
                <w:bCs w:val="1"/>
                <w:color w:val="auto"/>
              </w:rPr>
              <w:t>Balance as of June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2,848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Company has applied the acquisition method of accounting in accordance with ASC 805 and recognized assets acquired and liabilities assumed of Evoqua at their fair value as of the date of acquisition, with the excess purchase consideration recorded to goodwill. We have allocated goodwill to segments of the Company that are expected to benefit from the synergies of the acquisition.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other intangible assets is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rPr>
              <w:t>December 31, 2023</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2"/>
                <w:szCs w:val="12"/>
                <w:color w:val="auto"/>
              </w:rPr>
            </w:pP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4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2"/>
                <w:szCs w:val="12"/>
                <w:color w:val="auto"/>
              </w:rPr>
            </w:pPr>
          </w:p>
        </w:tc>
        <w:tc>
          <w:tcPr>
            <w:tcW w:w="1140" w:type="dxa"/>
            <w:vAlign w:val="bottom"/>
            <w:gridSpan w:val="2"/>
          </w:tcPr>
          <w:p>
            <w:pPr>
              <w:ind w:left="120"/>
              <w:spacing w:after="0" w:line="143" w:lineRule="exact"/>
              <w:rPr>
                <w:sz w:val="20"/>
                <w:szCs w:val="20"/>
                <w:color w:val="auto"/>
              </w:rPr>
            </w:pPr>
            <w:r>
              <w:rPr>
                <w:rFonts w:ascii="Arial" w:cs="Arial" w:eastAsia="Arial" w:hAnsi="Arial"/>
                <w:sz w:val="14"/>
                <w:szCs w:val="14"/>
                <w:color w:val="auto"/>
              </w:rPr>
              <w:t>Carrying</w:t>
            </w:r>
          </w:p>
        </w:tc>
        <w:tc>
          <w:tcPr>
            <w:tcW w:w="160" w:type="dxa"/>
            <w:vAlign w:val="bottom"/>
          </w:tcPr>
          <w:p>
            <w:pPr>
              <w:spacing w:after="0"/>
              <w:rPr>
                <w:sz w:val="12"/>
                <w:szCs w:val="12"/>
                <w:color w:val="auto"/>
              </w:rPr>
            </w:pPr>
          </w:p>
        </w:tc>
        <w:tc>
          <w:tcPr>
            <w:tcW w:w="1220" w:type="dxa"/>
            <w:vAlign w:val="bottom"/>
            <w:gridSpan w:val="2"/>
          </w:tcPr>
          <w:p>
            <w:pPr>
              <w:ind w:left="60"/>
              <w:spacing w:after="0" w:line="14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2"/>
                <w:szCs w:val="12"/>
                <w:color w:val="auto"/>
              </w:rPr>
            </w:pPr>
          </w:p>
        </w:tc>
        <w:tc>
          <w:tcPr>
            <w:tcW w:w="1060" w:type="dxa"/>
            <w:vAlign w:val="bottom"/>
          </w:tcPr>
          <w:p>
            <w:pPr>
              <w:jc w:val="right"/>
              <w:ind w:right="434"/>
              <w:spacing w:after="0" w:line="143"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Intangibles</w:t>
            </w:r>
          </w:p>
        </w:tc>
        <w:tc>
          <w:tcPr>
            <w:tcW w:w="24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6"/>
                <w:szCs w:val="16"/>
                <w:color w:val="auto"/>
              </w:rPr>
            </w:pPr>
          </w:p>
        </w:tc>
        <w:tc>
          <w:tcPr>
            <w:tcW w:w="1060" w:type="dxa"/>
            <w:vAlign w:val="bottom"/>
          </w:tcPr>
          <w:p>
            <w:pPr>
              <w:jc w:val="right"/>
              <w:ind w:right="194"/>
              <w:spacing w:after="0"/>
              <w:rPr>
                <w:sz w:val="20"/>
                <w:szCs w:val="20"/>
                <w:color w:val="auto"/>
              </w:rPr>
            </w:pPr>
            <w:r>
              <w:rPr>
                <w:rFonts w:ascii="Arial" w:cs="Arial" w:eastAsia="Arial" w:hAnsi="Arial"/>
                <w:sz w:val="14"/>
                <w:szCs w:val="14"/>
                <w:color w:val="auto"/>
              </w:rPr>
              <w:t>Intangibles</w:t>
            </w:r>
          </w:p>
        </w:tc>
        <w:tc>
          <w:tcPr>
            <w:tcW w:w="0" w:type="dxa"/>
            <w:vAlign w:val="bottom"/>
          </w:tcPr>
          <w:p>
            <w:pPr>
              <w:spacing w:after="0"/>
              <w:rPr>
                <w:sz w:val="1"/>
                <w:szCs w:val="1"/>
                <w:color w:val="auto"/>
              </w:rPr>
            </w:pPr>
          </w:p>
        </w:tc>
      </w:tr>
      <w:tr>
        <w:trPr>
          <w:trHeight w:val="155"/>
        </w:trPr>
        <w:tc>
          <w:tcPr>
            <w:tcW w:w="30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Customer and distributor</w:t>
            </w:r>
          </w:p>
        </w:tc>
        <w:tc>
          <w:tcPr>
            <w:tcW w:w="22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2,150</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1,625</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relationships</w:t>
            </w:r>
          </w:p>
        </w:tc>
        <w:tc>
          <w:tcPr>
            <w:tcW w:w="220" w:type="dxa"/>
            <w:vAlign w:val="bottom"/>
            <w:vMerge w:val="continue"/>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10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Proprietary technology and patents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060" w:type="dxa"/>
            <w:vAlign w:val="bottom"/>
          </w:tcPr>
          <w:p>
            <w:pPr>
              <w:ind w:left="20"/>
              <w:spacing w:after="0"/>
              <w:rPr>
                <w:sz w:val="20"/>
                <w:szCs w:val="20"/>
                <w:color w:val="auto"/>
              </w:rPr>
            </w:pPr>
            <w:r>
              <w:rPr>
                <w:rFonts w:ascii="Arial" w:cs="Arial" w:eastAsia="Arial" w:hAnsi="Arial"/>
                <w:sz w:val="18"/>
                <w:szCs w:val="18"/>
                <w:color w:val="auto"/>
              </w:rPr>
              <w:t>Indefinite-lived intangibles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2,374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w:t>
            </w:r>
          </w:p>
        </w:tc>
        <w:tc>
          <w:tcPr>
            <w:tcW w:w="0" w:type="dxa"/>
            <w:vAlign w:val="bottom"/>
          </w:tcPr>
          <w:p>
            <w:pPr>
              <w:spacing w:after="0"/>
              <w:rPr>
                <w:sz w:val="1"/>
                <w:szCs w:val="1"/>
                <w:color w:val="auto"/>
              </w:rPr>
            </w:pP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Amortization expense related to finite-lived intangible assets was $83 million and $156 million for the three and six-month periods ended June 30, 2024, respectively, and $51 million and $83 million for the three and six-month periods ended June 30, 2023, respectively.</w:t>
      </w:r>
    </w:p>
    <w:p>
      <w:pPr>
        <w:spacing w:after="0" w:line="4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color w:val="auto"/>
        </w:rPr>
        <w:t>During the second quarter of 2024, we recognized $13 million in impairment charges primarily related to customer relationships and trademarks due to restructuring actions within our Water Solutions and Services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color w:val="auto"/>
        </w:rPr>
        <w:t>During the first quarter of 2024, we recognized a $1 million impairment charge for internally developed software within Corporate.</w:t>
      </w:r>
    </w:p>
    <w:p>
      <w:pPr>
        <w:spacing w:after="0" w:line="117" w:lineRule="exact"/>
        <w:rPr>
          <w:sz w:val="20"/>
          <w:szCs w:val="20"/>
          <w:color w:val="auto"/>
        </w:rPr>
      </w:pPr>
    </w:p>
    <w:p>
      <w:pPr>
        <w:jc w:val="both"/>
        <w:ind w:right="460"/>
        <w:spacing w:after="0" w:line="287" w:lineRule="auto"/>
        <w:rPr>
          <w:sz w:val="20"/>
          <w:szCs w:val="20"/>
          <w:color w:val="auto"/>
        </w:rPr>
      </w:pPr>
      <w:r>
        <w:rPr>
          <w:rFonts w:ascii="Arial" w:cs="Arial" w:eastAsia="Arial" w:hAnsi="Arial"/>
          <w:sz w:val="18"/>
          <w:szCs w:val="18"/>
          <w:color w:val="auto"/>
        </w:rPr>
        <w:t>During 2023, we determined that internally developed in-process software within our Measurement and Control Solutions segment was impaired as a result of actions taken to prioritize strategic investments and we therefore recognized an impairment charge of $2 million.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Objective of Using Derivatives</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spacing w:after="0" w:line="71" w:lineRule="exact"/>
        <w:rPr>
          <w:sz w:val="20"/>
          <w:szCs w:val="20"/>
          <w:color w:val="auto"/>
        </w:rPr>
      </w:pPr>
    </w:p>
    <w:p>
      <w:pPr>
        <w:ind w:right="840"/>
        <w:spacing w:after="0" w:line="287" w:lineRule="auto"/>
        <w:rPr>
          <w:sz w:val="20"/>
          <w:szCs w:val="20"/>
          <w:color w:val="auto"/>
        </w:rPr>
      </w:pPr>
      <w:r>
        <w:rPr>
          <w:rFonts w:ascii="Arial" w:cs="Arial" w:eastAsia="Arial" w:hAnsi="Arial"/>
          <w:sz w:val="18"/>
          <w:szCs w:val="18"/>
          <w:color w:val="auto"/>
        </w:rPr>
        <w:t>As a result of Evoqua terminating their interest rate swaps prior to the Company completing the acquisition, the Company received $38 million in proceeds during the second quarter of 2023 from the termination of the interest rate swaps.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 of Foreign Exchange Risk</w:t>
      </w:r>
    </w:p>
    <w:p>
      <w:pPr>
        <w:spacing w:after="0" w:line="11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Polish Zloty, and Australian Dollar. We had foreign exchange contracts with purchased notional amounts totaling $323 million and $29 million as of June 30, 2024 and December 31, 2023, respectively. As of June 30, 2024, our most significant foreign currency derivatives included contracts to sell U.S. Dollar and purchase Euro, purchase Swedish Krona and sell Euro, sell British Pound and purchase Euro, sell Canadian Dollar and purchase Euro, purchase Polish Zloty and sell Euro, sell Canadian Dollar and purchase U.S. Dollar, sell Australian Dollar and purchase Euro, and purchase Canadian Dollar and sell U.S. Dollar. The purchased notional amounts associated with these currency derivatives are $115 million, $96 million, $ 41 million, $22 million, $18 million, $ 15 million, $ 13 million, and $3 million, respectively. As of December 31, 2023, our most significant foreign currency derivatives included contracts to purchase U.S. Dollar and sell Chinese Yuan and to purchase U.S. Dollar and sell Canadian Dollar. The purchased notional amounts associated with these currency derivatives were $19 million and $10 million,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Hedges of Net Investments in Foreign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changes in foreign currencies impacting our net investments held in foreign subsidiaries.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Swaps</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$1,626 million and $1,691 million as of June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ind w:right="20"/>
        <w:spacing w:after="0" w:line="268" w:lineRule="auto"/>
        <w:rPr>
          <w:sz w:val="20"/>
          <w:szCs w:val="20"/>
          <w:color w:val="auto"/>
        </w:rPr>
      </w:pPr>
      <w:r>
        <w:rPr>
          <w:rFonts w:ascii="Arial" w:cs="Arial" w:eastAsia="Arial" w:hAnsi="Arial"/>
          <w:sz w:val="18"/>
          <w:szCs w:val="18"/>
          <w:color w:val="auto"/>
        </w:rPr>
        <w:t>The table below presents the effect of our derivative financial instruments on the Condensed Consolidated Income Statements and Statements of Comprehensive Income. Items in the table below reflect changes in "Other comprehensive loss" ("OCL") within the Statements of Comprehensive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7"/>
                <w:szCs w:val="17"/>
                <w:color w:val="auto"/>
              </w:rPr>
            </w:pPr>
          </w:p>
        </w:tc>
        <w:tc>
          <w:tcPr>
            <w:tcW w:w="212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97"/>
        </w:trPr>
        <w:tc>
          <w:tcPr>
            <w:tcW w:w="6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2023</w:t>
            </w:r>
          </w:p>
        </w:tc>
        <w:tc>
          <w:tcPr>
            <w:tcW w:w="2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2023</w:t>
            </w:r>
          </w:p>
        </w:tc>
      </w:tr>
      <w:tr>
        <w:trPr>
          <w:trHeight w:val="211"/>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Foreign Exchange Contracts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(loss) gain recognized in OCL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240" w:type="dxa"/>
            <w:vAlign w:val="bottom"/>
          </w:tcPr>
          <w:p>
            <w:pPr>
              <w:ind w:left="240"/>
              <w:spacing w:after="0"/>
              <w:rPr>
                <w:sz w:val="20"/>
                <w:szCs w:val="20"/>
                <w:color w:val="auto"/>
              </w:rPr>
            </w:pPr>
            <w:r>
              <w:rPr>
                <w:rFonts w:ascii="Arial" w:cs="Arial" w:eastAsia="Arial" w:hAnsi="Arial"/>
                <w:sz w:val="18"/>
                <w:szCs w:val="18"/>
                <w:color w:val="auto"/>
              </w:rPr>
              <w:t>Amount of (gain) loss reclassified from OCL into Revenue</w:t>
            </w:r>
          </w:p>
        </w:tc>
        <w:tc>
          <w:tcPr>
            <w:tcW w:w="2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reclassified from OCL into Cost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6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6240" w:type="dxa"/>
            <w:vAlign w:val="bottom"/>
          </w:tcPr>
          <w:p>
            <w:pPr>
              <w:ind w:left="140"/>
              <w:spacing w:after="0"/>
              <w:rPr>
                <w:sz w:val="20"/>
                <w:szCs w:val="20"/>
                <w:color w:val="auto"/>
              </w:rPr>
            </w:pPr>
            <w:r>
              <w:rPr>
                <w:rFonts w:ascii="Arial" w:cs="Arial" w:eastAsia="Arial" w:hAnsi="Arial"/>
                <w:sz w:val="18"/>
                <w:szCs w:val="18"/>
                <w:b w:val="1"/>
                <w:bCs w:val="1"/>
                <w:color w:val="auto"/>
              </w:rPr>
              <w:t>Cross-Currency Swaps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Amount of gain (loss) recognized in OCL</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7"/>
        </w:trPr>
        <w:tc>
          <w:tcPr>
            <w:tcW w:w="6240" w:type="dxa"/>
            <w:vAlign w:val="bottom"/>
          </w:tcPr>
          <w:p>
            <w:pPr>
              <w:ind w:left="240"/>
              <w:spacing w:after="0"/>
              <w:rPr>
                <w:sz w:val="20"/>
                <w:szCs w:val="20"/>
                <w:color w:val="auto"/>
              </w:rPr>
            </w:pPr>
            <w:r>
              <w:rPr>
                <w:rFonts w:ascii="Arial" w:cs="Arial" w:eastAsia="Arial" w:hAnsi="Arial"/>
                <w:sz w:val="18"/>
                <w:szCs w:val="18"/>
                <w:color w:val="auto"/>
              </w:rPr>
              <w:t>Amount of income recognized in Interest expense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$4 million of net losses on cash flow hedges are expected to be reclassified into earnings in the next 12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2024, no gains or losses on the net investment hedges are expected to be reclassified into earnings over their duration.</w:t>
      </w:r>
    </w:p>
    <w:p>
      <w:pPr>
        <w:spacing w:after="0" w:line="11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fair values of our derivative assets and liabilities are measured on a recurring basis using Level 2 inputs and are determined through the use of models that consider various assumptions including yield curves, time value and other measurements.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contracts currently included in our hedging program were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480" w:type="dxa"/>
            <w:vAlign w:val="bottom"/>
          </w:tcPr>
          <w:p>
            <w:pPr>
              <w:jc w:val="right"/>
              <w:ind w:right="336"/>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77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09"/>
        </w:trPr>
        <w:tc>
          <w:tcPr>
            <w:tcW w:w="7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4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Cash Flow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60" w:type="dxa"/>
            <w:vAlign w:val="bottom"/>
          </w:tcPr>
          <w:p>
            <w:pPr>
              <w:ind w:left="240"/>
              <w:spacing w:after="0"/>
              <w:rPr>
                <w:sz w:val="20"/>
                <w:szCs w:val="20"/>
                <w:color w:val="auto"/>
              </w:rPr>
            </w:pPr>
            <w:r>
              <w:rPr>
                <w:rFonts w:ascii="Arial" w:cs="Arial" w:eastAsia="Arial" w:hAnsi="Arial"/>
                <w:sz w:val="18"/>
                <w:szCs w:val="18"/>
                <w:i w:val="1"/>
                <w:iCs w:val="1"/>
                <w:color w:val="auto"/>
              </w:rPr>
              <w:t>Net Investment Hedges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accrued liabilities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total Accrued and other current liabilities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80" w:type="dxa"/>
            <w:vAlign w:val="bottom"/>
          </w:tcPr>
          <w:p>
            <w:pPr>
              <w:jc w:val="right"/>
              <w:ind w:right="194"/>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1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Compensation and other employee-benefits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9"/>
        </w:trPr>
        <w:tc>
          <w:tcPr>
            <w:tcW w:w="8180" w:type="dxa"/>
            <w:vAlign w:val="bottom"/>
          </w:tcPr>
          <w:p>
            <w:pPr>
              <w:ind w:left="140"/>
              <w:spacing w:after="0"/>
              <w:rPr>
                <w:sz w:val="20"/>
                <w:szCs w:val="20"/>
                <w:color w:val="auto"/>
              </w:rPr>
            </w:pPr>
            <w:r>
              <w:rPr>
                <w:rFonts w:ascii="Arial" w:cs="Arial" w:eastAsia="Arial" w:hAnsi="Arial"/>
                <w:sz w:val="18"/>
                <w:szCs w:val="18"/>
                <w:color w:val="auto"/>
              </w:rPr>
              <w:t>Customer-related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taxes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warranty costs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The total outstanding balance presented within "Accounts payable" on our Condensed Consolidated Balance Sheets under these programs is $250 million and $176 million as of June 30, 2024 and December 31, 2023,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changes in the confirmed obligations outstanding related to our supplier financing programs over each period: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7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1193"/>
              <w:spacing w:after="0"/>
              <w:rPr>
                <w:sz w:val="20"/>
                <w:szCs w:val="20"/>
                <w:color w:val="auto"/>
              </w:rPr>
            </w:pPr>
            <w:r>
              <w:rPr>
                <w:rFonts w:ascii="Arial" w:cs="Arial" w:eastAsia="Arial" w:hAnsi="Arial"/>
                <w:sz w:val="14"/>
                <w:szCs w:val="14"/>
                <w:b w:val="1"/>
                <w:bCs w:val="1"/>
                <w:color w:val="auto"/>
              </w:rPr>
              <w:t>2024</w:t>
            </w:r>
          </w:p>
        </w:tc>
      </w:tr>
      <w:tr>
        <w:trPr>
          <w:trHeight w:val="257"/>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January 1</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r>
      <w:tr>
        <w:trPr>
          <w:trHeight w:val="257"/>
        </w:trPr>
        <w:tc>
          <w:tcPr>
            <w:tcW w:w="8360" w:type="dxa"/>
            <w:vAlign w:val="bottom"/>
          </w:tcPr>
          <w:p>
            <w:pPr>
              <w:ind w:left="140"/>
              <w:spacing w:after="0"/>
              <w:rPr>
                <w:sz w:val="20"/>
                <w:szCs w:val="20"/>
                <w:color w:val="auto"/>
              </w:rPr>
            </w:pPr>
            <w:r>
              <w:rPr>
                <w:rFonts w:ascii="Arial" w:cs="Arial" w:eastAsia="Arial" w:hAnsi="Arial"/>
                <w:sz w:val="18"/>
                <w:szCs w:val="18"/>
                <w:color w:val="auto"/>
              </w:rPr>
              <w:t>Invoices confirmed</w:t>
            </w:r>
          </w:p>
        </w:tc>
        <w:tc>
          <w:tcPr>
            <w:tcW w:w="700" w:type="dxa"/>
            <w:vAlign w:val="bottom"/>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537</w:t>
            </w:r>
          </w:p>
        </w:tc>
      </w:tr>
      <w:tr>
        <w:trPr>
          <w:trHeight w:val="256"/>
        </w:trPr>
        <w:tc>
          <w:tcPr>
            <w:tcW w:w="8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Confirmed invoices paid</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(461)</w:t>
            </w:r>
          </w:p>
        </w:tc>
      </w:tr>
      <w:tr>
        <w:trPr>
          <w:trHeight w:val="257"/>
        </w:trPr>
        <w:tc>
          <w:tcPr>
            <w:tcW w:w="8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currency and other</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Confirmed obligations outstanding – June 30</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12. Credit Facilities and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debt outstanding is summarized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220" w:type="dxa"/>
            <w:vAlign w:val="bottom"/>
          </w:tcPr>
          <w:p>
            <w:pPr>
              <w:jc w:val="right"/>
              <w:ind w:right="173"/>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83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3.250% Senior Notes due 2026 (a)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1.950% Senior Notes due 2028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2.250% Senior Notes due 2031 (a)</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8360" w:type="dxa"/>
            <w:vAlign w:val="bottom"/>
          </w:tcPr>
          <w:p>
            <w:pPr>
              <w:ind w:left="360"/>
              <w:spacing w:after="0"/>
              <w:rPr>
                <w:sz w:val="20"/>
                <w:szCs w:val="20"/>
                <w:color w:val="auto"/>
              </w:rPr>
            </w:pPr>
            <w:r>
              <w:rPr>
                <w:rFonts w:ascii="Arial" w:cs="Arial" w:eastAsia="Arial" w:hAnsi="Arial"/>
                <w:sz w:val="18"/>
                <w:szCs w:val="18"/>
                <w:color w:val="auto"/>
              </w:rPr>
              <w:t>4.375% Senior Notes due 2046 (a)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Equipment Financing due 2024 to 2032</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360" w:type="dxa"/>
            <w:vAlign w:val="bottom"/>
          </w:tcPr>
          <w:p>
            <w:pPr>
              <w:ind w:left="360"/>
              <w:spacing w:after="0"/>
              <w:rPr>
                <w:sz w:val="20"/>
                <w:szCs w:val="20"/>
                <w:color w:val="auto"/>
              </w:rPr>
            </w:pPr>
            <w:r>
              <w:rPr>
                <w:rFonts w:ascii="Arial" w:cs="Arial" w:eastAsia="Arial" w:hAnsi="Arial"/>
                <w:sz w:val="18"/>
                <w:szCs w:val="18"/>
                <w:color w:val="auto"/>
              </w:rPr>
              <w:t>Term loan</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 and unamortized discount (b)</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1,998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short-term borrowings and current maturities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 w:hanging="332"/>
        <w:spacing w:after="0" w:line="260"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fair value of our Senior Notes was determined using quoted prices in active markets for identical securities, which are considered Level 1 inputs. The fair value of our Senior Notes due 2026 was $478 million and $482 million as of June 30, 2024 and December 31, 2023, respectively. The fair value of our Senior Notes due 2028 was $449 million and $453 million as of June 30, 2024 and December 31, 2023, respectively. The fair value of our Senior Notes due 2031 was $420 million and $429 million as of June 30, 2024 and December 31, 2023, respectively. The fair value of our Senior Notes due 2046 was $335 million and $349 million as of June 30, 2024 and December 31, 2023, respectively.</w:t>
      </w:r>
    </w:p>
    <w:p>
      <w:pPr>
        <w:spacing w:after="0" w:line="83"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w:t>
      </w:r>
    </w:p>
    <w:p>
      <w:pPr>
        <w:spacing w:after="0" w:line="6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w:t>
      </w:r>
    </w:p>
    <w:p>
      <w:pPr>
        <w:spacing w:after="0" w:line="68"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spacing w:after="0" w:line="45"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Interest on the Green Bond is payable on January 30 and July 30 of each year. As of June 30, 2024, we are in compliance with all covenants for the Green Bond.</w:t>
      </w:r>
    </w:p>
    <w:p>
      <w:pPr>
        <w:spacing w:after="0" w:line="45"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2026, the “Senior Notes”).</w:t>
      </w:r>
    </w:p>
    <w:p>
      <w:pPr>
        <w:spacing w:after="0" w:line="6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also redeem the Senior Notes in certain other circumstances, as set forth in the applicable Senior Notes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300"/>
        <w:spacing w:after="0" w:line="287" w:lineRule="auto"/>
        <w:rPr>
          <w:sz w:val="20"/>
          <w:szCs w:val="20"/>
          <w:color w:val="auto"/>
        </w:rPr>
      </w:pPr>
      <w:r>
        <w:rPr>
          <w:rFonts w:ascii="Arial" w:cs="Arial" w:eastAsia="Arial" w:hAnsi="Arial"/>
          <w:sz w:val="18"/>
          <w:szCs w:val="18"/>
          <w:color w:val="auto"/>
        </w:rPr>
        <w:t>If a change of control triggering event (as defined in the applicable Senior Notes indenture) occurs, we will be required to make an offer to purchase the Senior Notes at a price equal to 101% of their principal amount plus accrued and unpaid interest to the date of repurchase.</w:t>
      </w:r>
    </w:p>
    <w:p>
      <w:pPr>
        <w:spacing w:after="0" w:line="4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Interest on the Senior Notes due 2026 and the Senior Notes due 2046 is payable on May 1 and November 1 of each year. As of June 30, 2024, we are in compliance with all covenants for the Senior Notes.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Five-Year Revolving Credit Facility</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March 5, 2019, Xylem entered into a Five-Year Revolving Credit Facility (the “2019 Credit Facility”) with Citibank, N.A., as Administrative Agent, and a syndicate of lenders. The 2019 Credit Facility provided for an aggregate principal amount of up to $800 million (available in U.S. Dollars and in Euros), with increases of up to $200 million for a maximum aggregate principal amount of $ 1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2023 Five-Year Revolving Credit Facility</w:t>
      </w:r>
    </w:p>
    <w:p>
      <w:pPr>
        <w:spacing w:after="0" w:line="11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spacing w:after="0" w:line="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June 30, 2024, the 2023 Credit Facility was undrawn, and we are in compliance with all revolver covenants. The 2023 Credit Facility has availability of $1 billion, comprised of the $1 billion aggregate principal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Term Loan Facility</w:t>
      </w:r>
    </w:p>
    <w:p>
      <w:pPr>
        <w:spacing w:after="0" w:line="11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9, 2023, the Company’s subsidiary, Xylem Europe GmbH (the “Borrower”) entered into a twenty four-month €250 million (approximately $270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and future obligations of the borrower under the Term Loan Agreement. The net cash proceeds were used to repay a portion of Evoqua’s indebtedness pursuant to the Merger Agreement.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On April 19, 2024 our Term Loan Facility was settled with cash on hand for a total of €250 million ($268 million).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w:t>
      </w:r>
    </w:p>
    <w:p>
      <w:pPr>
        <w:spacing w:after="0" w:line="11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As a result of the Evoqua acquisition, the Company has secured financing agreements that require providing a security interest in specified equipment and, in some cases, the underlying contract and related receivables. As of June 30, 2024, the gross and net amounts of those assets are included on the Consolidated Balance Sheets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 2024</w:t>
            </w:r>
          </w:p>
        </w:tc>
        <w:tc>
          <w:tcPr>
            <w:tcW w:w="1120" w:type="dxa"/>
            <w:vAlign w:val="bottom"/>
            <w:tcBorders>
              <w:bottom w:val="single" w:sz="8" w:color="auto"/>
            </w:tcBorders>
          </w:tcPr>
          <w:p>
            <w:pPr>
              <w:spacing w:after="0"/>
              <w:rPr>
                <w:sz w:val="20"/>
                <w:szCs w:val="20"/>
                <w:color w:val="auto"/>
              </w:rPr>
            </w:pPr>
          </w:p>
        </w:tc>
      </w:tr>
      <w:tr>
        <w:trPr>
          <w:trHeight w:val="223"/>
        </w:trPr>
        <w:tc>
          <w:tcPr>
            <w:tcW w:w="7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9"/>
                <w:szCs w:val="19"/>
                <w:color w:val="auto"/>
              </w:rPr>
            </w:pPr>
          </w:p>
        </w:tc>
        <w:tc>
          <w:tcPr>
            <w:tcW w:w="1580" w:type="dxa"/>
            <w:vAlign w:val="bottom"/>
            <w:gridSpan w:val="2"/>
          </w:tcPr>
          <w:p>
            <w:pPr>
              <w:ind w:left="240"/>
              <w:spacing w:after="0"/>
              <w:rPr>
                <w:sz w:val="20"/>
                <w:szCs w:val="20"/>
                <w:color w:val="auto"/>
              </w:rPr>
            </w:pPr>
            <w:r>
              <w:rPr>
                <w:rFonts w:ascii="Arial" w:cs="Arial" w:eastAsia="Arial" w:hAnsi="Arial"/>
                <w:sz w:val="18"/>
                <w:szCs w:val="18"/>
                <w:b w:val="1"/>
                <w:bCs w:val="1"/>
                <w:color w:val="auto"/>
              </w:rPr>
              <w:t>Gross</w:t>
            </w:r>
          </w:p>
        </w:tc>
        <w:tc>
          <w:tcPr>
            <w:tcW w:w="600" w:type="dxa"/>
            <w:vAlign w:val="bottom"/>
          </w:tcPr>
          <w:p>
            <w:pPr>
              <w:spacing w:after="0"/>
              <w:rPr>
                <w:sz w:val="19"/>
                <w:szCs w:val="19"/>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b w:val="1"/>
                <w:bCs w:val="1"/>
                <w:color w:val="auto"/>
              </w:rPr>
              <w:t>Net</w:t>
            </w:r>
          </w:p>
        </w:tc>
      </w:tr>
      <w:tr>
        <w:trPr>
          <w:trHeight w:val="223"/>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7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and other current assets</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48"/>
        </w:trPr>
        <w:tc>
          <w:tcPr>
            <w:tcW w:w="75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Paper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Dollar Commercial Paper Program</w:t>
      </w:r>
    </w:p>
    <w:p>
      <w:pPr>
        <w:spacing w:after="0" w:line="1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U.S. Dollar commercial paper program generally serves as a means of short-term funding with a $600 million maximum issuing balance and a combined limit of $1 billion inclusive of the 2023 Credit Facility. As of June 30, 2024 and December 31, 2023, none of the Company's $600 million U.S. Dollar commercial paper program was outstanding, respectively. The net cash proceeds from issuance of commercial paper were used to repay a portion of Evoqua’s indebtedness pursuant to the Merger Agreement. We have the ability to continue borrowing under this program going forward in future periods.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 Commercial Paper Program</w:t>
      </w:r>
    </w:p>
    <w:p>
      <w:pPr>
        <w:spacing w:after="0" w:line="11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On June 3, 2019, Xylem entered into a Euro commercial paper program with ING Bank N.V., as administrative agent, and a syndicate of dealers. The Euro commercial paper program provides for a maximum issuing balance of up to €500 million (approximately $535 million) which may be denominated in a variety of currencies. The maximum issuing balance may be increased in accordance with the Dealer Agreement. As of June 30, 2024 and December 31, 2023, none of the Company's Euro commercial paper program was outstanding. We have the ability to continue borrowing under this program going forward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Receivables Securitization Program</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 “Sale and Contribution Agreement”) among Evoqua Finance, as purchaser, EWT LLC, as initial servicer and as an originator, and Neptune Benson, Inc., an indirectly wholly-owned subsidiary of the Company, as an originator (together with EWT LLC, the “Originators”), and (iii) a 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p>
    <w:p>
      <w:pPr>
        <w:spacing w:after="0" w:line="7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w:t>
      </w:r>
    </w:p>
    <w:p>
      <w:pPr>
        <w:spacing w:after="0" w:line="68"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Post-retirement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our defined benefit pension plans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7"/>
                <w:szCs w:val="17"/>
                <w:color w:val="auto"/>
              </w:rPr>
            </w:pPr>
          </w:p>
        </w:tc>
        <w:tc>
          <w:tcPr>
            <w:tcW w:w="248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55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980" w:type="dxa"/>
            <w:vAlign w:val="bottom"/>
            <w:tcBorders>
              <w:bottom w:val="single" w:sz="8" w:color="auto"/>
            </w:tcBorders>
          </w:tcPr>
          <w:p>
            <w:pPr>
              <w:spacing w:after="0"/>
              <w:rPr>
                <w:sz w:val="17"/>
                <w:szCs w:val="17"/>
                <w:color w:val="auto"/>
              </w:rPr>
            </w:pPr>
          </w:p>
        </w:tc>
      </w:tr>
      <w:tr>
        <w:trPr>
          <w:trHeight w:val="196"/>
        </w:trPr>
        <w:tc>
          <w:tcPr>
            <w:tcW w:w="55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color w:val="auto"/>
              </w:rPr>
              <w:t>2023</w:t>
            </w:r>
          </w:p>
        </w:tc>
      </w:tr>
      <w:tr>
        <w:trPr>
          <w:trHeight w:val="212"/>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Domestic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Amortization of net actuarial loss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540" w:type="dxa"/>
            <w:vAlign w:val="bottom"/>
          </w:tcPr>
          <w:p>
            <w:pPr>
              <w:ind w:left="20"/>
              <w:spacing w:after="0"/>
              <w:rPr>
                <w:sz w:val="20"/>
                <w:szCs w:val="20"/>
                <w:color w:val="auto"/>
              </w:rPr>
            </w:pPr>
            <w:r>
              <w:rPr>
                <w:rFonts w:ascii="Arial" w:cs="Arial" w:eastAsia="Arial" w:hAnsi="Arial"/>
                <w:sz w:val="18"/>
                <w:szCs w:val="18"/>
                <w:b w:val="1"/>
                <w:bCs w:val="1"/>
                <w:color w:val="auto"/>
              </w:rPr>
              <w:t>International defined benefit pension plans: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54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return on plan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540" w:type="dxa"/>
            <w:vAlign w:val="bottom"/>
          </w:tcPr>
          <w:p>
            <w:pPr>
              <w:ind w:left="360"/>
              <w:spacing w:after="0"/>
              <w:rPr>
                <w:sz w:val="20"/>
                <w:szCs w:val="20"/>
                <w:color w:val="auto"/>
              </w:rPr>
            </w:pPr>
            <w:r>
              <w:rPr>
                <w:rFonts w:ascii="Arial" w:cs="Arial" w:eastAsia="Arial" w:hAnsi="Arial"/>
                <w:sz w:val="18"/>
                <w:szCs w:val="18"/>
                <w:color w:val="auto"/>
              </w:rPr>
              <w:t>Amortization of actuarial (gain) loss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periodic benefit cost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540" w:type="dxa"/>
            <w:vAlign w:val="bottom"/>
          </w:tcPr>
          <w:p>
            <w:pPr>
              <w:ind w:left="140"/>
              <w:spacing w:after="0"/>
              <w:rPr>
                <w:sz w:val="20"/>
                <w:szCs w:val="20"/>
                <w:color w:val="auto"/>
              </w:rPr>
            </w:pPr>
            <w:r>
              <w:rPr>
                <w:rFonts w:ascii="Arial" w:cs="Arial" w:eastAsia="Arial" w:hAnsi="Arial"/>
                <w:sz w:val="18"/>
                <w:szCs w:val="18"/>
                <w:b w:val="1"/>
                <w:bCs w:val="1"/>
                <w:color w:val="auto"/>
              </w:rPr>
              <w:t>Total net periodic benefit cost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5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"Other non-operating income, net" in the Condensed Consolidated Income Statements.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total net periodic benefit cost for other post-retirement employee benefit plans was less than $1 million, including net credits recognized into "Other comprehensive income (loss)" of less than $1 million, for both the three and six months ended June 30, 2024 and 2023,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contributed $7 million and $9 million to our defined benefit plans for the six months ended June 30, 2024 and 2023, respectively.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Additional contributions ranging between approximately $16 million and $20 million are expected to be made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14.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40" w:type="dxa"/>
            <w:vAlign w:val="bottom"/>
          </w:tcPr>
          <w:p>
            <w:pPr>
              <w:spacing w:after="0"/>
              <w:rPr>
                <w:sz w:val="16"/>
                <w:szCs w:val="16"/>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Non-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Controlling</w:t>
            </w:r>
          </w:p>
        </w:tc>
        <w:tc>
          <w:tcPr>
            <w:tcW w:w="20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Interest</w:t>
            </w:r>
          </w:p>
        </w:tc>
        <w:tc>
          <w:tcPr>
            <w:tcW w:w="2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2,601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10,176</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8,618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10,203</w:t>
            </w: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194</w:t>
            </w:r>
          </w:p>
        </w:tc>
        <w:tc>
          <w:tcPr>
            <w:tcW w:w="0" w:type="dxa"/>
            <w:vAlign w:val="bottom"/>
          </w:tcPr>
          <w:p>
            <w:pPr>
              <w:spacing w:after="0"/>
              <w:rPr>
                <w:sz w:val="1"/>
                <w:szCs w:val="1"/>
                <w:color w:val="auto"/>
              </w:rPr>
            </w:pPr>
          </w:p>
        </w:tc>
      </w:tr>
      <w:tr>
        <w:trPr>
          <w:trHeight w:val="176"/>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($0.36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640" w:type="dxa"/>
            <w:vAlign w:val="bottom"/>
            <w:gridSpan w:val="2"/>
          </w:tcPr>
          <w:p>
            <w:pPr>
              <w:ind w:left="1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23"/>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2,774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shows the changes in stockholders' equity for the six months ended June 30, 2023: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in</w:t>
            </w:r>
          </w:p>
        </w:tc>
        <w:tc>
          <w:tcPr>
            <w:tcW w:w="160" w:type="dxa"/>
            <w:vAlign w:val="bottom"/>
          </w:tcPr>
          <w:p>
            <w:pPr>
              <w:spacing w:after="0"/>
              <w:rPr>
                <w:sz w:val="16"/>
                <w:szCs w:val="16"/>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Retained</w:t>
            </w:r>
          </w:p>
        </w:tc>
        <w:tc>
          <w:tcPr>
            <w:tcW w:w="18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Accumulated Other</w:t>
            </w:r>
          </w:p>
        </w:tc>
        <w:tc>
          <w:tcPr>
            <w:tcW w:w="140" w:type="dxa"/>
            <w:vAlign w:val="bottom"/>
          </w:tcPr>
          <w:p>
            <w:pPr>
              <w:spacing w:after="0"/>
              <w:rPr>
                <w:sz w:val="16"/>
                <w:szCs w:val="16"/>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spacing w:after="0" w:line="162" w:lineRule="exact"/>
              <w:rPr>
                <w:sz w:val="20"/>
                <w:szCs w:val="20"/>
                <w:color w:val="auto"/>
              </w:rPr>
            </w:pPr>
            <w:r>
              <w:rPr>
                <w:rFonts w:ascii="Arial" w:cs="Arial" w:eastAsia="Arial" w:hAnsi="Arial"/>
                <w:sz w:val="16"/>
                <w:szCs w:val="16"/>
                <w:b w:val="1"/>
                <w:bCs w:val="1"/>
                <w:color w:val="auto"/>
              </w:rPr>
              <w:t>Excess of</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Comprehensive</w:t>
            </w:r>
          </w:p>
        </w:tc>
        <w:tc>
          <w:tcPr>
            <w:tcW w:w="1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Controlling</w:t>
            </w:r>
          </w:p>
        </w:tc>
        <w:tc>
          <w:tcPr>
            <w:tcW w:w="180" w:type="dxa"/>
            <w:vAlign w:val="bottom"/>
          </w:tcPr>
          <w:p>
            <w:pPr>
              <w:spacing w:after="0"/>
              <w:rPr>
                <w:sz w:val="14"/>
                <w:szCs w:val="14"/>
                <w:color w:val="auto"/>
              </w:rPr>
            </w:pPr>
          </w:p>
        </w:tc>
        <w:tc>
          <w:tcPr>
            <w:tcW w:w="70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Par Value</w:t>
            </w:r>
          </w:p>
        </w:tc>
        <w:tc>
          <w:tcPr>
            <w:tcW w:w="16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Earnings</w:t>
            </w:r>
          </w:p>
        </w:tc>
        <w:tc>
          <w:tcPr>
            <w:tcW w:w="2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Income (Loss)</w:t>
            </w:r>
          </w:p>
        </w:tc>
        <w:tc>
          <w:tcPr>
            <w:tcW w:w="140" w:type="dxa"/>
            <w:vAlign w:val="bottom"/>
          </w:tcPr>
          <w:p>
            <w:pPr>
              <w:spacing w:after="0"/>
              <w:rPr>
                <w:sz w:val="18"/>
                <w:szCs w:val="18"/>
                <w:color w:val="auto"/>
              </w:rPr>
            </w:pPr>
          </w:p>
        </w:tc>
        <w:tc>
          <w:tcPr>
            <w:tcW w:w="98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3,503</w:t>
            </w: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Other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229"/>
        </w:trPr>
        <w:tc>
          <w:tcPr>
            <w:tcW w:w="26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6"/>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2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40"/>
              <w:spacing w:after="0"/>
              <w:rPr>
                <w:sz w:val="20"/>
                <w:szCs w:val="20"/>
                <w:color w:val="auto"/>
              </w:rPr>
            </w:pPr>
            <w:r>
              <w:rPr>
                <w:rFonts w:ascii="Arial" w:cs="Arial" w:eastAsia="Arial" w:hAnsi="Arial"/>
                <w:sz w:val="18"/>
                <w:szCs w:val="18"/>
                <w:color w:val="auto"/>
              </w:rPr>
              <w:t>Issuance of common stock</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175"/>
        </w:trPr>
        <w:tc>
          <w:tcPr>
            <w:tcW w:w="26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Issuance of replacement</w:t>
            </w:r>
          </w:p>
        </w:tc>
        <w:tc>
          <w:tcPr>
            <w:tcW w:w="14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awards</w:t>
            </w:r>
          </w:p>
        </w:tc>
        <w:tc>
          <w:tcPr>
            <w:tcW w:w="14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4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660" w:type="dxa"/>
            <w:vAlign w:val="bottom"/>
          </w:tcPr>
          <w:p>
            <w:pPr>
              <w:ind w:left="140"/>
              <w:spacing w:after="0" w:line="176" w:lineRule="exact"/>
              <w:rPr>
                <w:sz w:val="20"/>
                <w:szCs w:val="20"/>
                <w:color w:val="auto"/>
              </w:rPr>
            </w:pPr>
            <w:r>
              <w:rPr>
                <w:rFonts w:ascii="Arial" w:cs="Arial" w:eastAsia="Arial" w:hAnsi="Arial"/>
                <w:sz w:val="18"/>
                <w:szCs w:val="18"/>
                <w:color w:val="auto"/>
              </w:rPr>
              <w:t>Dividends declared ($0.33 per</w:t>
            </w:r>
          </w:p>
        </w:tc>
        <w:tc>
          <w:tcPr>
            <w:tcW w:w="140" w:type="dxa"/>
            <w:vAlign w:val="bottom"/>
          </w:tcPr>
          <w:p>
            <w:pPr>
              <w:spacing w:after="0"/>
              <w:rPr>
                <w:sz w:val="15"/>
                <w:szCs w:val="15"/>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980" w:type="dxa"/>
            <w:vAlign w:val="bottom"/>
            <w:gridSpan w:val="2"/>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share)</w:t>
            </w:r>
          </w:p>
        </w:tc>
        <w:tc>
          <w:tcPr>
            <w:tcW w:w="14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incentive plan activity</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2"/>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Share-Based Compensation Plans</w:t>
      </w:r>
    </w:p>
    <w:p>
      <w:pPr>
        <w:spacing w:after="0" w:line="117"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Share-based compensation expense was $ 13 million and $ 31 million during the three and six months ended June 30, 2024, respectively, and $16 million and $27 million during the three and six months ended June 30, 2023, respectively. The unrecognized compensation expense related to our stock options, restricted stock units and performance share units was $8 million, $ 50 million and $19 million, respectively, at June 30, 2024 and is expected to be recognized over a weighted average period of 2.1, 2.1 and 2.2 years, respectively. The amount of cash received from the exercise of stock options was $63 million and $40 million for the six months ended June 30, 2024 and 2023, respectively.</w:t>
      </w:r>
    </w:p>
    <w:p>
      <w:pPr>
        <w:spacing w:after="0" w:line="56"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On May 24, 2023, there were an additional 2.7 million shares registered for issuance. As of June 30, 2024, there were approximately 5.3 million shares of common stock available for future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outstanding stock options for the six months ended June 30, 2024</w:t>
      </w:r>
      <w:r>
        <w:rPr>
          <w:rFonts w:ascii="Arial" w:cs="Arial" w:eastAsia="Arial" w:hAnsi="Arial"/>
          <w:sz w:val="16"/>
          <w:szCs w:val="16"/>
          <w:color w:val="auto"/>
        </w:rPr>
        <w: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1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550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Exercise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140" w:type="dxa"/>
            <w:vAlign w:val="bottom"/>
          </w:tcPr>
          <w:p>
            <w:pPr>
              <w:spacing w:after="0"/>
              <w:rPr>
                <w:sz w:val="12"/>
                <w:szCs w:val="12"/>
                <w:color w:val="auto"/>
              </w:rPr>
            </w:pPr>
          </w:p>
        </w:tc>
        <w:tc>
          <w:tcPr>
            <w:tcW w:w="11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55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Price / Share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Term (Years)</w:t>
            </w:r>
          </w:p>
        </w:tc>
        <w:tc>
          <w:tcPr>
            <w:tcW w:w="140" w:type="dxa"/>
            <w:vAlign w:val="bottom"/>
          </w:tcPr>
          <w:p>
            <w:pPr>
              <w:spacing w:after="0"/>
              <w:rPr>
                <w:sz w:val="16"/>
                <w:szCs w:val="16"/>
                <w:color w:val="auto"/>
              </w:rPr>
            </w:pPr>
          </w:p>
        </w:tc>
        <w:tc>
          <w:tcPr>
            <w:tcW w:w="1140" w:type="dxa"/>
            <w:vAlign w:val="bottom"/>
          </w:tcPr>
          <w:p>
            <w:pPr>
              <w:jc w:val="center"/>
              <w:ind w:right="58"/>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23"/>
        </w:trPr>
        <w:tc>
          <w:tcPr>
            <w:tcW w:w="55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127.94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and expired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82.91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0" w:type="dxa"/>
            <w:vAlign w:val="bottom"/>
          </w:tcPr>
          <w:p>
            <w:pPr>
              <w:spacing w:after="0"/>
              <w:rPr>
                <w:sz w:val="1"/>
                <w:szCs w:val="1"/>
                <w:color w:val="auto"/>
              </w:rPr>
            </w:pPr>
          </w:p>
        </w:tc>
      </w:tr>
      <w:tr>
        <w:trPr>
          <w:trHeight w:val="223"/>
        </w:trPr>
        <w:tc>
          <w:tcPr>
            <w:tcW w:w="5500" w:type="dxa"/>
            <w:vAlign w:val="bottom"/>
          </w:tcPr>
          <w:p>
            <w:pPr>
              <w:ind w:left="140"/>
              <w:spacing w:after="0"/>
              <w:rPr>
                <w:sz w:val="20"/>
                <w:szCs w:val="20"/>
                <w:color w:val="auto"/>
              </w:rPr>
            </w:pPr>
            <w:r>
              <w:rPr>
                <w:rFonts w:ascii="Arial" w:cs="Arial" w:eastAsia="Arial" w:hAnsi="Arial"/>
                <w:sz w:val="18"/>
                <w:szCs w:val="18"/>
                <w:b w:val="1"/>
                <w:bCs w:val="1"/>
                <w:color w:val="auto"/>
              </w:rPr>
              <w:t>Options exercisable at June 30, 2024</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859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71.02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55"/>
        </w:trPr>
        <w:tc>
          <w:tcPr>
            <w:tcW w:w="5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Vested and expected to vest as of June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81.65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total intrinsic value of options exercised (which is the amount by which the stock price exceeded the exercise price of the options on the date of exercise) during the six months ended June 30, 2024 was $71 million.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Fair Value</w:t>
      </w:r>
    </w:p>
    <w:p>
      <w:pPr>
        <w:spacing w:after="0" w:line="11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2024 grants:</w:t>
      </w:r>
    </w:p>
    <w:tbl>
      <w:tblPr>
        <w:tblLayout w:type="fixed"/>
        <w:tblInd w:w="0" w:type="dxa"/>
        <w:tblCellMar>
          <w:top w:w="0" w:type="dxa"/>
          <w:left w:w="0" w:type="dxa"/>
          <w:bottom w:w="0" w:type="dxa"/>
          <w:right w:w="0" w:type="dxa"/>
        </w:tblCellMar>
      </w:tblPr>
      <w:tr>
        <w:trPr>
          <w:trHeight w:val="230"/>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26.70</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4.18</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 yield</w:t>
            </w:r>
          </w:p>
        </w:tc>
        <w:tc>
          <w:tcPr>
            <w:tcW w:w="37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Expected term (in years)</w:t>
            </w:r>
          </w:p>
        </w:tc>
        <w:tc>
          <w:tcPr>
            <w:tcW w:w="37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Pr>
          <w:p>
            <w:pPr>
              <w:spacing w:after="0"/>
              <w:rPr>
                <w:sz w:val="19"/>
                <w:szCs w:val="19"/>
                <w:color w:val="auto"/>
              </w:rPr>
            </w:pPr>
          </w:p>
        </w:tc>
      </w:tr>
      <w:tr>
        <w:trPr>
          <w:trHeight w:val="229"/>
        </w:trPr>
        <w:tc>
          <w:tcPr>
            <w:tcW w:w="6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fair value / share</w:t>
            </w:r>
          </w:p>
        </w:tc>
        <w:tc>
          <w:tcPr>
            <w:tcW w:w="37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37.82</w:t>
            </w:r>
          </w:p>
        </w:tc>
        <w:tc>
          <w:tcPr>
            <w:tcW w:w="300" w:type="dxa"/>
            <w:vAlign w:val="bottom"/>
            <w:shd w:val="clear" w:color="auto" w:fill="CCEEFF"/>
          </w:tcPr>
          <w:p>
            <w:pPr>
              <w:spacing w:after="0"/>
              <w:rPr>
                <w:sz w:val="19"/>
                <w:szCs w:val="19"/>
                <w:color w:val="auto"/>
              </w:rPr>
            </w:pPr>
          </w:p>
        </w:tc>
      </w:tr>
    </w:tbl>
    <w:p>
      <w:pPr>
        <w:spacing w:after="0" w:line="1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5" w:lineRule="exact"/>
        <w:rPr>
          <w:sz w:val="20"/>
          <w:szCs w:val="20"/>
          <w:color w:val="auto"/>
        </w:rPr>
      </w:pPr>
    </w:p>
    <w:p>
      <w:pPr>
        <w:ind w:right="140"/>
        <w:spacing w:after="0" w:line="279" w:lineRule="auto"/>
        <w:rPr>
          <w:sz w:val="20"/>
          <w:szCs w:val="20"/>
          <w:color w:val="auto"/>
        </w:rPr>
      </w:pPr>
      <w:r>
        <w:rPr>
          <w:rFonts w:ascii="Arial" w:cs="Arial" w:eastAsia="Arial" w:hAnsi="Arial"/>
          <w:sz w:val="18"/>
          <w:szCs w:val="18"/>
          <w:color w:val="auto"/>
        </w:rPr>
        <w:t>The following is a summary of restricted stock unit activity for the six months ended June 30, 2024</w:t>
      </w:r>
      <w:r>
        <w:rPr>
          <w:rFonts w:ascii="Arial" w:cs="Arial" w:eastAsia="Arial" w:hAnsi="Arial"/>
          <w:sz w:val="16"/>
          <w:szCs w:val="16"/>
          <w:color w:val="auto"/>
        </w:rPr>
        <w:t>.</w:t>
      </w:r>
      <w:r>
        <w:rPr>
          <w:rFonts w:ascii="Arial" w:cs="Arial" w:eastAsia="Arial" w:hAnsi="Arial"/>
          <w:sz w:val="18"/>
          <w:szCs w:val="18"/>
          <w:color w:val="auto"/>
        </w:rPr>
        <w:t xml:space="preserve"> The fair value of the restricted share unit awards is determined using the closing price of our common stock on date of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8"/>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8"/>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128.80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77.54</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100.84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Outstanding at June 30, 2024</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110.32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ROIC and Adjusted EBITDA Performance Share Unit Grants</w:t>
      </w:r>
    </w:p>
    <w:p>
      <w:pPr>
        <w:spacing w:after="0" w:line="115" w:lineRule="exact"/>
        <w:rPr>
          <w:sz w:val="20"/>
          <w:szCs w:val="20"/>
          <w:color w:val="auto"/>
        </w:rPr>
      </w:pPr>
    </w:p>
    <w:p>
      <w:pPr>
        <w:ind w:right="120"/>
        <w:spacing w:after="0" w:line="279" w:lineRule="auto"/>
        <w:rPr>
          <w:sz w:val="20"/>
          <w:szCs w:val="20"/>
          <w:color w:val="auto"/>
        </w:rPr>
      </w:pPr>
      <w:r>
        <w:rPr>
          <w:rFonts w:ascii="Arial" w:cs="Arial" w:eastAsia="Arial" w:hAnsi="Arial"/>
          <w:sz w:val="18"/>
          <w:szCs w:val="18"/>
          <w:color w:val="auto"/>
        </w:rPr>
        <w:t>The following is a summary of our ROIC and EBITDA grants for the six months ended June 30, 2024. The fair value of the adjusted EBITDA performance share units is equal to the closing share price on the date of the grant:</w:t>
      </w:r>
    </w:p>
    <w:tbl>
      <w:tblPr>
        <w:tblLayout w:type="fixed"/>
        <w:tblInd w:w="0" w:type="dxa"/>
        <w:tblCellMar>
          <w:top w:w="0" w:type="dxa"/>
          <w:left w:w="0" w:type="dxa"/>
          <w:bottom w:w="0" w:type="dxa"/>
          <w:right w:w="0" w:type="dxa"/>
        </w:tblCellMar>
      </w:tblPr>
      <w:tr>
        <w:trPr>
          <w:trHeight w:val="14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Performance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102.51</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105.11</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120" w:firstLine="8"/>
        <w:spacing w:after="0" w:line="286"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an increase in the number of original ROIC performance share units awarded based on the final market condition achievement at the end of the performance period of such awards.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TSR Performance Share Unit Grants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Shareholder Return ("TSR") performance share unit grants for the six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7800" w:type="dxa"/>
            <w:vAlign w:val="bottom"/>
          </w:tcPr>
          <w:p>
            <w:pPr>
              <w:spacing w:after="0"/>
              <w:rPr>
                <w:sz w:val="12"/>
                <w:szCs w:val="12"/>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2"/>
                <w:szCs w:val="12"/>
                <w:color w:val="auto"/>
              </w:rPr>
            </w:pPr>
          </w:p>
        </w:tc>
        <w:tc>
          <w:tcPr>
            <w:tcW w:w="15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4"/>
        </w:trPr>
        <w:tc>
          <w:tcPr>
            <w:tcW w:w="780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7800" w:type="dxa"/>
            <w:vAlign w:val="bottom"/>
          </w:tcPr>
          <w:p>
            <w:pPr>
              <w:spacing w:after="0"/>
              <w:rPr>
                <w:sz w:val="16"/>
                <w:szCs w:val="16"/>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16"/>
                <w:szCs w:val="16"/>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Fair Value / Share</w:t>
            </w:r>
          </w:p>
        </w:tc>
        <w:tc>
          <w:tcPr>
            <w:tcW w:w="0" w:type="dxa"/>
            <w:vAlign w:val="bottom"/>
          </w:tcPr>
          <w:p>
            <w:pPr>
              <w:spacing w:after="0"/>
              <w:rPr>
                <w:sz w:val="1"/>
                <w:szCs w:val="1"/>
                <w:color w:val="auto"/>
              </w:rPr>
            </w:pPr>
          </w:p>
        </w:tc>
      </w:tr>
      <w:tr>
        <w:trPr>
          <w:trHeight w:val="223"/>
        </w:trPr>
        <w:tc>
          <w:tcPr>
            <w:tcW w:w="7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181.80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 for Market Condition Achieved (a)</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Vested</w:t>
            </w:r>
          </w:p>
        </w:tc>
        <w:tc>
          <w:tcPr>
            <w:tcW w:w="16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117.67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102.69</w:t>
            </w:r>
          </w:p>
        </w:tc>
        <w:tc>
          <w:tcPr>
            <w:tcW w:w="0" w:type="dxa"/>
            <w:vAlign w:val="bottom"/>
          </w:tcPr>
          <w:p>
            <w:pPr>
              <w:spacing w:after="0"/>
              <w:rPr>
                <w:sz w:val="1"/>
                <w:szCs w:val="1"/>
                <w:color w:val="auto"/>
              </w:rPr>
            </w:pP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2024</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125.63</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40" w:firstLine="8"/>
        <w:spacing w:after="0" w:line="286"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decrease in the number of original TSR performance share units awarded based on the final market condition achievement at the end of the performance period of such awards.</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2024 grants: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Volatility</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Arial" w:cs="Arial" w:eastAsia="Arial" w:hAnsi="Arial"/>
                <w:sz w:val="18"/>
                <w:szCs w:val="18"/>
                <w:b w:val="1"/>
                <w:bCs w:val="1"/>
                <w:color w:val="auto"/>
              </w:rPr>
              <w:t>27.2 %</w:t>
            </w:r>
          </w:p>
        </w:tc>
      </w:tr>
      <w:tr>
        <w:trPr>
          <w:trHeight w:val="247"/>
        </w:trPr>
        <w:tc>
          <w:tcPr>
            <w:tcW w:w="7800" w:type="dxa"/>
            <w:vAlign w:val="bottom"/>
          </w:tcPr>
          <w:p>
            <w:pPr>
              <w:ind w:left="140"/>
              <w:spacing w:after="0"/>
              <w:rPr>
                <w:sz w:val="20"/>
                <w:szCs w:val="20"/>
                <w:color w:val="auto"/>
              </w:rPr>
            </w:pPr>
            <w:r>
              <w:rPr>
                <w:rFonts w:ascii="Arial" w:cs="Arial" w:eastAsia="Arial" w:hAnsi="Arial"/>
                <w:sz w:val="18"/>
                <w:szCs w:val="18"/>
                <w:color w:val="auto"/>
              </w:rPr>
              <w:t>Risk-free interest rate</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7"/>
              <w:spacing w:after="0"/>
              <w:rPr>
                <w:sz w:val="20"/>
                <w:szCs w:val="20"/>
                <w:color w:val="auto"/>
              </w:rPr>
            </w:pPr>
            <w:r>
              <w:rPr>
                <w:rFonts w:ascii="Arial" w:cs="Arial" w:eastAsia="Arial" w:hAnsi="Arial"/>
                <w:sz w:val="18"/>
                <w:szCs w:val="18"/>
                <w:b w:val="1"/>
                <w:bCs w:val="1"/>
                <w:color w:val="auto"/>
              </w:rPr>
              <w:t>4.33 %</w:t>
            </w:r>
          </w:p>
        </w:tc>
      </w:tr>
      <w:tr>
        <w:trPr>
          <w:trHeight w:val="656"/>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rPr>
              <w:t>Revenue Performance Share Unit Grants</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16"/>
        </w:trPr>
        <w:tc>
          <w:tcPr>
            <w:tcW w:w="9560" w:type="dxa"/>
            <w:vAlign w:val="bottom"/>
            <w:gridSpan w:val="3"/>
          </w:tcPr>
          <w:p>
            <w:pPr>
              <w:spacing w:after="0"/>
              <w:rPr>
                <w:sz w:val="20"/>
                <w:szCs w:val="20"/>
                <w:color w:val="auto"/>
              </w:rPr>
            </w:pPr>
            <w:r>
              <w:rPr>
                <w:rFonts w:ascii="Arial" w:cs="Arial" w:eastAsia="Arial" w:hAnsi="Arial"/>
                <w:sz w:val="18"/>
                <w:szCs w:val="18"/>
                <w:color w:val="auto"/>
              </w:rPr>
              <w:t>The following is a summary of our Revenue performance share unit grants for the six months ended June 30, 2024:</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80"/>
        </w:trPr>
        <w:tc>
          <w:tcPr>
            <w:tcW w:w="78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center"/>
              <w:ind w:right="97"/>
              <w:spacing w:after="0"/>
              <w:rPr>
                <w:sz w:val="20"/>
                <w:szCs w:val="20"/>
                <w:color w:val="auto"/>
              </w:rPr>
            </w:pPr>
            <w:r>
              <w:rPr>
                <w:rFonts w:ascii="Arial" w:cs="Arial" w:eastAsia="Arial" w:hAnsi="Arial"/>
                <w:sz w:val="14"/>
                <w:szCs w:val="14"/>
                <w:b w:val="1"/>
                <w:bCs w:val="1"/>
                <w:color w:val="auto"/>
              </w:rPr>
              <w:t>Weighted</w:t>
            </w:r>
          </w:p>
        </w:tc>
      </w:tr>
      <w:tr>
        <w:trPr>
          <w:trHeight w:val="139"/>
        </w:trPr>
        <w:tc>
          <w:tcPr>
            <w:tcW w:w="7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jc w:val="center"/>
              <w:ind w:right="97"/>
              <w:spacing w:after="0" w:line="139" w:lineRule="exact"/>
              <w:rPr>
                <w:sz w:val="20"/>
                <w:szCs w:val="20"/>
                <w:color w:val="auto"/>
              </w:rPr>
            </w:pPr>
            <w:r>
              <w:rPr>
                <w:rFonts w:ascii="Arial" w:cs="Arial" w:eastAsia="Arial" w:hAnsi="Arial"/>
                <w:sz w:val="14"/>
                <w:szCs w:val="14"/>
                <w:b w:val="1"/>
                <w:bCs w:val="1"/>
                <w:color w:val="auto"/>
              </w:rPr>
              <w:t>Average</w:t>
            </w:r>
          </w:p>
        </w:tc>
      </w:tr>
      <w:tr>
        <w:trPr>
          <w:trHeight w:val="158"/>
        </w:trPr>
        <w:tc>
          <w:tcPr>
            <w:tcW w:w="7800" w:type="dxa"/>
            <w:vAlign w:val="bottom"/>
          </w:tcPr>
          <w:p>
            <w:pPr>
              <w:spacing w:after="0"/>
              <w:rPr>
                <w:sz w:val="13"/>
                <w:szCs w:val="13"/>
                <w:color w:val="auto"/>
              </w:rPr>
            </w:pP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Share units</w:t>
            </w:r>
          </w:p>
        </w:tc>
        <w:tc>
          <w:tcPr>
            <w:tcW w:w="180" w:type="dxa"/>
            <w:vAlign w:val="bottom"/>
          </w:tcPr>
          <w:p>
            <w:pPr>
              <w:spacing w:after="0"/>
              <w:rPr>
                <w:sz w:val="13"/>
                <w:szCs w:val="13"/>
                <w:color w:val="auto"/>
              </w:rPr>
            </w:pPr>
          </w:p>
        </w:tc>
        <w:tc>
          <w:tcPr>
            <w:tcW w:w="1500" w:type="dxa"/>
            <w:vAlign w:val="bottom"/>
          </w:tcPr>
          <w:p>
            <w:pPr>
              <w:jc w:val="center"/>
              <w:ind w:right="77"/>
              <w:spacing w:after="0" w:line="158" w:lineRule="exact"/>
              <w:rPr>
                <w:sz w:val="20"/>
                <w:szCs w:val="20"/>
                <w:color w:val="auto"/>
              </w:rPr>
            </w:pPr>
            <w:r>
              <w:rPr>
                <w:rFonts w:ascii="Arial" w:cs="Arial" w:eastAsia="Arial" w:hAnsi="Arial"/>
                <w:sz w:val="14"/>
                <w:szCs w:val="14"/>
                <w:b w:val="1"/>
                <w:bCs w:val="1"/>
                <w:color w:val="auto"/>
              </w:rPr>
              <w:t>Grant Date</w:t>
            </w:r>
          </w:p>
        </w:tc>
      </w:tr>
      <w:tr>
        <w:trPr>
          <w:trHeight w:val="189"/>
        </w:trPr>
        <w:tc>
          <w:tcPr>
            <w:tcW w:w="7800" w:type="dxa"/>
            <w:vAlign w:val="bottom"/>
            <w:tcBorders>
              <w:bottom w:val="single" w:sz="8" w:color="CCEEFF"/>
            </w:tcBorders>
          </w:tcPr>
          <w:p>
            <w:pPr>
              <w:spacing w:after="0"/>
              <w:rPr>
                <w:sz w:val="16"/>
                <w:szCs w:val="16"/>
                <w:color w:val="auto"/>
              </w:rPr>
            </w:pPr>
          </w:p>
        </w:tc>
        <w:tc>
          <w:tcPr>
            <w:tcW w:w="176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Fair Value / Share</w:t>
            </w: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January 1, 2024</w:t>
            </w:r>
          </w:p>
        </w:tc>
        <w:tc>
          <w:tcPr>
            <w:tcW w:w="1660" w:type="dxa"/>
            <w:vAlign w:val="bottom"/>
            <w:shd w:val="clear" w:color="auto" w:fill="CCEEFF"/>
          </w:tcPr>
          <w:p>
            <w:pPr>
              <w:jc w:val="center"/>
              <w:ind w:left="1216"/>
              <w:spacing w:after="0"/>
              <w:rPr>
                <w:sz w:val="20"/>
                <w:szCs w:val="20"/>
                <w:color w:val="auto"/>
              </w:rPr>
            </w:pPr>
            <w:r>
              <w:rPr>
                <w:rFonts w:ascii="Arial" w:cs="Arial" w:eastAsia="Arial" w:hAnsi="Arial"/>
                <w:sz w:val="18"/>
                <w:szCs w:val="18"/>
                <w:color w:val="auto"/>
                <w:w w:val="99"/>
              </w:rPr>
              <w:t>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94.19</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Granted</w:t>
            </w:r>
          </w:p>
        </w:tc>
        <w:tc>
          <w:tcPr>
            <w:tcW w:w="1660" w:type="dxa"/>
            <w:vAlign w:val="bottom"/>
          </w:tcPr>
          <w:p>
            <w:pPr>
              <w:jc w:val="center"/>
              <w:ind w:left="1216"/>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127.94</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660" w:type="dxa"/>
            <w:vAlign w:val="bottom"/>
            <w:tcBorders>
              <w:bottom w:val="single" w:sz="8" w:color="auto"/>
            </w:tcBorders>
            <w:shd w:val="clear" w:color="auto" w:fill="CCEEFF"/>
          </w:tcPr>
          <w:p>
            <w:pPr>
              <w:jc w:val="center"/>
              <w:ind w:left="1216"/>
              <w:spacing w:after="0"/>
              <w:rPr>
                <w:sz w:val="20"/>
                <w:szCs w:val="20"/>
                <w:color w:val="auto"/>
              </w:rPr>
            </w:pPr>
            <w:r>
              <w:rPr>
                <w:rFonts w:ascii="Arial" w:cs="Arial" w:eastAsia="Arial" w:hAnsi="Arial"/>
                <w:sz w:val="18"/>
                <w:szCs w:val="18"/>
                <w:color w:val="auto"/>
                <w:w w:val="99"/>
              </w:rPr>
              <w:t>(14)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96.31</w:t>
            </w:r>
          </w:p>
        </w:tc>
      </w:tr>
      <w:tr>
        <w:trPr>
          <w:trHeight w:val="223"/>
        </w:trPr>
        <w:tc>
          <w:tcPr>
            <w:tcW w:w="7800" w:type="dxa"/>
            <w:vAlign w:val="bottom"/>
          </w:tcPr>
          <w:p>
            <w:pPr>
              <w:ind w:left="140"/>
              <w:spacing w:after="0"/>
              <w:rPr>
                <w:sz w:val="20"/>
                <w:szCs w:val="20"/>
                <w:color w:val="auto"/>
              </w:rPr>
            </w:pPr>
            <w:r>
              <w:rPr>
                <w:rFonts w:ascii="Arial" w:cs="Arial" w:eastAsia="Arial" w:hAnsi="Arial"/>
                <w:sz w:val="18"/>
                <w:szCs w:val="18"/>
                <w:b w:val="1"/>
                <w:bCs w:val="1"/>
                <w:color w:val="auto"/>
              </w:rPr>
              <w:t>Outstanding at June 30, 2024</w:t>
            </w:r>
          </w:p>
        </w:tc>
        <w:tc>
          <w:tcPr>
            <w:tcW w:w="1660" w:type="dxa"/>
            <w:vAlign w:val="bottom"/>
            <w:tcBorders>
              <w:bottom w:val="single" w:sz="8" w:color="auto"/>
            </w:tcBorders>
          </w:tcPr>
          <w:p>
            <w:pPr>
              <w:jc w:val="center"/>
              <w:ind w:left="1216"/>
              <w:spacing w:after="0"/>
              <w:rPr>
                <w:sz w:val="20"/>
                <w:szCs w:val="20"/>
                <w:color w:val="auto"/>
              </w:rPr>
            </w:pPr>
            <w:r>
              <w:rPr>
                <w:rFonts w:ascii="Arial" w:cs="Arial" w:eastAsia="Arial" w:hAnsi="Arial"/>
                <w:sz w:val="18"/>
                <w:szCs w:val="18"/>
                <w:b w:val="1"/>
                <w:bCs w:val="1"/>
                <w:color w:val="auto"/>
                <w:w w:val="99"/>
              </w:rPr>
              <w:t>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62.69</w:t>
            </w:r>
          </w:p>
        </w:tc>
      </w:tr>
      <w:tr>
        <w:trPr>
          <w:trHeight w:val="20"/>
        </w:trPr>
        <w:tc>
          <w:tcPr>
            <w:tcW w:w="78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fair value of the Revenue performance share unit awards is determined using the closing price of our common stock on date of grant.</w:t>
      </w:r>
    </w:p>
    <w:p>
      <w:pPr>
        <w:spacing w:after="0" w:line="11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 performance periods, the performance share units were awarded at a target of 100% with actual payout contingent upon the achievement of a pre-set, three-year adjusted ROIC performance target for ROIC performance share units, a third-year adjusted EBITDA performance target for adjusted EBITDA performance share units, a pre-set third year revenue target for Revenue performance share units and a relative TSR performance for TSR performance share units.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Capital Stock</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the three and six months ended June 30, 2024, the Company repurchased less than 0.1 million shares of common stock for approximately $ 3 million and approximately 0.1 million shares of common stock for $18 million, respectively. For the three and six months ended June 30, 2023, the Company repurchased less than 0.1 million shares of common stock for approximately $1 million and approximately 0.1 million shares of common stock for $9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spacing w:after="0" w:line="7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six months ended June 30, 2024 and June 30, 2023. There are up to $182 million in shares that may still be purchased under this plan as of June 30, 2024.</w:t>
      </w:r>
    </w:p>
    <w:p>
      <w:pPr>
        <w:spacing w:after="0" w:line="68"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Aside from the aforementioned repurchase program, we repurchased less than 0.1 million shares and approximately 0.1 million shares for approximately $3 million and $18 million for the three and six months ended June 30, 2024, respectively, in relation to settlement of employee tax withholding obligations due as a result of the vesting of restricted stock units. Likewise, we repurchased less than 0.1 million shares and approximately 0.1 million shares for $1 million and $9 million for the three and six months ended June 30, 2023,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Accumulated Other Comprehensive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components of AOCL for the six months ended June 30, 2024:</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2024</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2024</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2024</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table provides the components of AOCL for the six months ended June 30, 2023:</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Foreign Currency</w:t>
            </w:r>
          </w:p>
        </w:tc>
        <w:tc>
          <w:tcPr>
            <w:tcW w:w="14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Post-retirement</w:t>
            </w:r>
          </w:p>
        </w:tc>
        <w:tc>
          <w:tcPr>
            <w:tcW w:w="2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Derivative</w:t>
            </w:r>
          </w:p>
        </w:tc>
        <w:tc>
          <w:tcPr>
            <w:tcW w:w="340" w:type="dxa"/>
            <w:vAlign w:val="bottom"/>
          </w:tcPr>
          <w:p>
            <w:pPr>
              <w:spacing w:after="0"/>
              <w:rPr>
                <w:sz w:val="14"/>
                <w:szCs w:val="14"/>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5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Benefit Plans</w:t>
            </w: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Instruments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2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Amortization of actuarial gain on post-retirement benefit plans</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into other non-operating income, net</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impact on amortization of post-retirement benefit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items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Unrealized gain on derivative hedge agreements</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Income tax benefit on unrealized gain on derivative hedge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Reclassification of unrealized loss on foreign exchange</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agreements into cost of revenue</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at March 31, 2023</w:t>
            </w:r>
          </w:p>
        </w:tc>
        <w:tc>
          <w:tcPr>
            <w:tcW w:w="220" w:type="dxa"/>
            <w:vAlign w:val="bottom"/>
            <w:tcBorders>
              <w:top w:val="single" w:sz="8" w:color="auto"/>
              <w:bottom w:val="single" w:sz="8" w:color="auto"/>
            </w:tcBorders>
          </w:tcPr>
          <w:p>
            <w:pPr>
              <w:jc w:val="right"/>
              <w:ind w:right="15"/>
              <w:spacing w:after="0" w:line="196" w:lineRule="exact"/>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Tax on foreign currency translation adjustment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9"/>
              </w:rPr>
              <w:t>Amortization of prior service cost and net actuarial gain on post-</w:t>
            </w:r>
          </w:p>
        </w:tc>
        <w:tc>
          <w:tcPr>
            <w:tcW w:w="2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retirement benefit plans into other non-operating income, net</w:t>
            </w:r>
          </w:p>
        </w:tc>
        <w:tc>
          <w:tcPr>
            <w:tcW w:w="220" w:type="dxa"/>
            <w:vAlign w:val="bottom"/>
            <w:shd w:val="clear" w:color="auto" w:fill="CCEEFF"/>
          </w:tcPr>
          <w:p>
            <w:pPr>
              <w:spacing w:after="0"/>
              <w:rPr>
                <w:sz w:val="21"/>
                <w:szCs w:val="21"/>
                <w:color w:val="auto"/>
              </w:rPr>
            </w:pPr>
          </w:p>
        </w:tc>
        <w:tc>
          <w:tcPr>
            <w:tcW w:w="128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Foreign currency translation adjustment for post-retirement</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benefit plans</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derivative hedge agreements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175"/>
        </w:trPr>
        <w:tc>
          <w:tcPr>
            <w:tcW w:w="5240" w:type="dxa"/>
            <w:vAlign w:val="bottom"/>
          </w:tcPr>
          <w:p>
            <w:pPr>
              <w:ind w:left="140"/>
              <w:spacing w:after="0" w:line="176" w:lineRule="exact"/>
              <w:rPr>
                <w:sz w:val="20"/>
                <w:szCs w:val="20"/>
                <w:color w:val="auto"/>
              </w:rPr>
            </w:pPr>
            <w:r>
              <w:rPr>
                <w:rFonts w:ascii="Arial" w:cs="Arial" w:eastAsia="Arial" w:hAnsi="Arial"/>
                <w:sz w:val="18"/>
                <w:szCs w:val="18"/>
                <w:color w:val="auto"/>
              </w:rPr>
              <w:t>Reclassification of unrealized gain on foreign exchange</w:t>
            </w:r>
          </w:p>
        </w:tc>
        <w:tc>
          <w:tcPr>
            <w:tcW w:w="22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43"/>
        </w:trPr>
        <w:tc>
          <w:tcPr>
            <w:tcW w:w="5240" w:type="dxa"/>
            <w:vAlign w:val="bottom"/>
          </w:tcPr>
          <w:p>
            <w:pPr>
              <w:ind w:left="140"/>
              <w:spacing w:after="0"/>
              <w:rPr>
                <w:sz w:val="20"/>
                <w:szCs w:val="20"/>
                <w:color w:val="auto"/>
              </w:rPr>
            </w:pPr>
            <w:r>
              <w:rPr>
                <w:rFonts w:ascii="Arial" w:cs="Arial" w:eastAsia="Arial" w:hAnsi="Arial"/>
                <w:sz w:val="18"/>
                <w:szCs w:val="18"/>
                <w:color w:val="auto"/>
              </w:rPr>
              <w:t>agreements into revenue</w:t>
            </w:r>
          </w:p>
        </w:tc>
        <w:tc>
          <w:tcPr>
            <w:tcW w:w="22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2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Commitments and Contingencies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See Note 6, "Income Taxes," of our condensed consolidated financial statements for a description of a pending tax litigation matter.</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7"/>
          <w:szCs w:val="17"/>
          <w:color w:val="auto"/>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$6 million and $18 million as of June 30, 2024 and December 31, 2023, respectively, for these general legal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obtain certain stand-by letters of credit, bank guarantees, surety bonds and insurance letters of credit from third-party financial institutions in the ordinary course of business when required under contracts or to satisfy insurance-related requirements. As of June 30, 2024 and December 31, 2023, the amount of surety bonds, bank guarantees, insurance letters of credit, stand-by letters of credit as well as revenue and customs guarantees was $733 million and $729 million,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w:t>
      </w:r>
    </w:p>
    <w:p>
      <w:pPr>
        <w:spacing w:after="0" w:line="11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spacing w:after="0" w:line="77"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June 30, 2024 and December 31, 2023 for environmental matters.</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w:t>
      </w:r>
    </w:p>
    <w:p>
      <w:pPr>
        <w:spacing w:after="0" w:line="115" w:lineRule="exact"/>
        <w:rPr>
          <w:sz w:val="20"/>
          <w:szCs w:val="20"/>
          <w:color w:val="auto"/>
        </w:rPr>
      </w:pPr>
    </w:p>
    <w:p>
      <w:pPr>
        <w:ind w:right="600"/>
        <w:spacing w:after="0" w:line="295" w:lineRule="auto"/>
        <w:rPr>
          <w:sz w:val="20"/>
          <w:szCs w:val="20"/>
          <w:color w:val="auto"/>
        </w:rPr>
      </w:pPr>
      <w:r>
        <w:rPr>
          <w:rFonts w:ascii="Arial" w:cs="Arial" w:eastAsia="Arial" w:hAnsi="Arial"/>
          <w:sz w:val="17"/>
          <w:szCs w:val="17"/>
          <w:color w:val="auto"/>
        </w:rPr>
        <w:t>We warrant numerous products, the terms of which vary widely. In general, we warrant products against defects and specific non-performance. The table below provides changes in the combined current and non-current product warranty accruals over each period: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color w:val="auto"/>
              </w:rPr>
              <w:t>2023</w:t>
            </w: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Warranty accrual –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9"/>
              </w:rPr>
              <w:t>54</w:t>
            </w:r>
          </w:p>
        </w:tc>
      </w:tr>
      <w:tr>
        <w:trPr>
          <w:trHeight w:val="230"/>
        </w:trPr>
        <w:tc>
          <w:tcPr>
            <w:tcW w:w="8180" w:type="dxa"/>
            <w:vAlign w:val="bottom"/>
          </w:tcPr>
          <w:p>
            <w:pPr>
              <w:ind w:left="140"/>
              <w:spacing w:after="0"/>
              <w:rPr>
                <w:sz w:val="20"/>
                <w:szCs w:val="20"/>
                <w:color w:val="auto"/>
              </w:rPr>
            </w:pPr>
            <w:r>
              <w:rPr>
                <w:rFonts w:ascii="Arial" w:cs="Arial" w:eastAsia="Arial" w:hAnsi="Arial"/>
                <w:sz w:val="18"/>
                <w:szCs w:val="18"/>
                <w:color w:val="auto"/>
              </w:rPr>
              <w:t>Net charges for product warranties in the period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center"/>
              <w:ind w:left="673"/>
              <w:spacing w:after="0"/>
              <w:rPr>
                <w:sz w:val="20"/>
                <w:szCs w:val="20"/>
                <w:color w:val="auto"/>
              </w:rPr>
            </w:pPr>
            <w:r>
              <w:rPr>
                <w:rFonts w:ascii="Arial" w:cs="Arial" w:eastAsia="Arial" w:hAnsi="Arial"/>
                <w:sz w:val="18"/>
                <w:szCs w:val="18"/>
                <w:color w:val="auto"/>
                <w:w w:val="99"/>
              </w:rPr>
              <w:t>13</w:t>
            </w: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Evoqua additions from acquisition</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73"/>
              <w:spacing w:after="0"/>
              <w:rPr>
                <w:sz w:val="20"/>
                <w:szCs w:val="20"/>
                <w:color w:val="auto"/>
              </w:rPr>
            </w:pPr>
            <w:r>
              <w:rPr>
                <w:rFonts w:ascii="Arial" w:cs="Arial" w:eastAsia="Arial" w:hAnsi="Arial"/>
                <w:sz w:val="18"/>
                <w:szCs w:val="18"/>
                <w:color w:val="auto"/>
                <w:w w:val="99"/>
              </w:rPr>
              <w:t>10</w:t>
            </w:r>
          </w:p>
        </w:tc>
      </w:tr>
      <w:tr>
        <w:trPr>
          <w:trHeight w:val="230"/>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Settlement of warranty claims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73"/>
              <w:spacing w:after="0"/>
              <w:rPr>
                <w:sz w:val="20"/>
                <w:szCs w:val="20"/>
                <w:color w:val="auto"/>
              </w:rPr>
            </w:pPr>
            <w:r>
              <w:rPr>
                <w:rFonts w:ascii="Arial" w:cs="Arial" w:eastAsia="Arial" w:hAnsi="Arial"/>
                <w:sz w:val="18"/>
                <w:szCs w:val="18"/>
                <w:color w:val="auto"/>
                <w:w w:val="99"/>
              </w:rPr>
              <w:t>(13)</w:t>
            </w:r>
          </w:p>
        </w:tc>
      </w:tr>
      <w:tr>
        <w:trPr>
          <w:trHeight w:val="248"/>
        </w:trPr>
        <w:tc>
          <w:tcPr>
            <w:tcW w:w="8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Warranty accrual – June 30</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center"/>
              <w:ind w:left="673"/>
              <w:spacing w:after="0"/>
              <w:rPr>
                <w:sz w:val="20"/>
                <w:szCs w:val="20"/>
                <w:color w:val="auto"/>
              </w:rPr>
            </w:pPr>
            <w:r>
              <w:rPr>
                <w:rFonts w:ascii="Arial" w:cs="Arial" w:eastAsia="Arial" w:hAnsi="Arial"/>
                <w:sz w:val="18"/>
                <w:szCs w:val="18"/>
                <w:color w:val="auto"/>
                <w:w w:val="99"/>
              </w:rPr>
              <w:t>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19. Segment Information</w:t>
      </w:r>
    </w:p>
    <w:p>
      <w:pPr>
        <w:spacing w:after="0" w:line="117" w:lineRule="exact"/>
        <w:rPr>
          <w:sz w:val="20"/>
          <w:szCs w:val="20"/>
          <w:color w:val="auto"/>
        </w:rPr>
      </w:pPr>
    </w:p>
    <w:p>
      <w:pPr>
        <w:spacing w:after="0" w:line="218" w:lineRule="exact"/>
        <w:rPr>
          <w:sz w:val="20"/>
          <w:szCs w:val="20"/>
          <w:color w:val="auto"/>
        </w:rPr>
      </w:pPr>
      <w:r>
        <w:rPr>
          <w:rFonts w:ascii="Arial" w:cs="Arial" w:eastAsia="Arial" w:hAnsi="Arial"/>
          <w:sz w:val="18"/>
          <w:szCs w:val="18"/>
          <w:color w:val="auto"/>
        </w:rPr>
        <w:t>Our business has four reportable segments: Water Infrastructure, Applied Water, Measurement and Control Solutions and Water Solutions and Services. The Water Infrastructure segment focuses on the transportation and treatment of water, offering a range of products including water, wastewater and storm water pumps, controls and systems; treatment equipment: filtration and separation, disinfection, wastewater solutions; anodes and electro chlorination technologies for municipal and industrial applications. The Applied Water segment serves many of the primary uses of water and focuses on the residential, commercial and industrial markets. The Applied Water segment's major products include pumps, valves, heat exchangers, controls and dispensing equipment. The Measurement and Control Solutions segment focuses on developing advanced technology solutions that enable intelligent use and conservation of critical water and energy resources as well as analytical instrumentation used in the testing of water. The Measurement and Control Solutions segment's major products include smart metering, networked communications, measurement and control technologies, critical infrastructure technologies, software and services including cloud-based analytics, and remote monitoring and data management. The Water Solutions and Services segment 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 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 accounting policies of each segment are the same as those described in the "Summary of Significant Accounting Policies" section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 1 in the 2023 Annual Report. The following table contains financial information for each reportable segment:</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7"/>
                <w:szCs w:val="17"/>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12"/>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Other non-operating income,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Gain/(Loss) on sale of business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360"/>
              <w:spacing w:after="0"/>
              <w:rPr>
                <w:sz w:val="20"/>
                <w:szCs w:val="20"/>
                <w:color w:val="auto"/>
              </w:rPr>
            </w:pPr>
            <w:r>
              <w:rPr>
                <w:rFonts w:ascii="Arial" w:cs="Arial" w:eastAsia="Arial" w:hAnsi="Arial"/>
                <w:sz w:val="18"/>
                <w:szCs w:val="18"/>
                <w:color w:val="auto"/>
              </w:rPr>
              <w:t>Income before taxes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 and Amortization: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Water Infrastructure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Arial" w:cs="Arial" w:eastAsia="Arial" w:hAnsi="Arial"/>
                <w:sz w:val="18"/>
                <w:szCs w:val="18"/>
                <w:color w:val="auto"/>
              </w:rPr>
              <w:t>Applied Water</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Measurement and Control Solutions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Arial" w:cs="Arial" w:eastAsia="Arial" w:hAnsi="Arial"/>
                <w:sz w:val="18"/>
                <w:szCs w:val="18"/>
                <w:color w:val="auto"/>
              </w:rPr>
              <w:t>Water Solutions and Services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Regional selling locations (a)</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capital expenditures incurred by the Regional selling locations not allocated to the segments.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7"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1560" w:right="1600" w:hanging="1538"/>
        <w:spacing w:after="0" w:line="249" w:lineRule="auto"/>
        <w:tabs>
          <w:tab w:leader="none" w:pos="15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80" w:lineRule="exact"/>
        <w:rPr>
          <w:sz w:val="20"/>
          <w:szCs w:val="20"/>
          <w:color w:val="auto"/>
        </w:rPr>
      </w:pPr>
    </w:p>
    <w:p>
      <w:pPr>
        <w:ind w:right="180"/>
        <w:spacing w:after="0" w:line="285" w:lineRule="auto"/>
        <w:rPr>
          <w:sz w:val="20"/>
          <w:szCs w:val="20"/>
          <w:color w:val="auto"/>
        </w:rPr>
      </w:pPr>
      <w:r>
        <w:rPr>
          <w:rFonts w:ascii="Arial" w:cs="Arial" w:eastAsia="Arial" w:hAnsi="Arial"/>
          <w:sz w:val="18"/>
          <w:szCs w:val="18"/>
          <w:i w:val="1"/>
          <w:iCs w:val="1"/>
          <w:color w:val="auto"/>
        </w:rPr>
        <w:t>The following discussion should be read in conjunction with the condensed consolidated financial statements, including the notes, included elsewhere in this report on Form 10-Q (this "Report").</w:t>
      </w:r>
    </w:p>
    <w:p>
      <w:pPr>
        <w:spacing w:after="0" w:line="48"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spacing w:after="0" w:line="77"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auto"/>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interest rates, inflation and related monetary policy by governments in response to inflation, and the strength of the residential and commercial real estate markets, on economic activity and our operations; geopolitical events, including the ongoing and possible escalation of the conflicts involving Russia and Ukraine, and the Middle East, as well as regulatory, economic and other risks associated with our global sales and operations, including those related to domestic content requirements applicable to projects receiving governmental funding;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connected products and services; lack of availability or delays in receiving parts and raw materials from our supply chain, including electronic components (in particular, semiconductors); disruptions in operations at our facilities or that of third parties upon which we rely; uncertainty related to the realization of the benefits and synergies from our acquisition of Evoqua Water Technologies Corp.; safe and compliant treatment and handling of water, wastewater and hazardous materials; failure to successfully execute large projects, including with respect to meeting performance guarantees and customers’ budgets, timelines and safety requirements; our ability to retain and attract leadership and other diverse and key talent, as well as competition for overall talent and labor; defects, security, warranty and liability claims, and recalls related to our products; uncertainty around restructuring and realignment actions and related costs and savings; our ability to execute strategic investments for growth, including related to acquisitions and divestitures; availability, regulation or interference with radio spectrum used by certain of our products; volatility in served markets or impacts on our business and operations due to weather conditions, including the effects of climate change; risks related to our sustainability commitments and related disclosures; fluctuations in foreign currency exchange rates; difficulty predicting our financial results; risk of future impairments to goodwill and other intangible assets; changes in our effective tax rates or tax expenses; financial market risks related to our pension and other defined benefit plans; failure to comply with, or changes in, laws or regulations, including those pertaining to our business conduct, operations, products and services, including anti-corruption, data privacy and security, trade, competition, the environment, climate change and health and safety; legal, governmental or regulatory claims, investigations or proceedings and associated contingent liabilities; matters related to intellectual property infringement or expiration of rights; and other factors set forth under “Item 1A. Risk Factors” in our Annual Report on Form 10-K for the year ended December 31, 2023 ("2023 Annual Report") and in subsequent filings we make with the Securities and Exchange Commission (“SEC”).</w:t>
      </w:r>
    </w:p>
    <w:p>
      <w:pPr>
        <w:spacing w:after="0" w:line="94" w:lineRule="exact"/>
        <w:rPr>
          <w:sz w:val="20"/>
          <w:szCs w:val="20"/>
          <w:color w:val="auto"/>
        </w:rPr>
      </w:pPr>
    </w:p>
    <w:p>
      <w:pPr>
        <w:ind w:right="520"/>
        <w:spacing w:after="0" w:line="267" w:lineRule="auto"/>
        <w:rPr>
          <w:sz w:val="20"/>
          <w:szCs w:val="20"/>
          <w:color w:val="auto"/>
        </w:rPr>
      </w:pPr>
      <w:r>
        <w:rPr>
          <w:rFonts w:ascii="Arial" w:cs="Arial" w:eastAsia="Arial" w:hAnsi="Arial"/>
          <w:sz w:val="18"/>
          <w:szCs w:val="18"/>
          <w:i w:val="1"/>
          <w:iCs w:val="1"/>
          <w:color w:val="auto"/>
        </w:rPr>
        <w:t>Forward-looking and other statements in this Report regarding our environmental and other sustainability plans and goals are not an indication that these statements are necessarily material to investors, to our business, operating results, financial condition, outlook, or strategy, to our impacts on sustainability matters or other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1" w:right="379" w:bottom="1440" w:gutter="0" w:footer="0" w:header="0"/>
        </w:sectPr>
      </w:pPr>
    </w:p>
    <w:bookmarkStart w:id="36" w:name="page37"/>
    <w:bookmarkEnd w:id="36"/>
    <w:p>
      <w:pPr>
        <w:ind w:right="20"/>
        <w:spacing w:after="0" w:line="259" w:lineRule="auto"/>
        <w:rPr>
          <w:sz w:val="20"/>
          <w:szCs w:val="20"/>
          <w:color w:val="auto"/>
        </w:rPr>
      </w:pPr>
      <w:r>
        <w:rPr>
          <w:rFonts w:ascii="Arial" w:cs="Arial" w:eastAsia="Arial" w:hAnsi="Arial"/>
          <w:sz w:val="18"/>
          <w:szCs w:val="18"/>
          <w:i w:val="1"/>
          <w:iCs w:val="1"/>
          <w:color w:val="auto"/>
        </w:rPr>
        <w:t>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Xylem is a leading global water technology company. We design, manufacture and service highly engineered products and solutions ranging across a wide variety of critical applications in utility, industrial, residential and commercial building solutions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and Control Solutions and Water Solutions and Services. The Company announced a change to its reportable segments effective January 1, 2024, and as such, has recast prior period segment amounts to be on a comparative basis with the new segment reporting (refer to Note 1, "Background and Basis of Presentation").</w:t>
      </w:r>
    </w:p>
    <w:p>
      <w:pPr>
        <w:spacing w:after="0" w:line="77" w:lineRule="exact"/>
        <w:rPr>
          <w:sz w:val="20"/>
          <w:szCs w:val="20"/>
          <w:color w:val="auto"/>
        </w:rPr>
      </w:pPr>
    </w:p>
    <w:p>
      <w:pPr>
        <w:ind w:left="660" w:right="20" w:hanging="328"/>
        <w:spacing w:after="0" w:line="254" w:lineRule="auto"/>
        <w:tabs>
          <w:tab w:leader="none" w:pos="649" w:val="left"/>
        </w:tabs>
        <w:numPr>
          <w:ilvl w:val="0"/>
          <w:numId w:val="12"/>
        </w:numPr>
        <w:rPr>
          <w:rFonts w:ascii="Georgia" w:cs="Georgia" w:eastAsia="Georgia" w:hAnsi="Georgia"/>
          <w:sz w:val="18"/>
          <w:szCs w:val="18"/>
          <w:color w:val="auto"/>
        </w:rPr>
      </w:pPr>
      <w:r>
        <w:rPr>
          <w:rFonts w:ascii="Arial" w:cs="Arial" w:eastAsia="Arial" w:hAnsi="Arial"/>
          <w:sz w:val="18"/>
          <w:szCs w:val="18"/>
          <w:i w:val="1"/>
          <w:iCs w:val="1"/>
          <w:color w:val="auto"/>
        </w:rPr>
        <w:t xml:space="preserve">Water Infrastructure </w:t>
      </w:r>
      <w:r>
        <w:rPr>
          <w:rFonts w:ascii="Arial" w:cs="Arial" w:eastAsia="Arial" w:hAnsi="Arial"/>
          <w:sz w:val="18"/>
          <w:szCs w:val="18"/>
          <w:color w:val="auto"/>
        </w:rPr>
        <w:t>serves the water infrastructure sector with pump systems that transport water from aquifers, lakes, rivers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The Water Infrastructure segment also provides a range of highly differentiated and scalable products and technologies with product offerings in the filtration and separation, disinfection, wastewater solutions, anode and electrochlorination technology, for municipal and industrial applications. In the Water Infrastructure segment, we provide the majority of our sales directly to customers along with strong applications expertise, while the remaining amount is through distribution partners.</w:t>
      </w:r>
    </w:p>
    <w:p>
      <w:pPr>
        <w:spacing w:after="0" w:line="76" w:lineRule="exact"/>
        <w:rPr>
          <w:rFonts w:ascii="Georgia" w:cs="Georgia" w:eastAsia="Georgia" w:hAnsi="Georgia"/>
          <w:sz w:val="18"/>
          <w:szCs w:val="18"/>
          <w:color w:val="auto"/>
        </w:rPr>
      </w:pPr>
    </w:p>
    <w:p>
      <w:pPr>
        <w:ind w:left="660" w:right="6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Applied Water </w:t>
      </w:r>
      <w:r>
        <w:rPr>
          <w:rFonts w:ascii="Arial" w:cs="Arial" w:eastAsia="Arial" w:hAnsi="Arial"/>
          <w:sz w:val="18"/>
          <w:szCs w:val="18"/>
          <w:color w:val="auto"/>
        </w:rPr>
        <w:t>serves the water usage applications sector with water pressure boosting systems for heating, ventilation and air</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spacing w:after="0" w:line="74"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Measurement and Control Solutions </w:t>
      </w:r>
      <w:r>
        <w:rPr>
          <w:rFonts w:ascii="Arial" w:cs="Arial" w:eastAsia="Arial" w:hAnsi="Arial"/>
          <w:sz w:val="18"/>
          <w:szCs w:val="18"/>
          <w:color w:val="auto"/>
        </w:rPr>
        <w:t>primarily serves the utility infrastructure solutions and services sector by delivering</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and remote monitoring and data management. In the Measurement and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7" w:name="page38"/>
    <w:bookmarkEnd w:id="37"/>
    <w:p>
      <w:pPr>
        <w:ind w:left="660" w:right="300" w:hanging="328"/>
        <w:spacing w:after="0" w:line="225" w:lineRule="exact"/>
        <w:tabs>
          <w:tab w:leader="none" w:pos="65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Water Solutions and Services </w:t>
      </w:r>
      <w:r>
        <w:rPr>
          <w:rFonts w:ascii="Arial" w:cs="Arial" w:eastAsia="Arial" w:hAnsi="Arial"/>
          <w:sz w:val="18"/>
          <w:szCs w:val="18"/>
          <w:color w:val="auto"/>
        </w:rPr>
        <w:t>provides tailored services and solutions, in collaboration with customers and backed by life</w:t>
      </w:r>
      <w:r>
        <w:rPr>
          <w:rFonts w:ascii="MS PGothic" w:cs="MS PGothic" w:eastAsia="MS PGothic" w:hAnsi="MS PGothic"/>
          <w:sz w:val="18"/>
          <w:szCs w:val="18"/>
          <w:color w:val="auto"/>
        </w:rPr>
        <w:t>‑</w:t>
      </w:r>
      <w:r>
        <w:rPr>
          <w:rFonts w:ascii="Arial" w:cs="Arial" w:eastAsia="Arial" w:hAnsi="Arial"/>
          <w:sz w:val="18"/>
          <w:szCs w:val="18"/>
          <w:color w:val="auto"/>
        </w:rPr>
        <w:t>cycle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including on</w:t>
      </w:r>
      <w:r>
        <w:rPr>
          <w:rFonts w:ascii="MS PGothic" w:cs="MS PGothic" w:eastAsia="MS PGothic" w:hAnsi="MS PGothic"/>
          <w:sz w:val="18"/>
          <w:szCs w:val="18"/>
          <w:color w:val="auto"/>
        </w:rPr>
        <w:t>‑</w:t>
      </w:r>
      <w:r>
        <w:rPr>
          <w:rFonts w:ascii="Arial" w:cs="Arial" w:eastAsia="Arial" w:hAnsi="Arial"/>
          <w:sz w:val="18"/>
          <w:szCs w:val="18"/>
          <w:color w:val="auto"/>
        </w:rPr>
        <w:t>demand water, outsourced water, recycle / reuse, specialty dewatering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as well as leak detection, condition assessment and asset management and pressure monitoring solutions.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Evoqua Acquisition</w:t>
      </w:r>
    </w:p>
    <w:p>
      <w:pPr>
        <w:spacing w:after="0" w:line="115" w:lineRule="exact"/>
        <w:rPr>
          <w:sz w:val="20"/>
          <w:szCs w:val="20"/>
          <w:color w:val="auto"/>
        </w:rPr>
      </w:pPr>
    </w:p>
    <w:p>
      <w:pPr>
        <w:jc w:val="both"/>
        <w:ind w:right="100"/>
        <w:spacing w:after="0" w:line="318" w:lineRule="auto"/>
        <w:rPr>
          <w:sz w:val="20"/>
          <w:szCs w:val="20"/>
          <w:color w:val="auto"/>
        </w:rPr>
      </w:pPr>
      <w:r>
        <w:rPr>
          <w:rFonts w:ascii="Arial" w:cs="Arial" w:eastAsia="Arial" w:hAnsi="Arial"/>
          <w:sz w:val="17"/>
          <w:szCs w:val="17"/>
          <w:color w:val="auto"/>
        </w:rPr>
        <w:t>On May 24, 2023, Xylem completed the acquisition of Evoqua. Commencing from the acquisition date, Xylem’s financial statements include the assets, liabilities, operating results and cash flows of Evoqua. Refer to Note 3, "Acquisitions and Divestitures," for additional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1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Xylem reported revenue for the second quarter of 2024 of $2,169 million, an increase of 26.0% compared to $1,722 million reported in the second quarter of 2023. The revenue increase consisted primarily of organic growth of 9.2% on continued strong execution and demand across most of our reportable segments, as well as revenue contributed by acquisitions and divestitures, net, of $302 million.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Additional financial highlights for the quarter ended June 30, 2024 include the following:</w:t>
      </w:r>
    </w:p>
    <w:p>
      <w:pPr>
        <w:spacing w:after="0" w:line="117"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Orders of $2,087 million, up 12.4% from $1,856 million in the prior year period, and down 1.2% on an organic basis.</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per share of $0.80, up 77.8% compared to prior year ($1.09, up 11.2% versus prior year, on an adjusted basis).</w:t>
      </w:r>
    </w:p>
    <w:p>
      <w:pPr>
        <w:spacing w:after="0" w:line="117" w:lineRule="exact"/>
        <w:rPr>
          <w:rFonts w:ascii="Arial" w:cs="Arial" w:eastAsia="Arial" w:hAnsi="Arial"/>
          <w:sz w:val="18"/>
          <w:szCs w:val="18"/>
          <w:color w:val="auto"/>
        </w:rPr>
      </w:pPr>
    </w:p>
    <w:p>
      <w:pPr>
        <w:ind w:left="340" w:hanging="332"/>
        <w:spacing w:after="0" w:line="287"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as a percent of revenue of 8.9%, up 360 basis points compared to 5.3% in the prior year. Adjusted EBITDA margin of 20.8%, up 170 basis points when compared to 19.1%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0" w:right="3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Key Performance Indicators and Non-GAAP Measures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Management reviews key performance indicators including revenue, gross margins, segment operating income and margins,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spacing w:after="0" w:line="79" w:lineRule="exact"/>
        <w:rPr>
          <w:sz w:val="20"/>
          <w:szCs w:val="20"/>
          <w:color w:val="auto"/>
        </w:rPr>
      </w:pPr>
    </w:p>
    <w:p>
      <w:pPr>
        <w:ind w:left="660" w:hanging="328"/>
        <w:spacing w:after="0" w:line="259"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spacing w:after="0" w:line="71" w:lineRule="exact"/>
        <w:rPr>
          <w:rFonts w:ascii="Arial" w:cs="Arial" w:eastAsia="Arial" w:hAnsi="Arial"/>
          <w:sz w:val="18"/>
          <w:szCs w:val="18"/>
          <w:color w:val="auto"/>
        </w:rPr>
      </w:pPr>
    </w:p>
    <w:p>
      <w:pPr>
        <w:ind w:left="660" w:right="260" w:hanging="328"/>
        <w:spacing w:after="0" w:line="268"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9" w:name="page40"/>
    <w:bookmarkEnd w:id="39"/>
    <w:p>
      <w:pPr>
        <w:ind w:left="328" w:hanging="328"/>
        <w:spacing w:after="0" w:line="262" w:lineRule="auto"/>
        <w:tabs>
          <w:tab w:leader="none" w:pos="3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"adjusted net income" and "adjusted earnings per share" defined as net income and earnings per share, respectively, adjusted to exclude restructuring and realignment costs, amortization of acquired intangible assets, gain or loss from the sale of businesses, special charges and tax-related special items, as applicable. A reconciliation of adjusted net income and adjusted earnings per share is provided below.</w:t>
      </w:r>
    </w:p>
    <w:p>
      <w:pPr>
        <w:spacing w:after="0" w:line="10" w:lineRule="exact"/>
        <w:rPr>
          <w:sz w:val="20"/>
          <w:szCs w:val="20"/>
          <w:color w:val="auto"/>
        </w:rPr>
      </w:pPr>
    </w:p>
    <w:tbl>
      <w:tblPr>
        <w:tblLayout w:type="fixed"/>
        <w:tblInd w:w="328"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5"/>
          </w:tcPr>
          <w:p>
            <w:pPr>
              <w:ind w:left="2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 except for per share data)</w:t>
            </w:r>
          </w:p>
        </w:tc>
        <w:tc>
          <w:tcPr>
            <w:tcW w:w="2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6"/>
              </w:rPr>
              <w:t>2024</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color w:val="auto"/>
                <w:w w:val="96"/>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2024</w:t>
            </w: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8"/>
                <w:szCs w:val="18"/>
                <w:b w:val="1"/>
                <w:bCs w:val="1"/>
                <w:color w:val="auto"/>
              </w:rPr>
              <w:t>Net income &amp; Earnings per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194</w:t>
            </w:r>
          </w:p>
        </w:tc>
        <w:tc>
          <w:tcPr>
            <w:tcW w:w="3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0.80</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8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share</w:t>
            </w:r>
          </w:p>
        </w:tc>
        <w:tc>
          <w:tcPr>
            <w:tcW w:w="280" w:type="dxa"/>
            <w:vAlign w:val="bottom"/>
            <w:vMerge w:val="continue"/>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360" w:type="dxa"/>
            <w:vAlign w:val="bottom"/>
            <w:gridSpan w:val="3"/>
            <w:vMerge w:val="continue"/>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420" w:type="dxa"/>
            <w:vAlign w:val="bottom"/>
            <w:gridSpan w:val="3"/>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Restructuring and realignment</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Acquired intangible</w:t>
            </w:r>
          </w:p>
        </w:tc>
        <w:tc>
          <w:tcPr>
            <w:tcW w:w="2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52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Special charges (a)</w:t>
            </w: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0.04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Tax-related special items</w:t>
            </w:r>
          </w:p>
        </w:tc>
        <w:tc>
          <w:tcPr>
            <w:tcW w:w="2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2620" w:type="dxa"/>
            <w:vAlign w:val="bottom"/>
          </w:tcPr>
          <w:p>
            <w:pPr>
              <w:ind w:left="140"/>
              <w:spacing w:after="0" w:line="176" w:lineRule="exact"/>
              <w:rPr>
                <w:sz w:val="20"/>
                <w:szCs w:val="20"/>
                <w:color w:val="auto"/>
              </w:rPr>
            </w:pPr>
            <w:r>
              <w:rPr>
                <w:rFonts w:ascii="Arial" w:cs="Arial" w:eastAsia="Arial" w:hAnsi="Arial"/>
                <w:sz w:val="18"/>
                <w:szCs w:val="18"/>
                <w:color w:val="auto"/>
              </w:rPr>
              <w:t>(Gain) loss from sale of</w:t>
            </w:r>
          </w:p>
        </w:tc>
        <w:tc>
          <w:tcPr>
            <w:tcW w:w="28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620" w:type="dxa"/>
            <w:vAlign w:val="bottom"/>
          </w:tcPr>
          <w:p>
            <w:pPr>
              <w:ind w:left="140"/>
              <w:spacing w:after="0"/>
              <w:rPr>
                <w:sz w:val="20"/>
                <w:szCs w:val="20"/>
                <w:color w:val="auto"/>
              </w:rPr>
            </w:pPr>
            <w:r>
              <w:rPr>
                <w:rFonts w:ascii="Arial" w:cs="Arial" w:eastAsia="Arial" w:hAnsi="Arial"/>
                <w:sz w:val="18"/>
                <w:szCs w:val="18"/>
                <w:color w:val="auto"/>
              </w:rPr>
              <w:t>business</w:t>
            </w:r>
          </w:p>
        </w:tc>
        <w:tc>
          <w:tcPr>
            <w:tcW w:w="28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 effects of adjustments (b)</w:t>
            </w:r>
          </w:p>
        </w:tc>
        <w:tc>
          <w:tcPr>
            <w:tcW w:w="2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156"/>
        </w:trPr>
        <w:tc>
          <w:tcPr>
            <w:tcW w:w="2620" w:type="dxa"/>
            <w:vAlign w:val="bottom"/>
          </w:tcPr>
          <w:p>
            <w:pPr>
              <w:ind w:left="140"/>
              <w:spacing w:after="0" w:line="156" w:lineRule="exact"/>
              <w:rPr>
                <w:sz w:val="20"/>
                <w:szCs w:val="20"/>
                <w:color w:val="auto"/>
              </w:rPr>
            </w:pPr>
            <w:r>
              <w:rPr>
                <w:rFonts w:ascii="Arial" w:cs="Arial" w:eastAsia="Arial" w:hAnsi="Arial"/>
                <w:sz w:val="18"/>
                <w:szCs w:val="18"/>
                <w:b w:val="1"/>
                <w:bCs w:val="1"/>
                <w:color w:val="auto"/>
              </w:rPr>
              <w:t>Adjusted net income &amp;</w:t>
            </w:r>
          </w:p>
        </w:tc>
        <w:tc>
          <w:tcPr>
            <w:tcW w:w="28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266</w:t>
            </w:r>
          </w:p>
        </w:tc>
        <w:tc>
          <w:tcPr>
            <w:tcW w:w="36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42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13"/>
                <w:szCs w:val="13"/>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1.99</w:t>
            </w:r>
          </w:p>
        </w:tc>
        <w:tc>
          <w:tcPr>
            <w:tcW w:w="80" w:type="dxa"/>
            <w:vAlign w:val="bottom"/>
          </w:tcPr>
          <w:p>
            <w:pPr>
              <w:spacing w:after="0"/>
              <w:rPr>
                <w:sz w:val="13"/>
                <w:szCs w:val="13"/>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900" w:type="dxa"/>
            <w:vAlign w:val="bottom"/>
            <w:gridSpan w:val="2"/>
          </w:tcPr>
          <w:p>
            <w:pPr>
              <w:ind w:left="140"/>
              <w:spacing w:after="0"/>
              <w:rPr>
                <w:sz w:val="20"/>
                <w:szCs w:val="20"/>
                <w:color w:val="auto"/>
              </w:rPr>
            </w:pPr>
            <w:r>
              <w:rPr>
                <w:rFonts w:ascii="Arial" w:cs="Arial" w:eastAsia="Arial" w:hAnsi="Arial"/>
                <w:sz w:val="18"/>
                <w:szCs w:val="18"/>
                <w:b w:val="1"/>
                <w:bCs w:val="1"/>
                <w:color w:val="auto"/>
              </w:rPr>
              <w:t>Adjusted earnings per share $</w:t>
            </w:r>
          </w:p>
        </w:tc>
        <w:tc>
          <w:tcPr>
            <w:tcW w:w="520" w:type="dxa"/>
            <w:vAlign w:val="bottom"/>
            <w:vMerge w:val="continue"/>
          </w:tcPr>
          <w:p>
            <w:pPr>
              <w:spacing w:after="0"/>
              <w:rPr>
                <w:sz w:val="18"/>
                <w:szCs w:val="18"/>
                <w:color w:val="auto"/>
              </w:rPr>
            </w:pPr>
          </w:p>
        </w:tc>
        <w:tc>
          <w:tcPr>
            <w:tcW w:w="360" w:type="dxa"/>
            <w:vAlign w:val="bottom"/>
            <w:gridSpan w:val="3"/>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44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348" w:right="140" w:hanging="6"/>
        <w:spacing w:after="0" w:line="271" w:lineRule="auto"/>
        <w:tabs>
          <w:tab w:leader="none" w:pos="6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special charges for the three and six months ended June 30, 2024 and 2023 consist primarily of acquisition and integration costs related to the Evoqua transaction.</w:t>
      </w:r>
    </w:p>
    <w:p>
      <w:pPr>
        <w:spacing w:after="0" w:line="5" w:lineRule="exact"/>
        <w:rPr>
          <w:rFonts w:ascii="Arial" w:cs="Arial" w:eastAsia="Arial" w:hAnsi="Arial"/>
          <w:sz w:val="18"/>
          <w:szCs w:val="18"/>
          <w:color w:val="auto"/>
        </w:rPr>
      </w:pPr>
    </w:p>
    <w:p>
      <w:pPr>
        <w:ind w:left="348" w:right="380" w:hanging="6"/>
        <w:spacing w:after="0" w:line="271" w:lineRule="auto"/>
        <w:tabs>
          <w:tab w:leader="none" w:pos="618"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tax effects of adjustments are calculated using the statutory tax rate, taking into consideration the nature of the item and the relevant taxing jurisdiction.</w:t>
      </w:r>
    </w:p>
    <w:p>
      <w:pPr>
        <w:spacing w:after="0" w:line="167" w:lineRule="exact"/>
        <w:rPr>
          <w:rFonts w:ascii="Arial" w:cs="Arial" w:eastAsia="Arial" w:hAnsi="Arial"/>
          <w:sz w:val="18"/>
          <w:szCs w:val="18"/>
          <w:color w:val="auto"/>
        </w:rPr>
      </w:pPr>
    </w:p>
    <w:p>
      <w:pPr>
        <w:ind w:left="328" w:right="60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expenses" defined as operating expenses adjusted to exclude amortization of acquired intangible assets, restructuring and realignment costs and special charges.</w:t>
      </w:r>
    </w:p>
    <w:p>
      <w:pPr>
        <w:spacing w:after="0" w:line="44" w:lineRule="exact"/>
        <w:rPr>
          <w:rFonts w:ascii="Arial" w:cs="Arial" w:eastAsia="Arial" w:hAnsi="Arial"/>
          <w:sz w:val="18"/>
          <w:szCs w:val="18"/>
          <w:color w:val="auto"/>
        </w:rPr>
      </w:pPr>
    </w:p>
    <w:p>
      <w:pPr>
        <w:ind w:left="328" w:right="200" w:hanging="328"/>
        <w:spacing w:after="0" w:line="26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defined as operating income, adjusted to exclude restructuring and realignment costs, amortization of acquired intangible assets, and special charges, as applicable; and "adjusted operating margin" defined as adjusted operating income divided by total revenue.</w:t>
      </w:r>
    </w:p>
    <w:p>
      <w:pPr>
        <w:spacing w:after="0" w:line="62" w:lineRule="exact"/>
        <w:rPr>
          <w:rFonts w:ascii="Arial" w:cs="Arial" w:eastAsia="Arial" w:hAnsi="Arial"/>
          <w:sz w:val="18"/>
          <w:szCs w:val="18"/>
          <w:color w:val="auto"/>
        </w:rPr>
      </w:pPr>
    </w:p>
    <w:p>
      <w:pPr>
        <w:ind w:left="328" w:right="60" w:hanging="328"/>
        <w:spacing w:after="0" w:line="268"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“EBITDA” defined as earnings before interest, taxes, depreciation and amortization expense,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spacing w:after="0" w:line="62" w:lineRule="exact"/>
        <w:rPr>
          <w:rFonts w:ascii="Arial" w:cs="Arial" w:eastAsia="Arial" w:hAnsi="Arial"/>
          <w:sz w:val="18"/>
          <w:szCs w:val="18"/>
          <w:color w:val="auto"/>
        </w:rPr>
      </w:pPr>
    </w:p>
    <w:p>
      <w:pPr>
        <w:ind w:left="328" w:right="32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“realignment costs” defined as costs not included in restructuring costs that are incurred as part of actions taken to reposition our business, including items such as professional fees, severance, relocation, travel, facility set-up and other costs.</w:t>
      </w:r>
    </w:p>
    <w:p>
      <w:pPr>
        <w:spacing w:after="0" w:line="44" w:lineRule="exact"/>
        <w:rPr>
          <w:rFonts w:ascii="Arial" w:cs="Arial" w:eastAsia="Arial" w:hAnsi="Arial"/>
          <w:sz w:val="18"/>
          <w:szCs w:val="18"/>
          <w:color w:val="auto"/>
        </w:rPr>
      </w:pPr>
    </w:p>
    <w:p>
      <w:pPr>
        <w:ind w:left="328" w:right="280" w:hanging="328"/>
        <w:spacing w:after="0" w:line="287" w:lineRule="auto"/>
        <w:tabs>
          <w:tab w:leader="none" w:pos="317" w:val="left"/>
        </w:tabs>
        <w:numPr>
          <w:ilvl w:val="0"/>
          <w:numId w:val="17"/>
        </w:numPr>
        <w:rPr>
          <w:rFonts w:ascii="Arial" w:cs="Arial" w:eastAsia="Arial" w:hAnsi="Arial"/>
          <w:sz w:val="16"/>
          <w:szCs w:val="16"/>
          <w:color w:val="auto"/>
        </w:rPr>
      </w:pPr>
      <w:r>
        <w:rPr>
          <w:rFonts w:ascii="Arial" w:cs="Arial" w:eastAsia="Arial" w:hAnsi="Arial"/>
          <w:sz w:val="18"/>
          <w:szCs w:val="18"/>
          <w:color w:val="auto"/>
        </w:rPr>
        <w:t>“special charges" defined as non-recurring costs incurred by the Company, such as those related to acquisitions and integrations, divestitures and non-cash impairment charges.</w:t>
      </w:r>
    </w:p>
    <w:p>
      <w:pPr>
        <w:spacing w:after="0" w:line="44" w:lineRule="exact"/>
        <w:rPr>
          <w:rFonts w:ascii="Arial" w:cs="Arial" w:eastAsia="Arial" w:hAnsi="Arial"/>
          <w:sz w:val="16"/>
          <w:szCs w:val="16"/>
          <w:color w:val="auto"/>
        </w:rPr>
      </w:pPr>
    </w:p>
    <w:p>
      <w:pPr>
        <w:ind w:left="328" w:right="480" w:hanging="328"/>
        <w:spacing w:after="0" w:line="287" w:lineRule="auto"/>
        <w:tabs>
          <w:tab w:leader="none" w:pos="323"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"tax-related special items" defined as tax items, such as tax return versus tax provision adjustments, tax exam impacts, tax law change impacts, excess tax benefits/losses and other discrete tax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201" w:right="379" w:bottom="1440" w:gutter="0" w:footer="0" w:header="0"/>
        </w:sectPr>
      </w:pPr>
    </w:p>
    <w:bookmarkStart w:id="40" w:name="page41"/>
    <w:bookmarkEnd w:id="40"/>
    <w:p>
      <w:pPr>
        <w:ind w:left="328" w:hanging="328"/>
        <w:spacing w:after="0" w:line="268" w:lineRule="auto"/>
        <w:tabs>
          <w:tab w:leader="none" w:pos="323"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w:t>
      </w:r>
    </w:p>
    <w:p>
      <w:pPr>
        <w:spacing w:after="0" w:line="113" w:lineRule="exact"/>
        <w:rPr>
          <w:sz w:val="20"/>
          <w:szCs w:val="20"/>
          <w:color w:val="auto"/>
        </w:rPr>
      </w:pPr>
    </w:p>
    <w:tbl>
      <w:tblPr>
        <w:tblLayout w:type="fixed"/>
        <w:tblInd w:w="248"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7"/>
                <w:szCs w:val="17"/>
                <w:color w:val="auto"/>
              </w:rPr>
            </w:pPr>
          </w:p>
        </w:tc>
      </w:tr>
      <w:tr>
        <w:trPr>
          <w:trHeight w:val="203"/>
        </w:trPr>
        <w:tc>
          <w:tcPr>
            <w:tcW w:w="6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7"/>
                <w:szCs w:val="17"/>
                <w:color w:val="auto"/>
              </w:rPr>
            </w:pPr>
          </w:p>
        </w:tc>
      </w:tr>
      <w:tr>
        <w:trPr>
          <w:trHeight w:val="197"/>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color w:val="auto"/>
              </w:rPr>
              <w:t>2023</w:t>
            </w:r>
          </w:p>
        </w:tc>
      </w:tr>
      <w:tr>
        <w:trPr>
          <w:trHeight w:val="224"/>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in excess of tax provision for R&amp;D law change adoption</w:t>
            </w:r>
          </w:p>
        </w:tc>
        <w:tc>
          <w:tcPr>
            <w:tcW w:w="4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740" w:type="dxa"/>
            <w:vAlign w:val="bottom"/>
          </w:tcPr>
          <w:p>
            <w:pPr>
              <w:ind w:left="340"/>
              <w:spacing w:after="0"/>
              <w:rPr>
                <w:sz w:val="20"/>
                <w:szCs w:val="20"/>
                <w:color w:val="auto"/>
              </w:rPr>
            </w:pPr>
            <w:r>
              <w:rPr>
                <w:rFonts w:ascii="Arial" w:cs="Arial" w:eastAsia="Arial" w:hAnsi="Arial"/>
                <w:sz w:val="18"/>
                <w:szCs w:val="18"/>
                <w:b w:val="1"/>
                <w:bCs w:val="1"/>
                <w:color w:val="auto"/>
              </w:rPr>
              <w:t>Free cash flow</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w:t>
            </w: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67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r>
      <w:tr>
        <w:trPr>
          <w:trHeight w:val="247"/>
        </w:trPr>
        <w:tc>
          <w:tcPr>
            <w:tcW w:w="6740" w:type="dxa"/>
            <w:vAlign w:val="bottom"/>
          </w:tcPr>
          <w:p>
            <w:pPr>
              <w:ind w:left="140"/>
              <w:spacing w:after="0"/>
              <w:rPr>
                <w:sz w:val="20"/>
                <w:szCs w:val="20"/>
                <w:color w:val="auto"/>
              </w:rPr>
            </w:pPr>
            <w:r>
              <w:rPr>
                <w:rFonts w:ascii="Arial" w:cs="Arial" w:eastAsia="Arial" w:hAnsi="Arial"/>
                <w:sz w:val="18"/>
                <w:szCs w:val="18"/>
                <w:b w:val="1"/>
                <w:bCs w:val="1"/>
                <w:color w:val="auto"/>
              </w:rPr>
              <w:t>Net cash provided (used) by financing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(419)</w:t>
            </w:r>
          </w:p>
        </w:tc>
        <w:tc>
          <w:tcPr>
            <w:tcW w:w="12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72"/>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76835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52" w:top="1201" w:right="3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Six Months Ended</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9"/>
              </w:rPr>
              <w:t>June 30,</w:t>
            </w:r>
          </w:p>
        </w:tc>
        <w:tc>
          <w:tcPr>
            <w:tcW w:w="9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c>
          <w:tcPr>
            <w:tcW w:w="4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4,202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3,170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819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1,571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1,197</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31.2</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Gross margin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 bp</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566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6.4</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1,109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(480) bp</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(350) bp</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Arial" w:cs="Arial" w:eastAsia="Arial" w:hAnsi="Arial"/>
                <w:sz w:val="18"/>
                <w:szCs w:val="18"/>
                <w:color w:val="auto"/>
              </w:rPr>
              <w:t>Restructuring and realignment costs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Acquired intangible asset</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58.3</w:t>
            </w: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105.6</w:t>
            </w: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Special charges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70"/>
              <w:spacing w:after="0"/>
              <w:rPr>
                <w:sz w:val="20"/>
                <w:szCs w:val="20"/>
                <w:color w:val="auto"/>
              </w:rPr>
            </w:pPr>
            <w:r>
              <w:rPr>
                <w:rFonts w:ascii="Arial" w:cs="Arial" w:eastAsia="Arial" w:hAnsi="Arial"/>
                <w:sz w:val="18"/>
                <w:szCs w:val="18"/>
                <w:color w:val="auto"/>
              </w:rPr>
              <w:t>(80.6)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9"/>
                <w:szCs w:val="19"/>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(68.5) %</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Adjusted operating expenses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76"/>
        </w:trPr>
        <w:tc>
          <w:tcPr>
            <w:tcW w:w="3080" w:type="dxa"/>
            <w:vAlign w:val="bottom"/>
          </w:tcPr>
          <w:p>
            <w:pPr>
              <w:ind w:left="360"/>
              <w:spacing w:after="0" w:line="176" w:lineRule="exact"/>
              <w:rPr>
                <w:sz w:val="20"/>
                <w:szCs w:val="20"/>
                <w:color w:val="auto"/>
              </w:rPr>
            </w:pPr>
            <w:r>
              <w:rPr>
                <w:rFonts w:ascii="Arial" w:cs="Arial" w:eastAsia="Arial" w:hAnsi="Arial"/>
                <w:sz w:val="18"/>
                <w:szCs w:val="18"/>
                <w:i w:val="1"/>
                <w:iCs w:val="1"/>
                <w:color w:val="auto"/>
              </w:rPr>
              <w:t>Adjusted operating expenses to</w:t>
            </w: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21.5 %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22.8 %</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3"/>
            <w:vMerge w:val="restart"/>
          </w:tcPr>
          <w:p>
            <w:pPr>
              <w:jc w:val="right"/>
              <w:ind w:right="320"/>
              <w:spacing w:after="0"/>
              <w:rPr>
                <w:sz w:val="20"/>
                <w:szCs w:val="20"/>
                <w:color w:val="auto"/>
              </w:rPr>
            </w:pPr>
            <w:r>
              <w:rPr>
                <w:rFonts w:ascii="Arial" w:cs="Arial" w:eastAsia="Arial" w:hAnsi="Arial"/>
                <w:sz w:val="18"/>
                <w:szCs w:val="18"/>
                <w:color w:val="auto"/>
              </w:rPr>
              <w:t>(130) bp</w:t>
            </w:r>
          </w:p>
        </w:tc>
        <w:tc>
          <w:tcPr>
            <w:tcW w:w="28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22.0 %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15"/>
                <w:szCs w:val="15"/>
                <w:color w:val="auto"/>
              </w:rPr>
            </w:pPr>
          </w:p>
        </w:tc>
        <w:tc>
          <w:tcPr>
            <w:tcW w:w="136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(180) bp</w:t>
            </w:r>
          </w:p>
        </w:tc>
        <w:tc>
          <w:tcPr>
            <w:tcW w:w="0" w:type="dxa"/>
            <w:vAlign w:val="bottom"/>
          </w:tcPr>
          <w:p>
            <w:pPr>
              <w:spacing w:after="0"/>
              <w:rPr>
                <w:sz w:val="1"/>
                <w:szCs w:val="1"/>
                <w:color w:val="auto"/>
              </w:rPr>
            </w:pPr>
          </w:p>
        </w:tc>
      </w:tr>
      <w:tr>
        <w:trPr>
          <w:trHeight w:val="243"/>
        </w:trPr>
        <w:tc>
          <w:tcPr>
            <w:tcW w:w="3080" w:type="dxa"/>
            <w:vAlign w:val="bottom"/>
          </w:tcPr>
          <w:p>
            <w:pPr>
              <w:ind w:left="360"/>
              <w:spacing w:after="0"/>
              <w:rPr>
                <w:sz w:val="20"/>
                <w:szCs w:val="20"/>
                <w:color w:val="auto"/>
              </w:rPr>
            </w:pPr>
            <w:r>
              <w:rPr>
                <w:rFonts w:ascii="Arial" w:cs="Arial" w:eastAsia="Arial" w:hAnsi="Arial"/>
                <w:sz w:val="18"/>
                <w:szCs w:val="18"/>
                <w:i w:val="1"/>
                <w:iCs w:val="1"/>
                <w:color w:val="auto"/>
              </w:rPr>
              <w:t>revenue ratio</w:t>
            </w: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119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112.6</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84.8</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Arial" w:cs="Arial" w:eastAsia="Arial" w:hAnsi="Arial"/>
                <w:sz w:val="18"/>
                <w:szCs w:val="18"/>
                <w:i w:val="1"/>
                <w:iCs w:val="1"/>
                <w:color w:val="auto"/>
              </w:rPr>
              <w:t>Operating margin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11.7 %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Interest and other non-operating</w:t>
            </w: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5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42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 net</w:t>
            </w:r>
          </w:p>
        </w:tc>
        <w:tc>
          <w:tcPr>
            <w:tcW w:w="28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rPr>
                <w:sz w:val="20"/>
                <w:szCs w:val="20"/>
                <w:color w:val="auto"/>
              </w:rPr>
            </w:pPr>
            <w:r>
              <w:rPr>
                <w:rFonts w:ascii="Arial" w:cs="Arial" w:eastAsia="Arial" w:hAnsi="Arial"/>
                <w:sz w:val="18"/>
                <w:szCs w:val="18"/>
                <w:color w:val="auto"/>
              </w:rPr>
              <w:t>Gain/(Loss) on sale of businesses</w:t>
            </w:r>
          </w:p>
        </w:tc>
        <w:tc>
          <w:tcPr>
            <w:tcW w:w="28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NM</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95.9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080" w:type="dxa"/>
            <w:vAlign w:val="bottom"/>
          </w:tcPr>
          <w:p>
            <w:pPr>
              <w:ind w:left="360"/>
              <w:spacing w:after="0"/>
              <w:rPr>
                <w:sz w:val="20"/>
                <w:szCs w:val="20"/>
                <w:color w:val="auto"/>
              </w:rPr>
            </w:pPr>
            <w:r>
              <w:rPr>
                <w:rFonts w:ascii="Arial" w:cs="Arial" w:eastAsia="Arial" w:hAnsi="Arial"/>
                <w:sz w:val="18"/>
                <w:szCs w:val="18"/>
                <w:i w:val="1"/>
                <w:iCs w:val="1"/>
                <w:color w:val="auto"/>
              </w:rPr>
              <w:t>Tax rate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21.4 %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5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bp</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bp</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194</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110.9</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4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change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generated during the three and six months ended June 30, 2024 was $2,169 million and $4,202 million, respectively, reflecting an increase of $447 million, or 26.0%, and $1,032 million, or 32.6%, respectively, compared to the prior year. On a constant currency basis, revenue grew 26.7% and 32.9% for the three and six months ended June 30, 2024. Revenue growth contributed by acquisitions and divestitures, net, was $302 million and $782 million for the three and six months ended June 30, 2024 and organic revenue increased $158 million, or 9.2%, and $261 million, or 8.2%, for the three and six months ended June 30, 2024, with foreign currency translation having unfavorable impacts on revenue of $ 13 million and $11 million, respectively. The increases reflect strong organic growth across all of our major geographic regions, led by the U.S. for the three and six months ended June 30, 2024.</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2" w:name="page43"/>
    <w:bookmarkEnd w:id="42"/>
    <w:p>
      <w:pPr>
        <w:ind w:right="60"/>
        <w:spacing w:after="0" w:line="287" w:lineRule="auto"/>
        <w:rPr>
          <w:sz w:val="20"/>
          <w:szCs w:val="20"/>
          <w:color w:val="auto"/>
        </w:rPr>
      </w:pPr>
      <w:r>
        <w:rPr>
          <w:rFonts w:ascii="Arial" w:cs="Arial" w:eastAsia="Arial" w:hAnsi="Arial"/>
          <w:sz w:val="18"/>
          <w:szCs w:val="18"/>
          <w:color w:val="auto"/>
        </w:rPr>
        <w:t>The following table illustrates the impact from organic growth, recent acquisitions and divestitures, and foreign currency translation in relation to revenue during the three and six months ended June 30,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6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ind w:left="340"/>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6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tcPr>
          <w:p>
            <w:pPr>
              <w:ind w:left="340"/>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60" w:type="dxa"/>
            <w:vAlign w:val="bottom"/>
          </w:tcPr>
          <w:p>
            <w:pPr>
              <w:ind w:left="680"/>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8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Revenue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920" w:type="dxa"/>
            <w:vAlign w:val="bottom"/>
          </w:tcPr>
          <w:p>
            <w:pPr>
              <w:jc w:val="right"/>
              <w:spacing w:after="0"/>
              <w:rPr>
                <w:sz w:val="20"/>
                <w:szCs w:val="20"/>
                <w:color w:val="auto"/>
              </w:rPr>
            </w:pPr>
            <w:r>
              <w:rPr>
                <w:rFonts w:ascii="Arial" w:cs="Arial" w:eastAsia="Arial" w:hAnsi="Arial"/>
                <w:sz w:val="18"/>
                <w:szCs w:val="18"/>
                <w:color w:val="auto"/>
              </w:rPr>
              <w:t>6.6 %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960" w:type="dxa"/>
            <w:vAlign w:val="bottom"/>
          </w:tcPr>
          <w:p>
            <w:pPr>
              <w:jc w:val="right"/>
              <w:spacing w:after="0"/>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2,169</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140" w:hanging="332"/>
        <w:spacing w:after="0" w:line="286" w:lineRule="auto"/>
        <w:tabs>
          <w:tab w:leader="none" w:pos="335" w:val="left"/>
        </w:tabs>
        <w:numPr>
          <w:ilvl w:val="0"/>
          <w:numId w:val="19"/>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British Pound, Chinese Yuan and the Chilean Peso.</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20" w:type="dxa"/>
            <w:vAlign w:val="bottom"/>
            <w:vMerge w:val="restart"/>
          </w:tcPr>
          <w:p>
            <w:pPr>
              <w:jc w:val="center"/>
              <w:ind w:left="488"/>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2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2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6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80"/>
              <w:spacing w:after="0"/>
              <w:rPr>
                <w:sz w:val="20"/>
                <w:szCs w:val="20"/>
                <w:color w:val="auto"/>
              </w:rPr>
            </w:pPr>
            <w:r>
              <w:rPr>
                <w:rFonts w:ascii="Arial" w:cs="Arial" w:eastAsia="Arial" w:hAnsi="Arial"/>
                <w:sz w:val="14"/>
                <w:szCs w:val="14"/>
                <w:color w:val="auto"/>
              </w:rPr>
              <w:t>$ Change</w:t>
            </w:r>
          </w:p>
        </w:tc>
        <w:tc>
          <w:tcPr>
            <w:tcW w:w="1000" w:type="dxa"/>
            <w:vAlign w:val="bottom"/>
          </w:tcPr>
          <w:p>
            <w:pPr>
              <w:ind w:left="140"/>
              <w:spacing w:after="0"/>
              <w:rPr>
                <w:sz w:val="20"/>
                <w:szCs w:val="20"/>
                <w:color w:val="auto"/>
              </w:rPr>
            </w:pPr>
            <w:r>
              <w:rPr>
                <w:rFonts w:ascii="Arial" w:cs="Arial" w:eastAsia="Arial" w:hAnsi="Arial"/>
                <w:sz w:val="14"/>
                <w:szCs w:val="14"/>
                <w:color w:val="auto"/>
              </w:rPr>
              <w:t>%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Revenue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9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Growth</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w:t>
            </w:r>
          </w:p>
        </w:tc>
        <w:tc>
          <w:tcPr>
            <w:tcW w:w="920" w:type="dxa"/>
            <w:vAlign w:val="bottom"/>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183</w:t>
            </w:r>
          </w:p>
        </w:tc>
        <w:tc>
          <w:tcPr>
            <w:tcW w:w="960" w:type="dxa"/>
            <w:vAlign w:val="bottom"/>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w:t>
            </w:r>
          </w:p>
        </w:tc>
        <w:tc>
          <w:tcPr>
            <w:tcW w:w="98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261</w:t>
            </w:r>
          </w:p>
        </w:tc>
        <w:tc>
          <w:tcPr>
            <w:tcW w:w="960" w:type="dxa"/>
            <w:vAlign w:val="bottom"/>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24.0 %</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112.2 %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revenue</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29.7 %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23.9 %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111.9 %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1,205</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892</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944</w:t>
            </w: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1,161</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4,202</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Chilean Peso, Australian Dollar and the Egyptian pound, offset by the strengthening in the British Pound.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Water Infrastructure revenue increased $112 million, or 21.6%, for the second quarter of 2024 (22.7% increase on a constant currency basis) as compared to the prior year. Revenue growth for the quarter contributed by acquisitions was $84 million, with the remainder of the increase coming from organic revenue growth of $34 million, or 6.6%, and $6 million of unfavorable impacts from foreign currency translation. The transport application experienced $24 million of organic revenue growth, driven by strength across all of our major geographic regions, led by western Europe and the emerging markets due to increased revenue from capital projects and in the U.S. due to increased sales volume and execution on infrastructure projects. Organic revenue for the treatment applications grew by $10 million, led by increased volume in the U.S.</w:t>
      </w:r>
    </w:p>
    <w:p>
      <w:pPr>
        <w:spacing w:after="0" w:line="74"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For the six months ended June 30, 2024, revenue increased $276 million, or 29.7% (30.2% increase on a constant currency basis) as compared to the prior year. Revenue growth contributed by acquisitions was $221 million, with the remainder of the increase coming from organic revenue growth of $60 million, or 6.4%, and $5 million of unfavorable impacts from foreign currency translation.The transport application experienced $38 million of organic revenue growth, driven by strength in all of our major geographic regions, led by backlog execution and timing of projects in western Europe and the emerging markets and increased volumes and execution on infrastructure projects in the U.S. Organic revenue for the treatment applications grew by $22 million, led by increased sales volume in the U.S. and increased revenue from capital projects in the emerging markets.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Applied Water revenue decreased $22 million, or 4.6%, for the second quarter of 2024 (3.8% decrease on a constant currency basis) as compared to the prior year. Revenue was negatively impacted by $4 million of foreign currency translation, with the change at constant currency coming entirely from an organic decline of $18 million. The decline was driven by the industrial applications as a result of softness in the U.S. and western Europe. Organic revenue was flat within the building solutions applications, due to modest growth in the emerging markets offset by declines in the U.S.</w:t>
      </w:r>
    </w:p>
    <w:p>
      <w:pPr>
        <w:spacing w:after="0" w:line="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the six months ended June 30, 2024, revenue decreased $39 million, or 4.2% (3.9% decrease on a constant currency basis) as compared to the prior year. Revenue was negatively impacted by $3 million of foreign currency translation during the six month period, with the change at constant currency coming primarily from organic declines of $36 million. Organic weakness was driven by declines in both the industrial and building solutions applications. Industrial organic revenue decreased by $23 million due to softness in the U.S. and western Europe. Within building solutions, organic revenue declined $13 million as a result of softness in the U.S. and western Europe.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Measurement and Control Solutions revenue increased $98 million, or 25.5%, for the second quarter of 2024 (26.0% increase on a constant currency basis) as compared to the prior year. Revenue was negatively impacted by $2 million of foreign currency translation, with the change at constant currency coming entirely from organic growth of $100 million, or 26.0%. Organic revenue growth during the quarter was driven by $99 million in the smart metering and other applications, primarily in the U.S. driven by increased sales volume due to supply chain improvements, as well as $1 million in organic growth from analytics.</w:t>
      </w:r>
    </w:p>
    <w:p>
      <w:pPr>
        <w:spacing w:after="0" w:line="58" w:lineRule="exact"/>
        <w:rPr>
          <w:sz w:val="20"/>
          <w:szCs w:val="20"/>
          <w:color w:val="auto"/>
        </w:rPr>
      </w:pPr>
    </w:p>
    <w:p>
      <w:pPr>
        <w:ind w:right="520"/>
        <w:spacing w:after="0" w:line="251" w:lineRule="auto"/>
        <w:rPr>
          <w:sz w:val="20"/>
          <w:szCs w:val="20"/>
          <w:color w:val="auto"/>
        </w:rPr>
      </w:pPr>
      <w:r>
        <w:rPr>
          <w:rFonts w:ascii="Arial" w:cs="Arial" w:eastAsia="Arial" w:hAnsi="Arial"/>
          <w:sz w:val="17"/>
          <w:szCs w:val="17"/>
          <w:color w:val="auto"/>
        </w:rPr>
        <w:t>For the six months ended June 30, 2024, revenue increased $ 182 million, or 23.9% (24.0% increase on a constant currency basis) as compared to the prior year. Revenue was negatively impacted by $1 million of foreign currency translation, with the change at constant</w:t>
      </w:r>
    </w:p>
    <w:p>
      <w:pPr>
        <w:spacing w:after="0" w:line="1" w:lineRule="exact"/>
        <w:rPr>
          <w:sz w:val="20"/>
          <w:szCs w:val="20"/>
          <w:color w:val="auto"/>
        </w:rPr>
      </w:pPr>
    </w:p>
    <w:p>
      <w:pPr>
        <w:jc w:val="both"/>
        <w:ind w:right="220"/>
        <w:spacing w:after="0" w:line="231" w:lineRule="auto"/>
        <w:rPr>
          <w:sz w:val="20"/>
          <w:szCs w:val="20"/>
          <w:color w:val="auto"/>
        </w:rPr>
      </w:pPr>
      <w:r>
        <w:rPr>
          <w:rFonts w:ascii="Arial" w:cs="Arial" w:eastAsia="Arial" w:hAnsi="Arial"/>
          <w:sz w:val="18"/>
          <w:szCs w:val="18"/>
          <w:color w:val="auto"/>
        </w:rPr>
        <w:t>currency coming entirely from an organic increase of $183 million (24.0% increase). Organic revenue growth during the quarter was driven by $ 184 million in the smart metering and other applications, primarily in the U.S. driven by increased sales volume and backlog execution due to supply chain improvements. This growth was partially offset by a $1 million organic decline in analytics.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Water Solutions and Services revenue increased $259 million, or 76.0%, for the second quarter of 2024 (76.2% increase on a constant currency basis) as compared to the prior year. Revenue growth for the quarter contributed by acquisitions was $218 million, with the remainder of the increase coming from organic revenue growth of $42 million, or 12.3%, and $1 million of unfavorable impacts from foreign currency translation. Organic revenue growth was primarily driven by strength in the dewatering application across all major geographic markets, led by the U.S. due to increased sales volume and favorable price realization and the emerging markets due to increased capital project revenue, as well as organic growth in the integrated solutions and services ("ISS") applications in the U.S.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7" w:right="359" w:bottom="1440" w:gutter="0" w:footer="0" w:header="0"/>
        </w:sectPr>
      </w:pPr>
    </w:p>
    <w:bookmarkStart w:id="44" w:name="page45"/>
    <w:bookmarkEnd w:id="44"/>
    <w:p>
      <w:pPr>
        <w:ind w:right="80"/>
        <w:spacing w:after="0" w:line="257" w:lineRule="auto"/>
        <w:rPr>
          <w:sz w:val="20"/>
          <w:szCs w:val="20"/>
          <w:color w:val="auto"/>
        </w:rPr>
      </w:pPr>
      <w:r>
        <w:rPr>
          <w:rFonts w:ascii="Arial" w:cs="Arial" w:eastAsia="Arial" w:hAnsi="Arial"/>
          <w:sz w:val="18"/>
          <w:szCs w:val="18"/>
          <w:color w:val="auto"/>
        </w:rPr>
        <w:t>For the six months ended June 30, 2024, revenue increased $613 million, or 111.9% (112.2% increase on a constant currency basis) as compared to the prior year. Revenue growth contributed by acquisitions was $561 million, with the remainder of the increase coming from organic revenue growth of $54 million, or 9.8%, and $2 million of unfavorable impacts from foreign currency translation. Organic revenue growth was primarily from strength in the dewatering application across all major geographic markets, led by the U.S. due to increased sales volume and favorable price realization, and the emerging markets due to increased capital project revenue, as well as organic growth in the ISS applications in the U.S.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Orders / Backlog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Orders</w:t>
      </w:r>
    </w:p>
    <w:p>
      <w:pPr>
        <w:spacing w:after="0" w:line="115"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second quarter of 2024 were $2,087 million, an increase of $ 231 million, or 12.4%, over the prior year (13.0% increase on a constant currency basis). Orders received during the six months ended of 2024 were $4,333 million, an increase of $907 million, or 26.5%, over the prior year (26.8% increase on a constant currency basis). Orders contributed by acquisitions were $265 million and $886 million in the three and six months ended ended June 30, 2024. Order intake was negatively impacted by $ 11 million and $ 10 million of foreign currency translation for the three and six months ended June 30, 2024, respectively with organic orders being a decline of $23 million (1.2%) and growth of $31 million (0.9%) for the three and six months ended June 30, 2024, respectively.</w:t>
      </w:r>
    </w:p>
    <w:p>
      <w:pPr>
        <w:spacing w:after="0" w:line="7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 illustrates the impact from organic decline/growth, recent acquisitions and divestitures, and foreign currency translation in relation to orders during the three and six months ended June 30, 2024:</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34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80" w:type="dxa"/>
            <w:vAlign w:val="bottom"/>
          </w:tcPr>
          <w:p>
            <w:pPr>
              <w:ind w:left="360"/>
              <w:spacing w:after="0"/>
              <w:rPr>
                <w:sz w:val="20"/>
                <w:szCs w:val="20"/>
                <w:color w:val="auto"/>
              </w:rPr>
            </w:pPr>
            <w:r>
              <w:rPr>
                <w:rFonts w:ascii="Arial" w:cs="Arial" w:eastAsia="Arial" w:hAnsi="Arial"/>
                <w:sz w:val="14"/>
                <w:szCs w:val="14"/>
                <w:b w:val="1"/>
                <w:bCs w:val="1"/>
                <w:color w:val="auto"/>
              </w:rPr>
              <w:t>Measurement and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80" w:type="dxa"/>
            <w:vAlign w:val="bottom"/>
          </w:tcPr>
          <w:p>
            <w:pPr>
              <w:ind w:left="360"/>
              <w:spacing w:after="0"/>
              <w:rPr>
                <w:sz w:val="20"/>
                <w:szCs w:val="20"/>
                <w:color w:val="auto"/>
              </w:rPr>
            </w:pPr>
            <w:r>
              <w:rPr>
                <w:rFonts w:ascii="Arial" w:cs="Arial" w:eastAsia="Arial" w:hAnsi="Arial"/>
                <w:sz w:val="14"/>
                <w:szCs w:val="14"/>
                <w:b w:val="1"/>
                <w:bCs w:val="1"/>
                <w:color w:val="auto"/>
              </w:rPr>
              <w:t>Control Solutions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Services</w:t>
            </w:r>
          </w:p>
        </w:tc>
        <w:tc>
          <w:tcPr>
            <w:tcW w:w="1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68"/>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60"/>
              <w:spacing w:after="0"/>
              <w:rPr>
                <w:sz w:val="20"/>
                <w:szCs w:val="20"/>
                <w:color w:val="auto"/>
              </w:rPr>
            </w:pPr>
            <w:r>
              <w:rPr>
                <w:rFonts w:ascii="Arial" w:cs="Arial" w:eastAsia="Arial" w:hAnsi="Arial"/>
                <w:sz w:val="14"/>
                <w:szCs w:val="14"/>
                <w:color w:val="auto"/>
              </w:rPr>
              <w:t>$ Change   % Change</w:t>
            </w:r>
          </w:p>
        </w:tc>
        <w:tc>
          <w:tcPr>
            <w:tcW w:w="1880" w:type="dxa"/>
            <w:vAlign w:val="bottom"/>
          </w:tcPr>
          <w:p>
            <w:pPr>
              <w:ind w:left="180"/>
              <w:spacing w:after="0"/>
              <w:rPr>
                <w:sz w:val="20"/>
                <w:szCs w:val="20"/>
                <w:color w:val="auto"/>
              </w:rPr>
            </w:pPr>
            <w:r>
              <w:rPr>
                <w:rFonts w:ascii="Arial" w:cs="Arial" w:eastAsia="Arial" w:hAnsi="Arial"/>
                <w:sz w:val="14"/>
                <w:szCs w:val="14"/>
                <w:color w:val="auto"/>
              </w:rPr>
              <w:t>$ Change   % Change</w:t>
            </w:r>
          </w:p>
        </w:tc>
        <w:tc>
          <w:tcPr>
            <w:tcW w:w="940" w:type="dxa"/>
            <w:vAlign w:val="bottom"/>
          </w:tcPr>
          <w:p>
            <w:pPr>
              <w:ind w:left="180"/>
              <w:spacing w:after="0"/>
              <w:rPr>
                <w:sz w:val="20"/>
                <w:szCs w:val="20"/>
                <w:color w:val="auto"/>
              </w:rPr>
            </w:pPr>
            <w:r>
              <w:rPr>
                <w:rFonts w:ascii="Arial" w:cs="Arial" w:eastAsia="Arial" w:hAnsi="Arial"/>
                <w:sz w:val="14"/>
                <w:szCs w:val="14"/>
                <w:color w:val="auto"/>
              </w:rPr>
              <w:t>$ Change</w:t>
            </w:r>
          </w:p>
        </w:tc>
        <w:tc>
          <w:tcPr>
            <w:tcW w:w="800" w:type="dxa"/>
            <w:vAlign w:val="bottom"/>
          </w:tcPr>
          <w:p>
            <w:pPr>
              <w:ind w:left="120"/>
              <w:spacing w:after="0"/>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Orders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563</w:t>
            </w:r>
          </w:p>
        </w:tc>
        <w:tc>
          <w:tcPr>
            <w:tcW w:w="9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w:t>
            </w:r>
          </w:p>
        </w:tc>
        <w:tc>
          <w:tcPr>
            <w:tcW w:w="9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1,856</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920" w:type="dxa"/>
            <w:vAlign w:val="bottom"/>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92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980" w:type="dxa"/>
            <w:vAlign w:val="bottom"/>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22.6 %</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Orders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465</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384</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548</w:t>
            </w: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2,087</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140" w:hanging="332"/>
        <w:spacing w:after="0" w:line="286" w:lineRule="auto"/>
        <w:tabs>
          <w:tab w:leader="none" w:pos="335"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Euro, British Pound, Chinese Yuan and the Chilean Peso.</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5" w:name="page46"/>
    <w:bookmarkEnd w:id="45"/>
    <w:tbl>
      <w:tblPr>
        <w:tblLayout w:type="fixed"/>
        <w:tblInd w:w="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2340" w:type="dxa"/>
            <w:vAlign w:val="bottom"/>
            <w:vMerge w:val="restart"/>
          </w:tcPr>
          <w:p>
            <w:pPr>
              <w:jc w:val="center"/>
              <w:ind w:left="468"/>
              <w:spacing w:after="0"/>
              <w:rPr>
                <w:sz w:val="20"/>
                <w:szCs w:val="20"/>
                <w:color w:val="auto"/>
              </w:rPr>
            </w:pPr>
            <w:r>
              <w:rPr>
                <w:rFonts w:ascii="Arial" w:cs="Arial" w:eastAsia="Arial" w:hAnsi="Arial"/>
                <w:sz w:val="14"/>
                <w:szCs w:val="14"/>
                <w:b w:val="1"/>
                <w:bCs w:val="1"/>
                <w:color w:val="auto"/>
              </w:rPr>
              <w:t>Water Infrastructure</w:t>
            </w: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Applied Water</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Measurement and</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Water Solutions and</w:t>
            </w:r>
          </w:p>
        </w:tc>
        <w:tc>
          <w:tcPr>
            <w:tcW w:w="17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Total Xylem</w:t>
            </w:r>
          </w:p>
        </w:tc>
        <w:tc>
          <w:tcPr>
            <w:tcW w:w="0" w:type="dxa"/>
            <w:vAlign w:val="bottom"/>
          </w:tcPr>
          <w:p>
            <w:pPr>
              <w:spacing w:after="0"/>
              <w:rPr>
                <w:sz w:val="1"/>
                <w:szCs w:val="1"/>
                <w:color w:val="auto"/>
              </w:rPr>
            </w:pPr>
          </w:p>
        </w:tc>
      </w:tr>
      <w:tr>
        <w:trPr>
          <w:trHeight w:val="189"/>
        </w:trPr>
        <w:tc>
          <w:tcPr>
            <w:tcW w:w="1420" w:type="dxa"/>
            <w:vAlign w:val="bottom"/>
          </w:tcPr>
          <w:p>
            <w:pPr>
              <w:spacing w:after="0"/>
              <w:rPr>
                <w:sz w:val="16"/>
                <w:szCs w:val="16"/>
                <w:color w:val="auto"/>
              </w:rPr>
            </w:pPr>
          </w:p>
        </w:tc>
        <w:tc>
          <w:tcPr>
            <w:tcW w:w="2340" w:type="dxa"/>
            <w:vAlign w:val="bottom"/>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Control Solutions</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Services</w:t>
            </w:r>
          </w:p>
        </w:tc>
        <w:tc>
          <w:tcPr>
            <w:tcW w:w="1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420" w:type="dxa"/>
            <w:vAlign w:val="bottom"/>
          </w:tcPr>
          <w:p>
            <w:pPr>
              <w:spacing w:after="0"/>
              <w:rPr>
                <w:sz w:val="20"/>
                <w:szCs w:val="20"/>
                <w:color w:val="auto"/>
              </w:rPr>
            </w:pPr>
            <w:r>
              <w:rPr>
                <w:rFonts w:ascii="Arial" w:cs="Arial" w:eastAsia="Arial" w:hAnsi="Arial"/>
                <w:sz w:val="14"/>
                <w:szCs w:val="14"/>
                <w:color w:val="auto"/>
              </w:rPr>
              <w:t>(in millions)</w:t>
            </w:r>
          </w:p>
        </w:tc>
        <w:tc>
          <w:tcPr>
            <w:tcW w:w="2340" w:type="dxa"/>
            <w:vAlign w:val="bottom"/>
          </w:tcPr>
          <w:p>
            <w:pPr>
              <w:jc w:val="center"/>
              <w:ind w:left="448"/>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1840" w:type="dxa"/>
            <w:vAlign w:val="bottom"/>
          </w:tcPr>
          <w:p>
            <w:pPr>
              <w:jc w:val="center"/>
              <w:spacing w:after="0"/>
              <w:rPr>
                <w:sz w:val="20"/>
                <w:szCs w:val="20"/>
                <w:color w:val="auto"/>
              </w:rPr>
            </w:pPr>
            <w:r>
              <w:rPr>
                <w:rFonts w:ascii="Arial" w:cs="Arial" w:eastAsia="Arial" w:hAnsi="Arial"/>
                <w:sz w:val="14"/>
                <w:szCs w:val="14"/>
                <w:color w:val="auto"/>
              </w:rPr>
              <w:t>$ Change   % Change</w:t>
            </w:r>
          </w:p>
        </w:tc>
        <w:tc>
          <w:tcPr>
            <w:tcW w:w="920" w:type="dxa"/>
            <w:vAlign w:val="bottom"/>
          </w:tcPr>
          <w:p>
            <w:pPr>
              <w:ind w:left="180"/>
              <w:spacing w:after="0"/>
              <w:rPr>
                <w:sz w:val="20"/>
                <w:szCs w:val="20"/>
                <w:color w:val="auto"/>
              </w:rPr>
            </w:pPr>
            <w:r>
              <w:rPr>
                <w:rFonts w:ascii="Arial" w:cs="Arial" w:eastAsia="Arial" w:hAnsi="Arial"/>
                <w:sz w:val="14"/>
                <w:szCs w:val="14"/>
                <w:color w:val="auto"/>
              </w:rPr>
              <w:t>$ Change</w:t>
            </w:r>
          </w:p>
        </w:tc>
        <w:tc>
          <w:tcPr>
            <w:tcW w:w="1000" w:type="dxa"/>
            <w:vAlign w:val="bottom"/>
          </w:tcPr>
          <w:p>
            <w:pPr>
              <w:ind w:left="140"/>
              <w:spacing w:after="0"/>
              <w:rPr>
                <w:sz w:val="20"/>
                <w:szCs w:val="20"/>
                <w:color w:val="auto"/>
              </w:rPr>
            </w:pPr>
            <w:r>
              <w:rPr>
                <w:rFonts w:ascii="Arial" w:cs="Arial" w:eastAsia="Arial" w:hAnsi="Arial"/>
                <w:sz w:val="14"/>
                <w:szCs w:val="14"/>
                <w:color w:val="auto"/>
              </w:rPr>
              <w:t>% Change</w:t>
            </w:r>
          </w:p>
        </w:tc>
        <w:tc>
          <w:tcPr>
            <w:tcW w:w="1720" w:type="dxa"/>
            <w:vAlign w:val="bottom"/>
          </w:tcPr>
          <w:p>
            <w:pPr>
              <w:jc w:val="center"/>
              <w:ind w:left="108"/>
              <w:spacing w:after="0"/>
              <w:rPr>
                <w:sz w:val="20"/>
                <w:szCs w:val="20"/>
                <w:color w:val="auto"/>
              </w:rPr>
            </w:pPr>
            <w:r>
              <w:rPr>
                <w:rFonts w:ascii="Arial" w:cs="Arial" w:eastAsia="Arial" w:hAnsi="Arial"/>
                <w:sz w:val="14"/>
                <w:szCs w:val="14"/>
                <w:color w:val="auto"/>
              </w:rPr>
              <w:t>$ Change   % Change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0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2023 Orders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1,024</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w:t>
            </w:r>
          </w:p>
        </w:tc>
        <w:tc>
          <w:tcPr>
            <w:tcW w:w="9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885</w:t>
            </w:r>
          </w:p>
        </w:tc>
        <w:tc>
          <w:tcPr>
            <w:tcW w:w="9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9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3,426</w:t>
            </w:r>
          </w:p>
        </w:tc>
        <w:tc>
          <w:tcPr>
            <w:tcW w:w="96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6"/>
                <w:szCs w:val="16"/>
                <w:color w:val="auto"/>
              </w:rPr>
              <w:t>Organic Impact</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920" w:type="dxa"/>
            <w:vAlign w:val="bottom"/>
          </w:tcPr>
          <w:p>
            <w:pPr>
              <w:jc w:val="right"/>
              <w:spacing w:after="0"/>
              <w:rPr>
                <w:sz w:val="20"/>
                <w:szCs w:val="20"/>
                <w:color w:val="auto"/>
              </w:rPr>
            </w:pPr>
            <w:r>
              <w:rPr>
                <w:rFonts w:ascii="Arial" w:cs="Arial" w:eastAsia="Arial" w:hAnsi="Arial"/>
                <w:sz w:val="18"/>
                <w:szCs w:val="18"/>
                <w:color w:val="auto"/>
              </w:rPr>
              <w:t>7.1 %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9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98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96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2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Acquisitions/(Divestitures)</w:t>
            </w: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Constant Currency</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110.9 %</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Foreign currency</w:t>
            </w:r>
          </w:p>
        </w:tc>
        <w:tc>
          <w:tcPr>
            <w:tcW w:w="20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translation (a)</w:t>
            </w: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change in orders</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110.4 %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907</w:t>
            </w:r>
          </w:p>
        </w:tc>
        <w:tc>
          <w:tcPr>
            <w:tcW w:w="9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26.5 %</w:t>
            </w:r>
          </w:p>
        </w:tc>
        <w:tc>
          <w:tcPr>
            <w:tcW w:w="0" w:type="dxa"/>
            <w:vAlign w:val="bottom"/>
          </w:tcPr>
          <w:p>
            <w:pPr>
              <w:spacing w:after="0"/>
              <w:rPr>
                <w:sz w:val="1"/>
                <w:szCs w:val="1"/>
                <w:color w:val="auto"/>
              </w:rPr>
            </w:pPr>
          </w:p>
        </w:tc>
      </w:tr>
      <w:tr>
        <w:trPr>
          <w:trHeight w:val="248"/>
        </w:trPr>
        <w:tc>
          <w:tcPr>
            <w:tcW w:w="2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2024 Orders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1,336</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945</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813</w:t>
            </w: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1,239</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4,333</w:t>
            </w: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80" w:hanging="332"/>
        <w:spacing w:after="0" w:line="286" w:lineRule="auto"/>
        <w:tabs>
          <w:tab w:leader="none" w:pos="335" w:val="left"/>
        </w:tabs>
        <w:numPr>
          <w:ilvl w:val="0"/>
          <w:numId w:val="22"/>
        </w:numPr>
        <w:rPr>
          <w:rFonts w:ascii="Arial" w:cs="Arial" w:eastAsia="Arial" w:hAnsi="Arial"/>
          <w:sz w:val="16"/>
          <w:szCs w:val="16"/>
          <w:color w:val="auto"/>
        </w:rPr>
      </w:pPr>
      <w:r>
        <w:rPr>
          <w:rFonts w:ascii="Arial" w:cs="Arial" w:eastAsia="Arial" w:hAnsi="Arial"/>
          <w:sz w:val="16"/>
          <w:szCs w:val="16"/>
          <w:color w:val="auto"/>
        </w:rPr>
        <w:t>Foreign currency translation impact for the year due to the weakening in value of various currencies against the U.S. Dollar, the largest being the Chinese Yuan, Chilean Peso, Australian Dollar and the Egyptian pound, offset by the strengthening in the British Pound.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Backlog</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$ 5,156 million at June 30, 2024, a decrease of $115 million or 2.2%, as compared to June 30, 2023 backlog of $5,271 million. The decrease in backlog was driven by backlog execution in the Measurement and Control Solutions segment. Backlog increased $ 68 million or 1.3%, as compared to December 31, 2023 backlog of $5,088 million. The increase in backlog was driven by the order intake and contract wins in the current period outpacing revenue and cancellations. We anticipate that approximately 40% of the backlog at June 30, 2024 will be recognized as revenue in the remainder of 2024. There were no significant order cancellations during the quarter.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1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Gross margin as a percentage of revenue remained flat at 37.8% for the three months ended June 30, 2024 and decreased 40 basis points to 37.4% for the six months ended June 30, 2024, as compared to 37.8% for the comparative 2023 period. Gross margin for the quarter included unfavorable impacts of 10 basis points from increases in special charges and acquired intangible asset amortization as compared to the prior year. Additionally, gross margin included 320 basis points of favorable operational impacts, driven by 170 basis points of favorable operational impacts, 90 basis points of price realization, and 50 basis points of increased volume. These increased in gross margin were offset by 310 basis points of unfavorable operational impacts driven by 120 basis points of inflation, 60 basis points of unfavorable mix, 30 basis points of inventory management costs, and 20 basis points of increased spending on strategic investments. The gross margin decrease for the six-month period included 50 basis points from increases in special charges and acquired intangible asset amortization as compared to the prior year. Additionally, gross margin decline included 290 basis points of unfavorable operational impacts, driven by 120 basis points of inflation and 100 basis points of unfavorable impacts from the Evoqua acquisition. The gross margin decrease was partially offset by 300 basis points of favorable operational impacts driven by 170 basis points of productivity savings, 80 basis points of favorable price realization, and 30 basis points of increased volume.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operating expenses for the three and six months ended June 30, 2024 and 2023:</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Change</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color w:val="auto"/>
              </w:rPr>
              <w:t>2023</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55"/>
        </w:trPr>
        <w:tc>
          <w:tcPr>
            <w:tcW w:w="3520" w:type="dxa"/>
            <w:vAlign w:val="bottom"/>
          </w:tcPr>
          <w:p>
            <w:pPr>
              <w:ind w:left="140"/>
              <w:spacing w:after="0" w:line="156" w:lineRule="exact"/>
              <w:rPr>
                <w:sz w:val="20"/>
                <w:szCs w:val="20"/>
                <w:color w:val="auto"/>
              </w:rPr>
            </w:pPr>
            <w:r>
              <w:rPr>
                <w:rFonts w:ascii="Arial" w:cs="Arial" w:eastAsia="Arial" w:hAnsi="Arial"/>
                <w:sz w:val="18"/>
                <w:szCs w:val="18"/>
                <w:color w:val="auto"/>
              </w:rPr>
              <w:t>Selling, general and administrative</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485</w:t>
            </w:r>
          </w:p>
        </w:tc>
        <w:tc>
          <w:tcPr>
            <w:tcW w:w="36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154"/>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3"/>
                <w:szCs w:val="13"/>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959</w:t>
            </w:r>
          </w:p>
        </w:tc>
        <w:tc>
          <w:tcPr>
            <w:tcW w:w="120" w:type="dxa"/>
            <w:vAlign w:val="bottom"/>
          </w:tcPr>
          <w:p>
            <w:pPr>
              <w:spacing w:after="0"/>
              <w:rPr>
                <w:sz w:val="13"/>
                <w:szCs w:val="13"/>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19.9 %</w:t>
            </w:r>
          </w:p>
        </w:tc>
        <w:tc>
          <w:tcPr>
            <w:tcW w:w="0" w:type="dxa"/>
            <w:vAlign w:val="bottom"/>
          </w:tcPr>
          <w:p>
            <w:pPr>
              <w:spacing w:after="0"/>
              <w:rPr>
                <w:sz w:val="1"/>
                <w:szCs w:val="1"/>
                <w:color w:val="auto"/>
              </w:rPr>
            </w:pPr>
          </w:p>
        </w:tc>
      </w:tr>
      <w:tr>
        <w:trPr>
          <w:trHeight w:val="243"/>
        </w:trPr>
        <w:tc>
          <w:tcPr>
            <w:tcW w:w="3520" w:type="dxa"/>
            <w:vAlign w:val="bottom"/>
          </w:tcPr>
          <w:p>
            <w:pPr>
              <w:ind w:left="140"/>
              <w:spacing w:after="0"/>
              <w:rPr>
                <w:sz w:val="20"/>
                <w:szCs w:val="20"/>
                <w:color w:val="auto"/>
              </w:rPr>
            </w:pPr>
            <w:r>
              <w:rPr>
                <w:rFonts w:ascii="Arial" w:cs="Arial" w:eastAsia="Arial" w:hAnsi="Arial"/>
                <w:sz w:val="18"/>
                <w:szCs w:val="18"/>
                <w:color w:val="auto"/>
              </w:rPr>
              <w:t>expenses</w:t>
            </w:r>
          </w:p>
        </w:tc>
        <w:tc>
          <w:tcPr>
            <w:tcW w:w="260" w:type="dxa"/>
            <w:vAlign w:val="bottom"/>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SG&amp;A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(240) bp</w:t>
            </w:r>
          </w:p>
        </w:tc>
        <w:tc>
          <w:tcPr>
            <w:tcW w:w="0" w:type="dxa"/>
            <w:vAlign w:val="bottom"/>
          </w:tcPr>
          <w:p>
            <w:pPr>
              <w:spacing w:after="0"/>
              <w:rPr>
                <w:sz w:val="1"/>
                <w:szCs w:val="1"/>
                <w:color w:val="auto"/>
              </w:rPr>
            </w:pPr>
          </w:p>
        </w:tc>
      </w:tr>
      <w:tr>
        <w:trPr>
          <w:trHeight w:val="230"/>
        </w:trPr>
        <w:tc>
          <w:tcPr>
            <w:tcW w:w="3520" w:type="dxa"/>
            <w:vAlign w:val="bottom"/>
          </w:tcPr>
          <w:p>
            <w:pPr>
              <w:ind w:left="14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tcPr>
          <w:p>
            <w:pPr>
              <w:spacing w:after="0"/>
              <w:rPr>
                <w:sz w:val="19"/>
                <w:szCs w:val="19"/>
                <w:color w:val="auto"/>
              </w:rPr>
            </w:pPr>
          </w:p>
        </w:tc>
        <w:tc>
          <w:tcPr>
            <w:tcW w:w="860" w:type="dxa"/>
            <w:vAlign w:val="bottom"/>
          </w:tcPr>
          <w:p>
            <w:pPr>
              <w:jc w:val="right"/>
              <w:ind w:right="152"/>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80" w:type="dxa"/>
            <w:vAlign w:val="bottom"/>
          </w:tcPr>
          <w:p>
            <w:pPr>
              <w:jc w:val="right"/>
              <w:ind w:right="152"/>
              <w:spacing w:after="0"/>
              <w:rPr>
                <w:sz w:val="20"/>
                <w:szCs w:val="20"/>
                <w:color w:val="auto"/>
              </w:rPr>
            </w:pPr>
            <w:r>
              <w:rPr>
                <w:rFonts w:ascii="Arial" w:cs="Arial" w:eastAsia="Arial" w:hAnsi="Arial"/>
                <w:sz w:val="18"/>
                <w:szCs w:val="18"/>
                <w:b w:val="1"/>
                <w:bCs w:val="1"/>
                <w:color w:val="auto"/>
              </w:rPr>
              <w:t>117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5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72"/>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R&amp;D as a % of revenue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 bp</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 bp</w:t>
            </w:r>
          </w:p>
        </w:tc>
        <w:tc>
          <w:tcPr>
            <w:tcW w:w="0" w:type="dxa"/>
            <w:vAlign w:val="bottom"/>
          </w:tcPr>
          <w:p>
            <w:pPr>
              <w:spacing w:after="0"/>
              <w:rPr>
                <w:sz w:val="1"/>
                <w:szCs w:val="1"/>
                <w:color w:val="auto"/>
              </w:rPr>
            </w:pPr>
          </w:p>
        </w:tc>
      </w:tr>
      <w:tr>
        <w:trPr>
          <w:trHeight w:val="176"/>
        </w:trPr>
        <w:tc>
          <w:tcPr>
            <w:tcW w:w="3520" w:type="dxa"/>
            <w:vAlign w:val="bottom"/>
          </w:tcPr>
          <w:p>
            <w:pPr>
              <w:ind w:left="140"/>
              <w:spacing w:after="0" w:line="176" w:lineRule="exact"/>
              <w:rPr>
                <w:sz w:val="20"/>
                <w:szCs w:val="20"/>
                <w:color w:val="auto"/>
              </w:rPr>
            </w:pPr>
            <w:r>
              <w:rPr>
                <w:rFonts w:ascii="Arial" w:cs="Arial" w:eastAsia="Arial" w:hAnsi="Arial"/>
                <w:sz w:val="18"/>
                <w:szCs w:val="18"/>
                <w:color w:val="auto"/>
              </w:rPr>
              <w:t>Restructuring and asset impairment</w:t>
            </w:r>
          </w:p>
        </w:tc>
        <w:tc>
          <w:tcPr>
            <w:tcW w:w="260" w:type="dxa"/>
            <w:vAlign w:val="bottom"/>
          </w:tcPr>
          <w:p>
            <w:pPr>
              <w:spacing w:after="0"/>
              <w:rPr>
                <w:sz w:val="15"/>
                <w:szCs w:val="15"/>
                <w:color w:val="auto"/>
              </w:rPr>
            </w:pPr>
          </w:p>
        </w:tc>
        <w:tc>
          <w:tcPr>
            <w:tcW w:w="86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ind w:right="15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vMerge w:val="restart"/>
          </w:tcPr>
          <w:p>
            <w:pPr>
              <w:jc w:val="right"/>
              <w:ind w:right="192"/>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vMerge w:val="restart"/>
          </w:tcPr>
          <w:p>
            <w:pPr>
              <w:jc w:val="right"/>
              <w:ind w:right="15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restart"/>
          </w:tcPr>
          <w:p>
            <w:pPr>
              <w:jc w:val="right"/>
              <w:ind w:right="172"/>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charges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08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47"/>
        </w:trPr>
        <w:tc>
          <w:tcPr>
            <w:tcW w:w="3520" w:type="dxa"/>
            <w:vAlign w:val="bottom"/>
          </w:tcPr>
          <w:p>
            <w:pPr>
              <w:ind w:left="360"/>
              <w:spacing w:after="0"/>
              <w:rPr>
                <w:sz w:val="20"/>
                <w:szCs w:val="20"/>
                <w:color w:val="auto"/>
              </w:rPr>
            </w:pPr>
            <w:r>
              <w:rPr>
                <w:rFonts w:ascii="Arial" w:cs="Arial" w:eastAsia="Arial" w:hAnsi="Arial"/>
                <w:sz w:val="18"/>
                <w:szCs w:val="18"/>
                <w:i w:val="1"/>
                <w:iCs w:val="1"/>
                <w:color w:val="auto"/>
              </w:rPr>
              <w:t>Expense to revenue ratio</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(480) bp</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26.4 %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(350) bp</w:t>
            </w:r>
          </w:p>
        </w:tc>
        <w:tc>
          <w:tcPr>
            <w:tcW w:w="0" w:type="dxa"/>
            <w:vAlign w:val="bottom"/>
          </w:tcPr>
          <w:p>
            <w:pPr>
              <w:spacing w:after="0"/>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SG&amp;A expenses increased by $39 million to $ 485 million, or 22.4% of revenue, in the second quarter of 2024, as compared to $446 million, or 25.9% of revenue, in the comparable 2023 period and increased $159 million to $959 million, or 22.8% of revenue, in the six-month period ended June 30, 2024, as compared to $800 million, or 25.2% of revenue, in the comparable 2023 period. Increases in SG&amp;A in the second quarter of 2024 as compared to the prior year primarily consisted of $57 million of additional operational SG&amp;A from the acquisition of Evoqua, inflation of $12 million, increased spending on strategic investments of $11 million, and $9 million of volume. These increases to SG&amp;A expenses were partially offset by decreased realignment costs and special charges of $42 million and $14 million of productivity savings. Increases in SG&amp;A in the six-month period ended June 30, 2024 as compared to the prior year primarily consisted of $148 million of additional operational SG&amp;A from the acquisition of Evoqua, inflation of $23 million, increased spending on strategic investments of</w:t>
      </w:r>
    </w:p>
    <w:p>
      <w:pPr>
        <w:ind w:right="140"/>
        <w:spacing w:after="0" w:line="266" w:lineRule="auto"/>
        <w:rPr>
          <w:sz w:val="20"/>
          <w:szCs w:val="20"/>
          <w:color w:val="auto"/>
        </w:rPr>
      </w:pPr>
      <w:r>
        <w:rPr>
          <w:rFonts w:ascii="Arial" w:cs="Arial" w:eastAsia="Arial" w:hAnsi="Arial"/>
          <w:sz w:val="18"/>
          <w:szCs w:val="18"/>
          <w:color w:val="auto"/>
        </w:rPr>
        <w:t>$18 million and $10 million of volume. These increases to SG&amp;A expenses were partially offset by decreased realignment costs and special charges of $50 million and $25 million of productivity savings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11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R&amp;D expense was $58 million, or 2.7% of revenue, in the second quarter of 2024, as compared to $58 million, or 3.4% of revenue in the second quarter of 2023, and was $117 million, or 2.8% of revenue, in the six months ended June 30, 2024, as compared to $111 million, or 3.5% of revenue in the six months ended June 30, 2023. The R&amp;D spend has remained fairly consistent year over year.</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Asset Impairment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w:t>
      </w:r>
    </w:p>
    <w:p>
      <w:pPr>
        <w:spacing w:after="0" w:line="11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During the three and six months ended June 30, 2024, we incurred restructuring charges of $23 million and $32 million, respectively. For the three and six months ended June 30, 2024, the charges incurred primarily related to strengthening our competitive positioning and the integration of Evoqua.</w:t>
      </w:r>
    </w:p>
    <w:p>
      <w:pPr>
        <w:spacing w:after="0" w:line="6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Actions commenced in 2024 and 2023 consist primarily of severance charges. We currently expect to incur between $40 and $50 million in restructuring costs for the full year.</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5, "Restructuring and Asset Impairment Charges."</w:t>
      </w:r>
    </w:p>
    <w:p>
      <w:pPr>
        <w:spacing w:after="0" w:line="117" w:lineRule="exact"/>
        <w:rPr>
          <w:sz w:val="20"/>
          <w:szCs w:val="20"/>
          <w:color w:val="auto"/>
        </w:rPr>
      </w:pPr>
    </w:p>
    <w:p>
      <w:pPr>
        <w:ind w:right="900"/>
        <w:spacing w:after="0" w:line="279" w:lineRule="auto"/>
        <w:rPr>
          <w:sz w:val="20"/>
          <w:szCs w:val="20"/>
          <w:color w:val="auto"/>
        </w:rPr>
      </w:pPr>
      <w:r>
        <w:rPr>
          <w:rFonts w:ascii="Arial" w:cs="Arial" w:eastAsia="Arial" w:hAnsi="Arial"/>
          <w:sz w:val="18"/>
          <w:szCs w:val="18"/>
          <w:color w:val="auto"/>
        </w:rPr>
        <w:t>The following is a roll-forward for the six months ended June 30, 2024 and 2023 of employee position eliminations associated with restructuring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460" w:type="dxa"/>
            <w:vAlign w:val="bottom"/>
            <w:gridSpan w:val="2"/>
          </w:tcPr>
          <w:p>
            <w:pPr>
              <w:ind w:left="9100"/>
              <w:spacing w:after="0"/>
              <w:rPr>
                <w:sz w:val="20"/>
                <w:szCs w:val="20"/>
                <w:color w:val="auto"/>
              </w:rPr>
            </w:pPr>
            <w:r>
              <w:rPr>
                <w:rFonts w:ascii="Arial" w:cs="Arial" w:eastAsia="Arial" w:hAnsi="Arial"/>
                <w:sz w:val="14"/>
                <w:szCs w:val="14"/>
                <w:b w:val="1"/>
                <w:bCs w:val="1"/>
                <w:color w:val="auto"/>
              </w:rPr>
              <w:t>2024</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color w:val="auto"/>
              </w:rPr>
              <w:t>2023</w:t>
            </w:r>
          </w:p>
        </w:tc>
      </w:tr>
      <w:tr>
        <w:trPr>
          <w:trHeight w:val="224"/>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Planned reductions - January 1</w:t>
            </w:r>
          </w:p>
        </w:tc>
        <w:tc>
          <w:tcPr>
            <w:tcW w:w="8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Additional planned reductions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reductions and reversals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3"/>
        </w:trPr>
        <w:tc>
          <w:tcPr>
            <w:tcW w:w="9460" w:type="dxa"/>
            <w:vAlign w:val="bottom"/>
            <w:gridSpan w:val="2"/>
          </w:tcPr>
          <w:p>
            <w:pPr>
              <w:ind w:left="20"/>
              <w:spacing w:after="0"/>
              <w:rPr>
                <w:sz w:val="20"/>
                <w:szCs w:val="20"/>
                <w:color w:val="auto"/>
              </w:rPr>
            </w:pPr>
            <w:r>
              <w:rPr>
                <w:rFonts w:ascii="Arial" w:cs="Arial" w:eastAsia="Arial" w:hAnsi="Arial"/>
                <w:sz w:val="18"/>
                <w:szCs w:val="18"/>
                <w:color w:val="auto"/>
              </w:rPr>
              <w:t>Planned reductions - June 30</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106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8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Operating Income, Net Income, and Adjusted EBITDA</w:t>
      </w:r>
    </w:p>
    <w:p>
      <w:pPr>
        <w:spacing w:after="0" w:line="11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Operating income was $253 million (operating margin of 11.7%) during the second quarter of 2024, an increase of $134 million, or 112.6%, when compared to operating income of $119 million (operating margin of 6.9%) during the prior year. Operating margin increased 480 basis points, which included net favorable impacts of 360 basis points from decreases in special charges and restructuring and realignment costs, partially offset by increases in acquired intangible asset amortization compared to the prior year. Additionally, operating margin expansion included 530 basis points of favorable operational impacts driven by 240 basis points of productivity savings, 150 basis points of increased volumes, and 120 basis points of price realization. These favorable impacts were partially offset by 420 basis points of unfavorable operational impacts, driven by 180 basis points of inflation, 70 basis points of increased spending on strategic investments, 60 basis points of unfavorable mix and 50 basis points of increased employee costs. Excluding acquired intangible asset amortization, restructuring and realignment costs, and special charges, adjusted operating income was $352 million (adjusted operating margin of 16.2%) for the second quarter of 2024 as compared to adjusted operating income of $259 million (adjusted operating margin of 15.0%) during the comparable quarter in the prior year.</w:t>
      </w:r>
    </w:p>
    <w:p>
      <w:pPr>
        <w:spacing w:after="0" w:line="7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income for the second quarter was $194 million (net income margin of 8.9%), an increase of $102 million as compared to Net income in the prior year of $92 million (net income margin of 5.3%). The increase in net income was driven by increased operating income of $134 million, decreased non-operating income and gains from sale of businesses of $2 million, decreased interest expense of $1 million and increased income tax expense of $31 million. Adjusted EBITDA was $ 452 million (adjusted EBITDA margin of 20.8%) during the second quarter of 2024, an increase of $123 million, or 37%, when compared to adjusted EBITDA of $329 million (adjusted EBITDA margin of</w:t>
      </w:r>
    </w:p>
    <w:p>
      <w:pPr>
        <w:spacing w:after="0" w:line="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19.1%) during the comparable quarter in the prior year, an increase to adjusted EBITDA margin of 170 basis points. Adjusted EBITDA margin was impacted by the same offsetting factors impacting the adjusted operating margin; however, adjusted EBITDA margin also benefited from the exclusion of incremental depreciation and amortization.</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was $ 462 million (operating margin of 11.0%) during the six months ended June 30, 2024, an increase of $212 million, or 84.8%, when compared to operating income of $250 million (operating margin of 7.9%) during the prior year. Operating margin increased 310 basis points, which included net favorable impacts of 170 basis points from decreases in special charges and restructuring and realignment costs, partially offset by increases in acquired intangible asset amortization compared to the prior year. Additionally, operating margin expansion included 520 basis points of favorable operational impacts driven by 250 basis points of productivity savings, 130 basis points of increased volumes and 110 basis points of price realization. These favorable impacts were partially offset by 380 basis points of unfavorable operational impacts, driven by a 180 basis points of inflation, 80 basis points of increased spending on strategic investments and 40 basis points of increased inventory management costs. Excluding acquired intangible asset amortization, restructuring and realignment costs, and special charges, adjusted operating income was $646 million (adjusted operating margin of 15.4%) for the six months ended June 30, 2024 as compared to adjusted operating income of $444 million (adjusted operating margin of 14.0%) during the comparable period in the prior year.</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Net income for the six months ended June 30, 2024 was $ 347 million (net income margin of 8.3%), an increase of $156 million as compared to Net income in the prior year of $ 191 million (net income margin of 6.0%). The increase in net income was driven by increased operating income of $212 million, decreased non-operating income of $1 million, increased loss from sale of businesses of $4 million, increased interest expense of $4 million and increased income tax expense of $47 million. Adjusted EBITDA was $843 million (adjusted EBITDA margin of 20.1%) during the six months ended June 30, 2024, an increase of $278 million, or 49%, when compared to adjusted EBITDA of $565 million (adjusted EBITDA margin of 17.8%) during the comparable quarter in the prior year, an increase to adjusted EBITDA margin of 230 basis points. Adjusted EBITDA margin was impacted by the same offsetting factors impacting the adjusted operating margin; however, adjusted EBITDA margin also benefited from the exclusion of incremental depreciation and amortization.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7" w:right="339" w:bottom="1440" w:gutter="0" w:footer="0" w:header="0"/>
        </w:sectPr>
      </w:pPr>
    </w:p>
    <w:bookmarkStart w:id="48" w:name="page49"/>
    <w:bookmarkEnd w:id="48"/>
    <w:p>
      <w:pPr>
        <w:ind w:right="200"/>
        <w:spacing w:after="0" w:line="279" w:lineRule="auto"/>
        <w:rPr>
          <w:sz w:val="20"/>
          <w:szCs w:val="20"/>
          <w:color w:val="auto"/>
        </w:rPr>
      </w:pPr>
      <w:r>
        <w:rPr>
          <w:rFonts w:ascii="Arial" w:cs="Arial" w:eastAsia="Arial" w:hAnsi="Arial"/>
          <w:sz w:val="18"/>
          <w:szCs w:val="18"/>
          <w:color w:val="auto"/>
        </w:rPr>
        <w:t>The table below provides a reconciliation of the total and each segment's operating income to adjusted operating income, and a calculation of the corresponding adjusted operating margin: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4"/>
          </w:tcPr>
          <w:p>
            <w:pPr>
              <w:ind w:left="2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58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7"/>
                <w:szCs w:val="17"/>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7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color w:val="auto"/>
              </w:rPr>
              <w:t>Change</w:t>
            </w:r>
          </w:p>
        </w:tc>
        <w:tc>
          <w:tcPr>
            <w:tcW w:w="240" w:type="dxa"/>
            <w:vAlign w:val="bottom"/>
          </w:tcPr>
          <w:p>
            <w:pPr>
              <w:spacing w:after="0"/>
              <w:rPr>
                <w:sz w:val="17"/>
                <w:szCs w:val="17"/>
                <w:color w:val="auto"/>
              </w:rPr>
            </w:pPr>
          </w:p>
        </w:tc>
        <w:tc>
          <w:tcPr>
            <w:tcW w:w="820" w:type="dxa"/>
            <w:vAlign w:val="bottom"/>
          </w:tcPr>
          <w:p>
            <w:pPr>
              <w:jc w:val="right"/>
              <w:ind w:right="279"/>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99"/>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319"/>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97"/>
        </w:trPr>
        <w:tc>
          <w:tcPr>
            <w:tcW w:w="3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Water Infrastructure</w:t>
            </w: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78</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138</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12.4 %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13.5 %</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(110) 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11.5 %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12.5 %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(100) 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4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36</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(66.7)</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17.7 %</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i w:val="1"/>
                <w:iCs w:val="1"/>
                <w:color w:val="auto"/>
              </w:rPr>
              <w:t>(170) 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15.3 %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40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Applied Water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71</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(15.5)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132</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17.6 %</w:t>
            </w: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(200) 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14.8 %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(310) bp</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(15.1)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16.0 %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18.0 %</w:t>
            </w:r>
          </w:p>
        </w:tc>
        <w:tc>
          <w:tcPr>
            <w:tcW w:w="100" w:type="dxa"/>
            <w:vAlign w:val="bottom"/>
          </w:tcPr>
          <w:p>
            <w:pPr>
              <w:spacing w:after="0"/>
              <w:rPr>
                <w:sz w:val="18"/>
                <w:szCs w:val="18"/>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6"/>
                <w:szCs w:val="16"/>
                <w:i w:val="1"/>
                <w:iCs w:val="1"/>
                <w:color w:val="auto"/>
              </w:rPr>
              <w:t>(200) 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15.2 %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18.5 %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59"/>
              <w:spacing w:after="0"/>
              <w:rPr>
                <w:sz w:val="20"/>
                <w:szCs w:val="20"/>
                <w:color w:val="auto"/>
              </w:rPr>
            </w:pPr>
            <w:r>
              <w:rPr>
                <w:rFonts w:ascii="Arial" w:cs="Arial" w:eastAsia="Arial" w:hAnsi="Arial"/>
                <w:sz w:val="16"/>
                <w:szCs w:val="16"/>
                <w:i w:val="1"/>
                <w:iCs w:val="1"/>
                <w:color w:val="auto"/>
              </w:rPr>
              <w:t>(330) 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Measurement and Control Solutions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79</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172.4</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149</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170.9</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16.4 %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880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15.8 %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7.2 %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860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(33.3)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(6.7) %</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(3.4)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gridSpan w:val="3"/>
          </w:tcPr>
          <w:p>
            <w:pPr>
              <w:ind w:left="520"/>
              <w:spacing w:after="0"/>
              <w:rPr>
                <w:sz w:val="20"/>
                <w:szCs w:val="20"/>
                <w:color w:val="auto"/>
              </w:rPr>
            </w:pPr>
            <w:r>
              <w:rPr>
                <w:rFonts w:ascii="Arial" w:cs="Arial" w:eastAsia="Arial" w:hAnsi="Arial"/>
                <w:sz w:val="16"/>
                <w:szCs w:val="16"/>
                <w:color w:val="auto"/>
              </w:rPr>
              <w:t>NM %</w:t>
            </w: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96</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400" w:type="dxa"/>
            <w:vAlign w:val="bottom"/>
            <w:tcBorders>
              <w:top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182</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480" w:type="dxa"/>
            <w:vAlign w:val="bottom"/>
            <w:tcBorders>
              <w:top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19.9 %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12.2 %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770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19.3 %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12.3 %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700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Water Solutions and Services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47</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80.8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97</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7.8 %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7.6 %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20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8.4 %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40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tcPr>
          <w:p>
            <w:pPr>
              <w:spacing w:after="0"/>
              <w:rPr>
                <w:sz w:val="18"/>
                <w:szCs w:val="18"/>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187.5</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225.0</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3580" w:type="dxa"/>
            <w:vAlign w:val="bottom"/>
            <w:shd w:val="clear" w:color="auto" w:fill="CCEEFF"/>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26</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40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193.8</w:t>
            </w:r>
          </w:p>
        </w:tc>
        <w:tc>
          <w:tcPr>
            <w:tcW w:w="48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(57.1)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71.4</w:t>
            </w:r>
          </w:p>
        </w:tc>
        <w:tc>
          <w:tcPr>
            <w:tcW w:w="480" w:type="dxa"/>
            <w:vAlign w:val="bottom"/>
            <w:tcBorders>
              <w:bottom w:val="single" w:sz="8" w:color="CCEEFF"/>
            </w:tcBorders>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142.7</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16.5 %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15.8 %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70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15.7 %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13.7 %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200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Corporate and other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loss</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b w:val="1"/>
                <w:bCs w:val="1"/>
                <w:color w:val="auto"/>
              </w:rPr>
              <w:t>(22)</w:t>
            </w:r>
          </w:p>
        </w:tc>
        <w:tc>
          <w:tcPr>
            <w:tcW w:w="34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8"/>
                <w:szCs w:val="18"/>
                <w:color w:val="auto"/>
              </w:rPr>
            </w:pPr>
          </w:p>
        </w:tc>
        <w:tc>
          <w:tcPr>
            <w:tcW w:w="1180" w:type="dxa"/>
            <w:vAlign w:val="bottom"/>
            <w:gridSpan w:val="2"/>
          </w:tcPr>
          <w:p>
            <w:pPr>
              <w:jc w:val="right"/>
              <w:ind w:right="159"/>
              <w:spacing w:after="0"/>
              <w:rPr>
                <w:sz w:val="20"/>
                <w:szCs w:val="20"/>
                <w:color w:val="auto"/>
              </w:rPr>
            </w:pPr>
            <w:r>
              <w:rPr>
                <w:rFonts w:ascii="Arial" w:cs="Arial" w:eastAsia="Arial" w:hAnsi="Arial"/>
                <w:sz w:val="16"/>
                <w:szCs w:val="16"/>
                <w:color w:val="auto"/>
              </w:rPr>
              <w:t>(75.6)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(54)</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99"/>
              <w:spacing w:after="0"/>
              <w:rPr>
                <w:sz w:val="20"/>
                <w:szCs w:val="20"/>
                <w:color w:val="auto"/>
              </w:rPr>
            </w:pPr>
            <w:r>
              <w:rPr>
                <w:rFonts w:ascii="Arial" w:cs="Arial" w:eastAsia="Arial" w:hAnsi="Arial"/>
                <w:sz w:val="16"/>
                <w:szCs w:val="16"/>
                <w:color w:val="auto"/>
              </w:rPr>
              <w:t>(59.1) %</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6"/>
                <w:szCs w:val="16"/>
                <w:color w:val="auto"/>
                <w:w w:val="96"/>
              </w:rPr>
              <w:t>NM</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(95.5) %</w:t>
            </w: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ind w:right="159"/>
              <w:spacing w:after="0"/>
              <w:rPr>
                <w:sz w:val="20"/>
                <w:szCs w:val="20"/>
                <w:color w:val="auto"/>
              </w:rPr>
            </w:pPr>
            <w:r>
              <w:rPr>
                <w:rFonts w:ascii="Arial" w:cs="Arial" w:eastAsia="Arial" w:hAnsi="Arial"/>
                <w:sz w:val="16"/>
                <w:szCs w:val="16"/>
                <w:color w:val="auto"/>
              </w:rPr>
              <w:t>(89.6)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gridSpan w:val="2"/>
          </w:tcPr>
          <w:p>
            <w:pPr>
              <w:jc w:val="right"/>
              <w:ind w:right="199"/>
              <w:spacing w:after="0"/>
              <w:rPr>
                <w:sz w:val="20"/>
                <w:szCs w:val="20"/>
                <w:color w:val="auto"/>
              </w:rPr>
            </w:pPr>
            <w:r>
              <w:rPr>
                <w:rFonts w:ascii="Arial" w:cs="Arial" w:eastAsia="Arial" w:hAnsi="Arial"/>
                <w:sz w:val="16"/>
                <w:szCs w:val="16"/>
                <w:color w:val="auto"/>
              </w:rPr>
              <w:t>(85.9) %</w:t>
            </w:r>
          </w:p>
        </w:tc>
        <w:tc>
          <w:tcPr>
            <w:tcW w:w="0" w:type="dxa"/>
            <w:vAlign w:val="bottom"/>
          </w:tcPr>
          <w:p>
            <w:pPr>
              <w:spacing w:after="0"/>
              <w:rPr>
                <w:sz w:val="1"/>
                <w:szCs w:val="1"/>
                <w:color w:val="auto"/>
              </w:rPr>
            </w:pPr>
          </w:p>
        </w:tc>
      </w:tr>
      <w:tr>
        <w:trPr>
          <w:trHeight w:val="209"/>
        </w:trPr>
        <w:tc>
          <w:tcPr>
            <w:tcW w:w="35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Adjusted operating loss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(15.0)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140"/>
              <w:spacing w:after="0"/>
              <w:rPr>
                <w:sz w:val="20"/>
                <w:szCs w:val="20"/>
                <w:color w:val="auto"/>
              </w:rPr>
            </w:pPr>
            <w:r>
              <w:rPr>
                <w:rFonts w:ascii="Arial" w:cs="Arial" w:eastAsia="Arial" w:hAnsi="Arial"/>
                <w:sz w:val="16"/>
                <w:szCs w:val="16"/>
                <w:b w:val="1"/>
                <w:bCs w:val="1"/>
                <w:color w:val="auto"/>
              </w:rPr>
              <w:t>Total Xylem</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Operating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253</w:t>
            </w: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6"/>
                <w:szCs w:val="16"/>
                <w:color w:val="auto"/>
              </w:rPr>
              <w:t>Operating margin</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i w:val="1"/>
                <w:iCs w:val="1"/>
                <w:color w:val="auto"/>
              </w:rPr>
              <w:t>6.9 %</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480</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11.0 %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i w:val="1"/>
                <w:iCs w:val="1"/>
                <w:color w:val="auto"/>
              </w:rPr>
              <w:t>7.9 %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i w:val="1"/>
                <w:iCs w:val="1"/>
                <w:color w:val="auto"/>
              </w:rPr>
              <w:t>310</w:t>
            </w:r>
          </w:p>
        </w:tc>
        <w:tc>
          <w:tcPr>
            <w:tcW w:w="480" w:type="dxa"/>
            <w:vAlign w:val="bottom"/>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Restructuring and realignment costs</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(21.6)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162"/>
        </w:trPr>
        <w:tc>
          <w:tcPr>
            <w:tcW w:w="3580" w:type="dxa"/>
            <w:vAlign w:val="bottom"/>
          </w:tcPr>
          <w:p>
            <w:pPr>
              <w:ind w:left="520"/>
              <w:spacing w:after="0" w:line="162" w:lineRule="exact"/>
              <w:rPr>
                <w:sz w:val="20"/>
                <w:szCs w:val="20"/>
                <w:color w:val="auto"/>
              </w:rPr>
            </w:pPr>
            <w:r>
              <w:rPr>
                <w:rFonts w:ascii="Arial" w:cs="Arial" w:eastAsia="Arial" w:hAnsi="Arial"/>
                <w:sz w:val="16"/>
                <w:szCs w:val="16"/>
                <w:color w:val="auto"/>
              </w:rPr>
              <w:t>Purchase accounting intangible</w:t>
            </w:r>
          </w:p>
        </w:tc>
        <w:tc>
          <w:tcPr>
            <w:tcW w:w="300" w:type="dxa"/>
            <w:vAlign w:val="bottom"/>
          </w:tcPr>
          <w:p>
            <w:pPr>
              <w:spacing w:after="0"/>
              <w:rPr>
                <w:sz w:val="14"/>
                <w:szCs w:val="14"/>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58.3</w:t>
            </w:r>
          </w:p>
        </w:tc>
        <w:tc>
          <w:tcPr>
            <w:tcW w:w="400" w:type="dxa"/>
            <w:vAlign w:val="bottom"/>
            <w:vMerge w:val="restart"/>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111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1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105.6</w:t>
            </w:r>
          </w:p>
        </w:tc>
        <w:tc>
          <w:tcPr>
            <w:tcW w:w="48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tcPr>
          <w:p>
            <w:pPr>
              <w:ind w:left="52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Special charges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13</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(80.6) %</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(68.5) %</w:t>
            </w:r>
          </w:p>
        </w:tc>
        <w:tc>
          <w:tcPr>
            <w:tcW w:w="0" w:type="dxa"/>
            <w:vAlign w:val="bottom"/>
          </w:tcPr>
          <w:p>
            <w:pPr>
              <w:spacing w:after="0"/>
              <w:rPr>
                <w:sz w:val="1"/>
                <w:szCs w:val="1"/>
                <w:color w:val="auto"/>
              </w:rPr>
            </w:pPr>
          </w:p>
        </w:tc>
      </w:tr>
      <w:tr>
        <w:trPr>
          <w:trHeight w:val="210"/>
        </w:trPr>
        <w:tc>
          <w:tcPr>
            <w:tcW w:w="3580" w:type="dxa"/>
            <w:vAlign w:val="bottom"/>
          </w:tcPr>
          <w:p>
            <w:pPr>
              <w:ind w:left="640"/>
              <w:spacing w:after="0"/>
              <w:rPr>
                <w:sz w:val="20"/>
                <w:szCs w:val="20"/>
                <w:color w:val="auto"/>
              </w:rPr>
            </w:pPr>
            <w:r>
              <w:rPr>
                <w:rFonts w:ascii="Arial" w:cs="Arial" w:eastAsia="Arial" w:hAnsi="Arial"/>
                <w:sz w:val="16"/>
                <w:szCs w:val="16"/>
                <w:color w:val="auto"/>
              </w:rPr>
              <w:t>Adjusted operating income</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940" w:type="dxa"/>
            <w:vAlign w:val="bottom"/>
          </w:tcPr>
          <w:p>
            <w:pPr>
              <w:jc w:val="right"/>
              <w:ind w:right="99"/>
              <w:spacing w:after="0"/>
              <w:rPr>
                <w:sz w:val="20"/>
                <w:szCs w:val="20"/>
                <w:color w:val="auto"/>
              </w:rPr>
            </w:pPr>
            <w:r>
              <w:rPr>
                <w:rFonts w:ascii="Arial" w:cs="Arial" w:eastAsia="Arial" w:hAnsi="Arial"/>
                <w:sz w:val="16"/>
                <w:szCs w:val="16"/>
                <w:b w:val="1"/>
                <w:bCs w:val="1"/>
                <w:color w:val="auto"/>
              </w:rPr>
              <w:t>352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35.9</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ind w:right="119"/>
              <w:spacing w:after="0"/>
              <w:rPr>
                <w:sz w:val="20"/>
                <w:szCs w:val="20"/>
                <w:color w:val="auto"/>
              </w:rPr>
            </w:pPr>
            <w:r>
              <w:rPr>
                <w:rFonts w:ascii="Arial" w:cs="Arial" w:eastAsia="Arial" w:hAnsi="Arial"/>
                <w:sz w:val="16"/>
                <w:szCs w:val="16"/>
                <w:b w:val="1"/>
                <w:bCs w:val="1"/>
                <w:color w:val="auto"/>
              </w:rPr>
              <w:t>646</w:t>
            </w:r>
          </w:p>
        </w:tc>
        <w:tc>
          <w:tcPr>
            <w:tcW w:w="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Adjusted operating margin</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16.2 %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15.0 %</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120</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i w:val="1"/>
                <w:iCs w:val="1"/>
                <w:color w:val="auto"/>
              </w:rPr>
              <w:t>bp</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i w:val="1"/>
                <w:iCs w:val="1"/>
                <w:color w:val="auto"/>
              </w:rPr>
              <w:t>15.4 %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140</w:t>
            </w:r>
          </w:p>
        </w:tc>
        <w:tc>
          <w:tcPr>
            <w:tcW w:w="480" w:type="dxa"/>
            <w:vAlign w:val="bottom"/>
            <w:shd w:val="clear" w:color="auto" w:fill="CCEEFF"/>
          </w:tcPr>
          <w:p>
            <w:pPr>
              <w:jc w:val="right"/>
              <w:ind w:right="159"/>
              <w:spacing w:after="0"/>
              <w:rPr>
                <w:sz w:val="20"/>
                <w:szCs w:val="20"/>
                <w:color w:val="auto"/>
              </w:rPr>
            </w:pPr>
            <w:r>
              <w:rPr>
                <w:rFonts w:ascii="Arial" w:cs="Arial" w:eastAsia="Arial" w:hAnsi="Arial"/>
                <w:sz w:val="16"/>
                <w:szCs w:val="16"/>
                <w:i w:val="1"/>
                <w:iCs w:val="1"/>
                <w:color w:val="auto"/>
              </w:rPr>
              <w:t>bp</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 percentage change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table below provides a reconciliation of net income to consolidated EBITDA and adjusted EBITDA:</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Three Months Ended</w:t>
            </w: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6"/>
          </w:tcPr>
          <w:p>
            <w:pPr>
              <w:jc w:val="right"/>
              <w:ind w:right="550"/>
              <w:spacing w:after="0"/>
              <w:rPr>
                <w:sz w:val="20"/>
                <w:szCs w:val="20"/>
                <w:color w:val="auto"/>
              </w:rPr>
            </w:pPr>
            <w:r>
              <w:rPr>
                <w:rFonts w:ascii="Arial" w:cs="Arial" w:eastAsia="Arial" w:hAnsi="Arial"/>
                <w:sz w:val="18"/>
                <w:szCs w:val="18"/>
                <w:b w:val="1"/>
                <w:bCs w:val="1"/>
                <w:color w:val="auto"/>
              </w:rPr>
              <w:t>Six Months Ended</w:t>
            </w:r>
          </w:p>
        </w:tc>
        <w:tc>
          <w:tcPr>
            <w:tcW w:w="260" w:type="dxa"/>
            <w:vAlign w:val="bottom"/>
          </w:tcPr>
          <w:p>
            <w:pPr>
              <w:spacing w:after="0"/>
              <w:rPr>
                <w:sz w:val="19"/>
                <w:szCs w:val="19"/>
                <w:color w:val="auto"/>
              </w:rPr>
            </w:pPr>
          </w:p>
        </w:tc>
      </w:tr>
      <w:tr>
        <w:trPr>
          <w:trHeight w:val="235"/>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460"/>
              <w:spacing w:after="0"/>
              <w:rPr>
                <w:sz w:val="20"/>
                <w:szCs w:val="20"/>
                <w:color w:val="auto"/>
              </w:rPr>
            </w:pPr>
            <w:r>
              <w:rPr>
                <w:rFonts w:ascii="Arial" w:cs="Arial" w:eastAsia="Arial" w:hAnsi="Arial"/>
                <w:sz w:val="18"/>
                <w:szCs w:val="18"/>
                <w:b w:val="1"/>
                <w:bCs w:val="1"/>
                <w:color w:val="auto"/>
                <w:w w:val="98"/>
              </w:rPr>
              <w:t>June 30</w:t>
            </w:r>
          </w:p>
        </w:tc>
        <w:tc>
          <w:tcPr>
            <w:tcW w:w="6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30</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r>
      <w:tr>
        <w:trPr>
          <w:trHeight w:val="223"/>
        </w:trPr>
        <w:tc>
          <w:tcPr>
            <w:tcW w:w="39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Change</w:t>
            </w: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60" w:type="dxa"/>
            <w:vAlign w:val="bottom"/>
            <w:tcBorders>
              <w:bottom w:val="single" w:sz="8" w:color="auto"/>
            </w:tcBorders>
            <w:shd w:val="clear" w:color="auto" w:fill="CCEEFF"/>
          </w:tcPr>
          <w:p>
            <w:pPr>
              <w:spacing w:after="0"/>
              <w:rPr>
                <w:sz w:val="19"/>
                <w:szCs w:val="19"/>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color w:val="auto"/>
              </w:rPr>
              <w:t>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margin</w:t>
            </w: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360</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bp</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bp</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83</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150"/>
              <w:spacing w:after="0"/>
              <w:rPr>
                <w:sz w:val="20"/>
                <w:szCs w:val="20"/>
                <w:color w:val="auto"/>
              </w:rPr>
            </w:pPr>
            <w:r>
              <w:rPr>
                <w:rFonts w:ascii="Arial" w:cs="Arial" w:eastAsia="Arial" w:hAnsi="Arial"/>
                <w:sz w:val="18"/>
                <w:szCs w:val="18"/>
                <w:b w:val="1"/>
                <w:bCs w:val="1"/>
                <w:color w:val="auto"/>
              </w:rPr>
              <w:t>735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399</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84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w:t>
            </w:r>
          </w:p>
        </w:tc>
        <w:tc>
          <w:tcPr>
            <w:tcW w:w="10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(19)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47</w:t>
            </w:r>
          </w:p>
        </w:tc>
        <w:tc>
          <w:tcPr>
            <w:tcW w:w="1080" w:type="dxa"/>
            <w:vAlign w:val="bottom"/>
            <w:gridSpan w:val="2"/>
          </w:tcPr>
          <w:p>
            <w:pPr>
              <w:jc w:val="right"/>
              <w:ind w:right="210"/>
              <w:spacing w:after="0"/>
              <w:rPr>
                <w:sz w:val="20"/>
                <w:szCs w:val="20"/>
                <w:color w:val="auto"/>
              </w:rPr>
            </w:pPr>
            <w:r>
              <w:rPr>
                <w:rFonts w:ascii="Arial" w:cs="Arial" w:eastAsia="Arial" w:hAnsi="Arial"/>
                <w:sz w:val="18"/>
                <w:szCs w:val="18"/>
                <w:color w:val="auto"/>
              </w:rPr>
              <w:t>(6)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92</w:t>
            </w:r>
          </w:p>
        </w:tc>
        <w:tc>
          <w:tcPr>
            <w:tcW w:w="10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(Gain)/Loss on sale of businesses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7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15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9"/>
                <w:szCs w:val="19"/>
                <w:color w:val="auto"/>
              </w:rPr>
            </w:pPr>
          </w:p>
        </w:tc>
      </w:tr>
      <w:tr>
        <w:trPr>
          <w:trHeight w:val="223"/>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565</w:t>
            </w:r>
          </w:p>
        </w:tc>
        <w:tc>
          <w:tcPr>
            <w:tcW w:w="1080" w:type="dxa"/>
            <w:vAlign w:val="bottom"/>
            <w:tcBorders>
              <w:top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bp</w:t>
            </w: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17.8%</w:t>
            </w:r>
          </w:p>
        </w:tc>
        <w:tc>
          <w:tcPr>
            <w:tcW w:w="1080" w:type="dxa"/>
            <w:vAlign w:val="bottom"/>
            <w:gridSpan w:val="2"/>
          </w:tcPr>
          <w:p>
            <w:pPr>
              <w:jc w:val="right"/>
              <w:ind w:right="250"/>
              <w:spacing w:after="0"/>
              <w:rPr>
                <w:sz w:val="20"/>
                <w:szCs w:val="20"/>
                <w:color w:val="auto"/>
              </w:rPr>
            </w:pPr>
            <w:r>
              <w:rPr>
                <w:rFonts w:ascii="Arial" w:cs="Arial" w:eastAsia="Arial" w:hAnsi="Arial"/>
                <w:sz w:val="18"/>
                <w:szCs w:val="18"/>
                <w:color w:val="auto"/>
              </w:rPr>
              <w:t>230</w:t>
            </w:r>
          </w:p>
        </w:tc>
        <w:tc>
          <w:tcPr>
            <w:tcW w:w="260" w:type="dxa"/>
            <w:vAlign w:val="bottom"/>
          </w:tcPr>
          <w:p>
            <w:pPr>
              <w:jc w:val="right"/>
              <w:spacing w:after="0"/>
              <w:rPr>
                <w:sz w:val="20"/>
                <w:szCs w:val="20"/>
                <w:color w:val="auto"/>
              </w:rPr>
            </w:pPr>
            <w:r>
              <w:rPr>
                <w:rFonts w:ascii="Arial" w:cs="Arial" w:eastAsia="Arial" w:hAnsi="Arial"/>
                <w:sz w:val="18"/>
                <w:szCs w:val="18"/>
                <w:i w:val="1"/>
                <w:iCs w:val="1"/>
                <w:color w:val="auto"/>
              </w:rPr>
              <w:t>bp</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provide a reconciliation of each segment's operating income (loss) to EBITDA and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6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rPr>
              <w:t>June 30, 2024</w:t>
            </w: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900" w:type="dxa"/>
            <w:vAlign w:val="bottom"/>
            <w:gridSpan w:val="2"/>
          </w:tcPr>
          <w:p>
            <w:pPr>
              <w:jc w:val="center"/>
              <w:ind w:right="42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80" w:type="dxa"/>
            <w:vAlign w:val="bottom"/>
            <w:gridSpan w:val="2"/>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98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21"/>
                <w:szCs w:val="21"/>
                <w:color w:val="auto"/>
              </w:rPr>
            </w:pPr>
          </w:p>
        </w:tc>
        <w:tc>
          <w:tcPr>
            <w:tcW w:w="206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9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12.4 %</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15.6 %</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7.8 %</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10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tcPr>
          <w:p>
            <w:pPr>
              <w:jc w:val="right"/>
              <w:ind w:right="151"/>
              <w:spacing w:after="0"/>
              <w:rPr>
                <w:sz w:val="20"/>
                <w:szCs w:val="20"/>
                <w:color w:val="auto"/>
              </w:rPr>
            </w:pPr>
            <w:r>
              <w:rPr>
                <w:rFonts w:ascii="Arial" w:cs="Arial" w:eastAsia="Arial" w:hAnsi="Arial"/>
                <w:sz w:val="18"/>
                <w:szCs w:val="18"/>
                <w:b w:val="1"/>
                <w:bCs w:val="1"/>
                <w:color w:val="auto"/>
              </w:rPr>
              <w:t>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1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60" w:type="dxa"/>
            <w:vAlign w:val="bottom"/>
          </w:tcPr>
          <w:p>
            <w:pPr>
              <w:spacing w:after="0"/>
              <w:rPr>
                <w:sz w:val="15"/>
                <w:szCs w:val="15"/>
                <w:color w:val="auto"/>
              </w:rPr>
            </w:pPr>
          </w:p>
        </w:tc>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140" w:type="dxa"/>
            <w:vAlign w:val="bottom"/>
          </w:tcPr>
          <w:p>
            <w:pPr>
              <w:spacing w:after="0"/>
              <w:rPr>
                <w:sz w:val="15"/>
                <w:szCs w:val="15"/>
                <w:color w:val="auto"/>
              </w:rPr>
            </w:pPr>
          </w:p>
        </w:tc>
        <w:tc>
          <w:tcPr>
            <w:tcW w:w="20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174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160" w:type="dxa"/>
            <w:vAlign w:val="bottom"/>
          </w:tcPr>
          <w:p>
            <w:pPr>
              <w:spacing w:after="0"/>
              <w:rPr>
                <w:sz w:val="20"/>
                <w:szCs w:val="20"/>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excluding interest</w:t>
            </w:r>
          </w:p>
        </w:tc>
        <w:tc>
          <w:tcPr>
            <w:tcW w:w="140" w:type="dxa"/>
            <w:vAlign w:val="bottom"/>
          </w:tcPr>
          <w:p>
            <w:pPr>
              <w:spacing w:after="0"/>
              <w:rPr>
                <w:sz w:val="20"/>
                <w:szCs w:val="20"/>
                <w:color w:val="auto"/>
              </w:rPr>
            </w:pPr>
          </w:p>
        </w:tc>
        <w:tc>
          <w:tcPr>
            <w:tcW w:w="2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60" w:type="dxa"/>
            <w:vAlign w:val="bottom"/>
          </w:tcPr>
          <w:p>
            <w:pPr>
              <w:spacing w:after="0"/>
              <w:rPr>
                <w:sz w:val="21"/>
                <w:szCs w:val="21"/>
                <w:color w:val="auto"/>
              </w:rPr>
            </w:pPr>
          </w:p>
        </w:tc>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77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2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Pr>
          <w:p>
            <w:pPr>
              <w:jc w:val="right"/>
              <w:ind w:right="151"/>
              <w:spacing w:after="0" w:line="203"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8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14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14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4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14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125</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19.8 %</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17.5 %</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7"/>
        </w:trPr>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tcPr>
          <w:p>
            <w:pPr>
              <w:jc w:val="right"/>
              <w:ind w:right="1011"/>
              <w:spacing w:after="0"/>
              <w:rPr>
                <w:sz w:val="20"/>
                <w:szCs w:val="20"/>
                <w:color w:val="auto"/>
              </w:rPr>
            </w:pPr>
            <w:r>
              <w:rPr>
                <w:rFonts w:ascii="Arial" w:cs="Arial" w:eastAsia="Arial" w:hAnsi="Arial"/>
                <w:sz w:val="16"/>
                <w:szCs w:val="16"/>
                <w:color w:val="auto"/>
              </w:rPr>
              <w:t>49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60" w:type="dxa"/>
            <w:vAlign w:val="bottom"/>
            <w:tcBorders>
              <w:bottom w:val="single" w:sz="8" w:color="9A9A9A"/>
            </w:tcBorders>
          </w:tcPr>
          <w:p>
            <w:pPr>
              <w:spacing w:after="0"/>
              <w:rPr>
                <w:sz w:val="10"/>
                <w:szCs w:val="10"/>
                <w:color w:val="auto"/>
              </w:rPr>
            </w:pPr>
          </w:p>
        </w:tc>
        <w:tc>
          <w:tcPr>
            <w:tcW w:w="2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0"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jc w:val="center"/>
              <w:ind w:right="520"/>
              <w:spacing w:after="0"/>
              <w:rPr>
                <w:sz w:val="20"/>
                <w:szCs w:val="20"/>
                <w:color w:val="auto"/>
              </w:rPr>
            </w:pPr>
            <w:r>
              <w:rPr>
                <w:rFonts w:ascii="Arial" w:cs="Arial" w:eastAsia="Arial" w:hAnsi="Arial"/>
                <w:sz w:val="18"/>
                <w:szCs w:val="18"/>
                <w:b w:val="1"/>
                <w:bCs w:val="1"/>
                <w:color w:val="auto"/>
              </w:rPr>
              <w:t>June 30, 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2220" w:type="dxa"/>
            <w:vAlign w:val="bottom"/>
            <w:gridSpan w:val="5"/>
            <w:vMerge w:val="restart"/>
          </w:tcPr>
          <w:p>
            <w:pPr>
              <w:ind w:left="180"/>
              <w:spacing w:after="0"/>
              <w:rPr>
                <w:sz w:val="20"/>
                <w:szCs w:val="20"/>
                <w:color w:val="auto"/>
              </w:rPr>
            </w:pPr>
            <w:r>
              <w:rPr>
                <w:rFonts w:ascii="Arial" w:cs="Arial" w:eastAsia="Arial" w:hAnsi="Arial"/>
                <w:sz w:val="18"/>
                <w:szCs w:val="18"/>
                <w:b w:val="1"/>
                <w:bCs w:val="1"/>
                <w:color w:val="auto"/>
              </w:rPr>
              <w:t>Water Infrastructure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center"/>
              <w:ind w:right="500"/>
              <w:spacing w:after="0" w:line="189" w:lineRule="exact"/>
              <w:rPr>
                <w:sz w:val="20"/>
                <w:szCs w:val="20"/>
                <w:color w:val="auto"/>
              </w:rPr>
            </w:pPr>
            <w:r>
              <w:rPr>
                <w:rFonts w:ascii="Arial" w:cs="Arial" w:eastAsia="Arial" w:hAnsi="Arial"/>
                <w:sz w:val="18"/>
                <w:szCs w:val="18"/>
                <w:b w:val="1"/>
                <w:bCs w:val="1"/>
                <w:color w:val="auto"/>
                <w:w w:val="99"/>
              </w:rPr>
              <w:t>Applied Water</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Measurement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35"/>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22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Systems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40"/>
              <w:spacing w:after="0"/>
              <w:rPr>
                <w:sz w:val="20"/>
                <w:szCs w:val="20"/>
                <w:color w:val="auto"/>
              </w:rPr>
            </w:pPr>
            <w:r>
              <w:rPr>
                <w:rFonts w:ascii="Arial" w:cs="Arial" w:eastAsia="Arial" w:hAnsi="Arial"/>
                <w:sz w:val="18"/>
                <w:szCs w:val="18"/>
                <w:b w:val="1"/>
                <w:bCs w:val="1"/>
                <w:color w:val="auto"/>
              </w:rPr>
              <w:t>Control Solutions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7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13.5 %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17.6 %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7.6 %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7.6 %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4"/>
        </w:trPr>
        <w:tc>
          <w:tcPr>
            <w:tcW w:w="24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 non-operating</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460" w:type="dxa"/>
            <w:vAlign w:val="bottom"/>
            <w:shd w:val="clear" w:color="auto" w:fill="CCEEFF"/>
          </w:tcPr>
          <w:p>
            <w:pPr>
              <w:ind w:left="20"/>
              <w:spacing w:after="0" w:line="181" w:lineRule="exact"/>
              <w:rPr>
                <w:sz w:val="20"/>
                <w:szCs w:val="20"/>
                <w:color w:val="auto"/>
              </w:rPr>
            </w:pPr>
            <w:r>
              <w:rPr>
                <w:rFonts w:ascii="Arial" w:cs="Arial" w:eastAsia="Arial" w:hAnsi="Arial"/>
                <w:sz w:val="18"/>
                <w:szCs w:val="18"/>
                <w:color w:val="auto"/>
              </w:rPr>
              <w:t>income (expense),</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8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excluding interest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15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auto"/>
              <w:bottom w:val="single" w:sz="8" w:color="auto"/>
            </w:tcBorders>
          </w:tcPr>
          <w:p>
            <w:pPr>
              <w:spacing w:after="0"/>
              <w:rPr>
                <w:sz w:val="19"/>
                <w:szCs w:val="19"/>
                <w:color w:val="auto"/>
              </w:rPr>
            </w:pPr>
          </w:p>
        </w:tc>
        <w:tc>
          <w:tcPr>
            <w:tcW w:w="17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106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2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93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63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20.4 %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19.5 %</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23.2 %</w:t>
            </w:r>
          </w:p>
        </w:tc>
        <w:tc>
          <w:tcPr>
            <w:tcW w:w="0" w:type="dxa"/>
            <w:vAlign w:val="bottom"/>
          </w:tcPr>
          <w:p>
            <w:pPr>
              <w:spacing w:after="0"/>
              <w:rPr>
                <w:sz w:val="1"/>
                <w:szCs w:val="1"/>
                <w:color w:val="auto"/>
              </w:rPr>
            </w:pPr>
          </w:p>
        </w:tc>
      </w:tr>
      <w:tr>
        <w:trPr>
          <w:trHeight w:val="454"/>
        </w:trPr>
        <w:tc>
          <w:tcPr>
            <w:tcW w:w="2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2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gridSpan w:val="8"/>
          </w:tcPr>
          <w:p>
            <w:pPr>
              <w:jc w:val="center"/>
              <w:ind w:right="340"/>
              <w:spacing w:after="0"/>
              <w:rPr>
                <w:sz w:val="20"/>
                <w:szCs w:val="20"/>
                <w:color w:val="auto"/>
              </w:rPr>
            </w:pPr>
            <w:r>
              <w:rPr>
                <w:rFonts w:ascii="Arial" w:cs="Arial" w:eastAsia="Arial" w:hAnsi="Arial"/>
                <w:sz w:val="18"/>
                <w:szCs w:val="18"/>
                <w:b w:val="1"/>
                <w:bCs w:val="1"/>
                <w:color w:val="auto"/>
                <w:w w:val="99"/>
              </w:rPr>
              <w:t>2024 versus 2023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3"/>
          </w:tcPr>
          <w:p>
            <w:pPr>
              <w:jc w:val="center"/>
              <w:ind w:right="26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3"/>
          </w:tcPr>
          <w:p>
            <w:pPr>
              <w:ind w:left="80"/>
              <w:spacing w:after="0" w:line="181" w:lineRule="exact"/>
              <w:rPr>
                <w:sz w:val="20"/>
                <w:szCs w:val="20"/>
                <w:color w:val="auto"/>
              </w:rPr>
            </w:pPr>
            <w:r>
              <w:rPr>
                <w:rFonts w:ascii="Arial" w:cs="Arial" w:eastAsia="Arial" w:hAnsi="Arial"/>
                <w:sz w:val="18"/>
                <w:szCs w:val="18"/>
                <w:b w:val="1"/>
                <w:bCs w:val="1"/>
                <w:color w:val="auto"/>
              </w:rPr>
              <w:t>Measurement and</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9"/>
              </w:rPr>
              <w:t>Systems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gridSpan w:val="3"/>
          </w:tcPr>
          <w:p>
            <w:pPr>
              <w:ind w:left="100"/>
              <w:spacing w:after="0"/>
              <w:rPr>
                <w:sz w:val="20"/>
                <w:szCs w:val="20"/>
                <w:color w:val="auto"/>
              </w:rPr>
            </w:pPr>
            <w:r>
              <w:rPr>
                <w:rFonts w:ascii="Arial" w:cs="Arial" w:eastAsia="Arial" w:hAnsi="Arial"/>
                <w:sz w:val="18"/>
                <w:szCs w:val="18"/>
                <w:b w:val="1"/>
                <w:bCs w:val="1"/>
                <w:color w:val="auto"/>
              </w:rPr>
              <w:t>Control Solutions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tcBorders>
              <w:top w:val="single" w:sz="8" w:color="CCEEFF"/>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(110) bps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(200) bps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880 bps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20 bps</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(expense), excluding interest</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2"/>
            <w:vMerge w:val="continue"/>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2"/>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businesses</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19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 bps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(200) bps</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700 bps</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80" w:top="661" w:right="3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9"/>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9"/>
              </w:rPr>
              <w:t>Six Months Ended</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jc w:val="center"/>
              <w:ind w:right="460"/>
              <w:spacing w:after="0"/>
              <w:rPr>
                <w:sz w:val="20"/>
                <w:szCs w:val="20"/>
                <w:color w:val="auto"/>
              </w:rPr>
            </w:pPr>
            <w:r>
              <w:rPr>
                <w:rFonts w:ascii="Arial" w:cs="Arial" w:eastAsia="Arial" w:hAnsi="Arial"/>
                <w:sz w:val="18"/>
                <w:szCs w:val="18"/>
                <w:b w:val="1"/>
                <w:bCs w:val="1"/>
                <w:color w:val="auto"/>
                <w:w w:val="99"/>
              </w:rPr>
              <w:t>June 30, 2024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right="440"/>
              <w:spacing w:after="0" w:line="181" w:lineRule="exact"/>
              <w:rPr>
                <w:sz w:val="20"/>
                <w:szCs w:val="20"/>
                <w:color w:val="auto"/>
              </w:rPr>
            </w:pPr>
            <w:r>
              <w:rPr>
                <w:rFonts w:ascii="Arial" w:cs="Arial" w:eastAsia="Arial" w:hAnsi="Arial"/>
                <w:sz w:val="18"/>
                <w:szCs w:val="18"/>
                <w:b w:val="1"/>
                <w:bCs w:val="1"/>
                <w:color w:val="auto"/>
              </w:rPr>
              <w:t>Applied Water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2020" w:type="dxa"/>
            <w:vAlign w:val="bottom"/>
            <w:gridSpan w:val="3"/>
          </w:tcPr>
          <w:p>
            <w:pPr>
              <w:jc w:val="right"/>
              <w:ind w:right="180"/>
              <w:spacing w:after="0" w:line="181" w:lineRule="exact"/>
              <w:rPr>
                <w:sz w:val="20"/>
                <w:szCs w:val="20"/>
                <w:color w:val="auto"/>
              </w:rPr>
            </w:pPr>
            <w:r>
              <w:rPr>
                <w:rFonts w:ascii="Arial" w:cs="Arial" w:eastAsia="Arial" w:hAnsi="Arial"/>
                <w:sz w:val="18"/>
                <w:szCs w:val="18"/>
                <w:b w:val="1"/>
                <w:bCs w:val="1"/>
                <w:color w:val="auto"/>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138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132</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149</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11.5 %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14.8 %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15.8 %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8.4 %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(Loss) on sale of</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00" w:type="dxa"/>
            <w:vAlign w:val="bottom"/>
            <w:gridSpan w:val="3"/>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60" w:type="dxa"/>
            <w:vAlign w:val="bottom"/>
            <w:gridSpan w:val="3"/>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businesses</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60" w:type="dxa"/>
            <w:vAlign w:val="bottom"/>
            <w:gridSpan w:val="3"/>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6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rPr>
              <w:t>13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60" w:type="dxa"/>
            <w:vAlign w:val="bottom"/>
          </w:tcPr>
          <w:p>
            <w:pPr>
              <w:ind w:left="20"/>
              <w:spacing w:after="0" w:line="183" w:lineRule="exact"/>
              <w:rPr>
                <w:sz w:val="20"/>
                <w:szCs w:val="20"/>
                <w:color w:val="auto"/>
              </w:rPr>
            </w:pPr>
            <w:r>
              <w:rPr>
                <w:rFonts w:ascii="Arial" w:cs="Arial" w:eastAsia="Arial" w:hAnsi="Arial"/>
                <w:sz w:val="18"/>
                <w:szCs w:val="18"/>
                <w:color w:val="auto"/>
              </w:rPr>
              <w:t>income (expense),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205</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211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130"/>
              <w:spacing w:after="0" w:line="203" w:lineRule="exact"/>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50"/>
              <w:spacing w:after="0" w:line="203" w:lineRule="exact"/>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Restructuring &amp;</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26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realignment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0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2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50"/>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50"/>
              <w:spacing w:after="0"/>
              <w:rPr>
                <w:sz w:val="20"/>
                <w:szCs w:val="20"/>
                <w:color w:val="auto"/>
              </w:rPr>
            </w:pPr>
            <w:r>
              <w:rPr>
                <w:rFonts w:ascii="Arial" w:cs="Arial" w:eastAsia="Arial" w:hAnsi="Arial"/>
                <w:sz w:val="18"/>
                <w:szCs w:val="18"/>
                <w:b w:val="1"/>
                <w:bCs w:val="1"/>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18.8 %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17.0 %</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23.1 %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5"/>
        </w:trPr>
        <w:tc>
          <w:tcPr>
            <w:tcW w:w="2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8"/>
          </w:tcPr>
          <w:p>
            <w:pPr>
              <w:jc w:val="center"/>
              <w:ind w:right="380"/>
              <w:spacing w:after="0"/>
              <w:rPr>
                <w:sz w:val="20"/>
                <w:szCs w:val="20"/>
                <w:color w:val="auto"/>
              </w:rPr>
            </w:pPr>
            <w:r>
              <w:rPr>
                <w:rFonts w:ascii="Arial" w:cs="Arial" w:eastAsia="Arial" w:hAnsi="Arial"/>
                <w:sz w:val="18"/>
                <w:szCs w:val="18"/>
                <w:b w:val="1"/>
                <w:bCs w:val="1"/>
                <w:color w:val="auto"/>
                <w:w w:val="99"/>
              </w:rPr>
              <w:t>Six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60" w:type="dxa"/>
            <w:vAlign w:val="bottom"/>
            <w:gridSpan w:val="8"/>
          </w:tcPr>
          <w:p>
            <w:pPr>
              <w:jc w:val="center"/>
              <w:ind w:right="400"/>
              <w:spacing w:after="0"/>
              <w:rPr>
                <w:sz w:val="20"/>
                <w:szCs w:val="20"/>
                <w:color w:val="auto"/>
              </w:rPr>
            </w:pPr>
            <w:r>
              <w:rPr>
                <w:rFonts w:ascii="Arial" w:cs="Arial" w:eastAsia="Arial" w:hAnsi="Arial"/>
                <w:sz w:val="18"/>
                <w:szCs w:val="18"/>
                <w:b w:val="1"/>
                <w:bCs w:val="1"/>
                <w:color w:val="auto"/>
              </w:rPr>
              <w:t>June 30, 2023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Water Infrastructure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right="38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60" w:type="dxa"/>
            <w:vAlign w:val="bottom"/>
            <w:gridSpan w:val="3"/>
          </w:tcPr>
          <w:p>
            <w:pPr>
              <w:ind w:left="100"/>
              <w:spacing w:after="0" w:line="181" w:lineRule="exact"/>
              <w:rPr>
                <w:sz w:val="20"/>
                <w:szCs w:val="20"/>
                <w:color w:val="auto"/>
              </w:rPr>
            </w:pPr>
            <w:r>
              <w:rPr>
                <w:rFonts w:ascii="Arial" w:cs="Arial" w:eastAsia="Arial" w:hAnsi="Arial"/>
                <w:sz w:val="18"/>
                <w:szCs w:val="18"/>
                <w:b w:val="1"/>
                <w:bCs w:val="1"/>
                <w:color w:val="auto"/>
              </w:rPr>
              <w:t>Measurement and</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tcPr>
          <w:p>
            <w:pPr>
              <w:jc w:val="right"/>
              <w:ind w:right="140"/>
              <w:spacing w:after="0" w:line="181" w:lineRule="exact"/>
              <w:rPr>
                <w:sz w:val="20"/>
                <w:szCs w:val="20"/>
                <w:color w:val="auto"/>
              </w:rPr>
            </w:pPr>
            <w:r>
              <w:rPr>
                <w:rFonts w:ascii="Arial" w:cs="Arial" w:eastAsia="Arial" w:hAnsi="Arial"/>
                <w:sz w:val="18"/>
                <w:szCs w:val="18"/>
                <w:b w:val="1"/>
                <w:bCs w:val="1"/>
                <w:color w:val="auto"/>
                <w:w w:val="99"/>
              </w:rPr>
              <w:t>Water Solutions and</w:t>
            </w:r>
          </w:p>
        </w:tc>
        <w:tc>
          <w:tcPr>
            <w:tcW w:w="0" w:type="dxa"/>
            <w:vAlign w:val="bottom"/>
          </w:tcPr>
          <w:p>
            <w:pPr>
              <w:spacing w:after="0"/>
              <w:rPr>
                <w:sz w:val="1"/>
                <w:szCs w:val="1"/>
                <w:color w:val="auto"/>
              </w:rPr>
            </w:pPr>
          </w:p>
        </w:tc>
      </w:tr>
      <w:tr>
        <w:trPr>
          <w:trHeight w:val="243"/>
        </w:trPr>
        <w:tc>
          <w:tcPr>
            <w:tcW w:w="24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6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Systems</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b w:val="1"/>
                <w:bCs w:val="1"/>
                <w:color w:val="auto"/>
              </w:rPr>
              <w:t>Control Solutions</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167</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55</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44</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12.5 %</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8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17.9 %</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7.2 %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right"/>
              <w:ind w:right="20"/>
              <w:spacing w:after="0" w:line="203" w:lineRule="exact"/>
              <w:rPr>
                <w:sz w:val="20"/>
                <w:szCs w:val="20"/>
                <w:color w:val="auto"/>
              </w:rPr>
            </w:pPr>
            <w:r>
              <w:rPr>
                <w:rFonts w:ascii="Arial" w:cs="Arial" w:eastAsia="Arial" w:hAnsi="Arial"/>
                <w:sz w:val="18"/>
                <w:szCs w:val="18"/>
                <w:b w:val="1"/>
                <w:bCs w:val="1"/>
                <w:color w:val="auto"/>
              </w:rPr>
              <w:t>8.0 %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20"/>
              <w:spacing w:after="0" w:line="176" w:lineRule="exact"/>
              <w:rPr>
                <w:sz w:val="20"/>
                <w:szCs w:val="20"/>
                <w:color w:val="auto"/>
              </w:rPr>
            </w:pPr>
            <w:r>
              <w:rPr>
                <w:rFonts w:ascii="Arial" w:cs="Arial" w:eastAsia="Arial" w:hAnsi="Arial"/>
                <w:sz w:val="18"/>
                <w:szCs w:val="18"/>
                <w:color w:val="auto"/>
              </w:rPr>
              <w:t>income (expense),</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vMerge w:val="restart"/>
          </w:tcPr>
          <w:p>
            <w:pPr>
              <w:jc w:val="right"/>
              <w:ind w:right="13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vMerge w:val="restart"/>
          </w:tcPr>
          <w:p>
            <w:pPr>
              <w:jc w:val="right"/>
              <w:ind w:right="5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vMerge w:val="restart"/>
          </w:tcPr>
          <w:p>
            <w:pPr>
              <w:jc w:val="right"/>
              <w:ind w:right="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excluding interest</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144</w:t>
            </w: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179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115</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91</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4</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jc w:val="right"/>
              <w:ind w:right="13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jc w:val="right"/>
              <w:ind w:right="11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sale of business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9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166</w:t>
            </w: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185</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128</w:t>
            </w:r>
          </w:p>
        </w:tc>
        <w:tc>
          <w:tcPr>
            <w:tcW w:w="4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111</w:t>
            </w:r>
          </w:p>
        </w:tc>
        <w:tc>
          <w:tcPr>
            <w:tcW w:w="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17.9 %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19.9 %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16.8 %</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i w:val="1"/>
                <w:iCs w:val="1"/>
                <w:color w:val="auto"/>
              </w:rPr>
              <w:t>20.3 %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755" w:right="5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9"/>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Six Months Ended</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9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2024 versus 2023</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Water Infrastructure</w:t>
            </w:r>
          </w:p>
        </w:tc>
        <w:tc>
          <w:tcPr>
            <w:tcW w:w="260" w:type="dxa"/>
            <w:vAlign w:val="bottom"/>
          </w:tcPr>
          <w:p>
            <w:pPr>
              <w:spacing w:after="0"/>
              <w:rPr>
                <w:sz w:val="15"/>
                <w:szCs w:val="15"/>
                <w:color w:val="auto"/>
              </w:rPr>
            </w:pPr>
          </w:p>
        </w:tc>
        <w:tc>
          <w:tcPr>
            <w:tcW w:w="1880" w:type="dxa"/>
            <w:vAlign w:val="bottom"/>
            <w:gridSpan w:val="2"/>
          </w:tcPr>
          <w:p>
            <w:pPr>
              <w:jc w:val="center"/>
              <w:ind w:right="400"/>
              <w:spacing w:after="0" w:line="181" w:lineRule="exact"/>
              <w:rPr>
                <w:sz w:val="20"/>
                <w:szCs w:val="20"/>
                <w:color w:val="auto"/>
              </w:rPr>
            </w:pPr>
            <w:r>
              <w:rPr>
                <w:rFonts w:ascii="Arial" w:cs="Arial" w:eastAsia="Arial" w:hAnsi="Arial"/>
                <w:sz w:val="18"/>
                <w:szCs w:val="18"/>
                <w:b w:val="1"/>
                <w:bCs w:val="1"/>
                <w:color w:val="auto"/>
                <w:w w:val="99"/>
              </w:rPr>
              <w:t>Applied Water</w:t>
            </w:r>
          </w:p>
        </w:tc>
        <w:tc>
          <w:tcPr>
            <w:tcW w:w="180" w:type="dxa"/>
            <w:vAlign w:val="bottom"/>
          </w:tcPr>
          <w:p>
            <w:pPr>
              <w:spacing w:after="0"/>
              <w:rPr>
                <w:sz w:val="15"/>
                <w:szCs w:val="15"/>
                <w:color w:val="auto"/>
              </w:rPr>
            </w:pPr>
          </w:p>
        </w:tc>
        <w:tc>
          <w:tcPr>
            <w:tcW w:w="1920" w:type="dxa"/>
            <w:vAlign w:val="bottom"/>
            <w:gridSpan w:val="2"/>
          </w:tcPr>
          <w:p>
            <w:pPr>
              <w:ind w:left="60"/>
              <w:spacing w:after="0" w:line="181" w:lineRule="exact"/>
              <w:rPr>
                <w:sz w:val="20"/>
                <w:szCs w:val="20"/>
                <w:color w:val="auto"/>
              </w:rPr>
            </w:pPr>
            <w:r>
              <w:rPr>
                <w:rFonts w:ascii="Arial" w:cs="Arial" w:eastAsia="Arial" w:hAnsi="Arial"/>
                <w:sz w:val="18"/>
                <w:szCs w:val="18"/>
                <w:b w:val="1"/>
                <w:bCs w:val="1"/>
                <w:color w:val="auto"/>
              </w:rPr>
              <w:t>Measurement and</w:t>
            </w:r>
          </w:p>
        </w:tc>
        <w:tc>
          <w:tcPr>
            <w:tcW w:w="120" w:type="dxa"/>
            <w:vAlign w:val="bottom"/>
          </w:tcPr>
          <w:p>
            <w:pPr>
              <w:spacing w:after="0"/>
              <w:rPr>
                <w:sz w:val="15"/>
                <w:szCs w:val="15"/>
                <w:color w:val="auto"/>
              </w:rPr>
            </w:pPr>
          </w:p>
        </w:tc>
        <w:tc>
          <w:tcPr>
            <w:tcW w:w="1880" w:type="dxa"/>
            <w:vAlign w:val="bottom"/>
          </w:tcPr>
          <w:p>
            <w:pPr>
              <w:jc w:val="right"/>
              <w:ind w:right="50"/>
              <w:spacing w:after="0" w:line="181" w:lineRule="exact"/>
              <w:rPr>
                <w:sz w:val="20"/>
                <w:szCs w:val="20"/>
                <w:color w:val="auto"/>
              </w:rPr>
            </w:pPr>
            <w:r>
              <w:rPr>
                <w:rFonts w:ascii="Arial" w:cs="Arial" w:eastAsia="Arial" w:hAnsi="Arial"/>
                <w:sz w:val="18"/>
                <w:szCs w:val="18"/>
                <w:b w:val="1"/>
                <w:bCs w:val="1"/>
                <w:color w:val="auto"/>
                <w:w w:val="98"/>
              </w:rPr>
              <w:t>Water Solutions and</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1"/>
                <w:szCs w:val="21"/>
                <w:color w:val="auto"/>
              </w:rPr>
            </w:pPr>
          </w:p>
        </w:tc>
        <w:tc>
          <w:tcPr>
            <w:tcW w:w="20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9"/>
              </w:rPr>
              <w:t>Systems</w:t>
            </w:r>
          </w:p>
        </w:tc>
        <w:tc>
          <w:tcPr>
            <w:tcW w:w="180" w:type="dxa"/>
            <w:vAlign w:val="bottom"/>
          </w:tcPr>
          <w:p>
            <w:pPr>
              <w:spacing w:after="0"/>
              <w:rPr>
                <w:sz w:val="21"/>
                <w:szCs w:val="21"/>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Control Solutions</w:t>
            </w:r>
          </w:p>
        </w:tc>
        <w:tc>
          <w:tcPr>
            <w:tcW w:w="120" w:type="dxa"/>
            <w:vAlign w:val="bottom"/>
          </w:tcPr>
          <w:p>
            <w:pPr>
              <w:spacing w:after="0"/>
              <w:rPr>
                <w:sz w:val="21"/>
                <w:szCs w:val="21"/>
                <w:color w:val="auto"/>
              </w:rPr>
            </w:pPr>
          </w:p>
        </w:tc>
        <w:tc>
          <w:tcPr>
            <w:tcW w:w="1880" w:type="dxa"/>
            <w:vAlign w:val="bottom"/>
          </w:tcPr>
          <w:p>
            <w:pPr>
              <w:jc w:val="right"/>
              <w:ind w:right="550"/>
              <w:spacing w:after="0"/>
              <w:rPr>
                <w:sz w:val="20"/>
                <w:szCs w:val="20"/>
                <w:color w:val="auto"/>
              </w:rPr>
            </w:pPr>
            <w:r>
              <w:rPr>
                <w:rFonts w:ascii="Arial" w:cs="Arial" w:eastAsia="Arial" w:hAnsi="Arial"/>
                <w:sz w:val="18"/>
                <w:szCs w:val="18"/>
                <w:b w:val="1"/>
                <w:bCs w:val="1"/>
                <w:color w:val="auto"/>
              </w:rPr>
              <w:t>Services</w:t>
            </w: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Operating margin</w:t>
            </w: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tcBorders>
              <w:top w:val="single" w:sz="8" w:color="CCEEFF"/>
            </w:tcBorders>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(100) bps</w:t>
            </w: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(310) bps</w:t>
            </w: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860 bps</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40 bps</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75"/>
        </w:trPr>
        <w:tc>
          <w:tcPr>
            <w:tcW w:w="2660" w:type="dxa"/>
            <w:vAlign w:val="bottom"/>
          </w:tcPr>
          <w:p>
            <w:pPr>
              <w:ind w:left="20"/>
              <w:spacing w:after="0" w:line="176" w:lineRule="exact"/>
              <w:rPr>
                <w:sz w:val="20"/>
                <w:szCs w:val="20"/>
                <w:color w:val="auto"/>
              </w:rPr>
            </w:pPr>
            <w:r>
              <w:rPr>
                <w:rFonts w:ascii="Arial" w:cs="Arial" w:eastAsia="Arial" w:hAnsi="Arial"/>
                <w:sz w:val="18"/>
                <w:szCs w:val="18"/>
                <w:color w:val="auto"/>
              </w:rPr>
              <w:t>Other non-operating income</w:t>
            </w:r>
          </w:p>
        </w:tc>
        <w:tc>
          <w:tcPr>
            <w:tcW w:w="120" w:type="dxa"/>
            <w:vAlign w:val="bottom"/>
          </w:tcPr>
          <w:p>
            <w:pPr>
              <w:spacing w:after="0"/>
              <w:rPr>
                <w:sz w:val="15"/>
                <w:szCs w:val="15"/>
                <w:color w:val="auto"/>
              </w:rPr>
            </w:pPr>
          </w:p>
        </w:tc>
        <w:tc>
          <w:tcPr>
            <w:tcW w:w="186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60" w:type="dxa"/>
            <w:vAlign w:val="bottom"/>
          </w:tcPr>
          <w:p>
            <w:pPr>
              <w:ind w:left="20"/>
              <w:spacing w:after="0"/>
              <w:rPr>
                <w:sz w:val="20"/>
                <w:szCs w:val="20"/>
                <w:color w:val="auto"/>
              </w:rPr>
            </w:pPr>
            <w:r>
              <w:rPr>
                <w:rFonts w:ascii="Arial" w:cs="Arial" w:eastAsia="Arial" w:hAnsi="Arial"/>
                <w:sz w:val="18"/>
                <w:szCs w:val="18"/>
                <w:color w:val="auto"/>
              </w:rPr>
              <w:t>(expense), excluding interest</w:t>
            </w:r>
          </w:p>
        </w:tc>
        <w:tc>
          <w:tcPr>
            <w:tcW w:w="120" w:type="dxa"/>
            <w:vAlign w:val="bottom"/>
          </w:tcPr>
          <w:p>
            <w:pPr>
              <w:spacing w:after="0"/>
              <w:rPr>
                <w:sz w:val="21"/>
                <w:szCs w:val="21"/>
                <w:color w:val="auto"/>
              </w:rPr>
            </w:pPr>
          </w:p>
        </w:tc>
        <w:tc>
          <w:tcPr>
            <w:tcW w:w="18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8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2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Share-based compensation</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&amp; realignment</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2660" w:type="dxa"/>
            <w:vAlign w:val="bottom"/>
          </w:tcPr>
          <w:p>
            <w:pPr>
              <w:ind w:left="20"/>
              <w:spacing w:after="0"/>
              <w:rPr>
                <w:sz w:val="20"/>
                <w:szCs w:val="20"/>
                <w:color w:val="auto"/>
              </w:rPr>
            </w:pPr>
            <w:r>
              <w:rPr>
                <w:rFonts w:ascii="Arial" w:cs="Arial" w:eastAsia="Arial" w:hAnsi="Arial"/>
                <w:sz w:val="18"/>
                <w:szCs w:val="18"/>
                <w:color w:val="auto"/>
              </w:rPr>
              <w:t>Special charges</w:t>
            </w:r>
          </w:p>
        </w:tc>
        <w:tc>
          <w:tcPr>
            <w:tcW w:w="1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sale of businesses</w:t>
            </w:r>
          </w:p>
        </w:tc>
        <w:tc>
          <w:tcPr>
            <w:tcW w:w="12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20"/>
        </w:trPr>
        <w:tc>
          <w:tcPr>
            <w:tcW w:w="2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 margin</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 bps</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(290) bps</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630 bps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 bps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Infrastructure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Water Infrastructure segment was $ 78 million (operating margin of 12.4%) during the second quarter of 2024, an increase of $8 million, or 11.4%, when compared to operating income of $70 million (operating margin of 13.5%) during the prior year, or a total decrease in operating margin of 110 basis points. Operating margin declines included favorable impacts of 60 basis points from only a slight net increase in acquired intangible asset amortization, offset by special charges as compared to the prior year on increased revenue. Additionally, operating margin declines included 530 basis points of unfavorable operational impacts, driven by 160 basis points of inflation, 90 basis points of increased employee related costs, 90 basis points of decreased operating margin related to the Evoqua acquisition, 40 basis points of increased spending on strategic investments, and 40 basis points of decreased volume. Margin declines were offset by 360 basis points from favorable operating impacts driven by 240 basis points of productivity savings and 60 basis points of price realization. Excluding amortization of acquired intangibles, restructuring and realignment cost and special charges, adjusted operating income was $101 million (adjusted operating margin of 16.0%) for the second quarter of 2024 as compared to adjusted operating income of $92 million (adjusted operating margin of 17.7%) for the second quarter of 2023.</w:t>
      </w:r>
    </w:p>
    <w:p>
      <w:pPr>
        <w:spacing w:after="0" w:line="7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was $125 million (adjusted EBITDA margin of 19.8%) for the second quarter of 2024, an increase of $ 19 million, or 17.9%, when compared to adjusted EBITDA of $106 million (adjusted EBITDA margin of 20.4%) during the prior year. Adjusted EBITDA margin was impacted by the same offsetting factors impacting the adjusted operating margin; however, adjusted EBITDA margin was not negatively impacted by the relative impact of depreciation, and software amortization expense.</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55" w:right="399" w:bottom="1440" w:gutter="0" w:footer="0" w:header="0"/>
        </w:sectPr>
      </w:pPr>
    </w:p>
    <w:bookmarkStart w:id="53" w:name="page54"/>
    <w:bookmarkEnd w:id="53"/>
    <w:p>
      <w:pPr>
        <w:ind w:right="100"/>
        <w:spacing w:after="0" w:line="253" w:lineRule="auto"/>
        <w:rPr>
          <w:sz w:val="20"/>
          <w:szCs w:val="20"/>
          <w:color w:val="auto"/>
        </w:rPr>
      </w:pPr>
      <w:r>
        <w:rPr>
          <w:rFonts w:ascii="Arial" w:cs="Arial" w:eastAsia="Arial" w:hAnsi="Arial"/>
          <w:sz w:val="18"/>
          <w:szCs w:val="18"/>
          <w:color w:val="auto"/>
        </w:rPr>
        <w:t>Operating income for our Water Infrastructure segment was $138 million (operating margin of 11.5%) during the six months ended June 30, 2024, an increase of $22 million, or 19.0%, when compared to operating income of $116 million (operating margin of 12.5%) during the prior year, or a total decrease in operating margin of 100 basis points. Operating margin declines included net unfavorable impacts of 140 basis points from increases in acquired intangible asset amortization and restructuring and realignment costs partially offset by decreases in special charges as compared to the prior year. Additionally, operating margin declines included 460 basis points of unfavorable operational impacts, driven by 170 basis points of inflation, 60 basis points of increased spending on strategic investments, and 60 basis points of decreased operating margin related to the Evoqua acquisition. Margin declines were offset by 500 basis points from favorable operating impacts consisting of 240 basis points of productivity savings, 120 basis points of favorable mix, 60 basis points of price realization, 50 basis points of favorable currency impacts and 30 basis points of increased volume. Excluding amortization of acquired intangibles, restructuring and realignment cost and special charges, adjusted operating income was $189 million (adjusted operating margin of 15.7%) for the six months ended June 30, 2024 as compared to adjusted operating income of $142 million (adjusted operating margin of 15.3%) for the six months ended June 30, 2023.</w:t>
      </w:r>
    </w:p>
    <w:p>
      <w:pPr>
        <w:spacing w:after="0" w:line="8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Adjusted EBITDA was $227 million (adjusted EBITDA margin of 18.8%) for the six months ended June 30, 2024, an increase of $61 million, or 37%, when compared to adjusted EBITDA of $166 million (adjusted EBITDA margin of 17.9%) during the prior year. Adjusted EBITDA margin was impacted by the same offsetting factors impacting the adjusted operating margin; however, adjusted EBITDA margin was not negatively impacted by the relative impact of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Applied Water</w:t>
      </w:r>
    </w:p>
    <w:p>
      <w:pPr>
        <w:spacing w:after="0" w:line="11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Operating income for our Applied Water segment was $71 million (operating margin of 15.6%) during the second quarter of 2024, decrease of $13 million, or 15.5%, when compared to operating income of $84 million (operating margin of 17.6%) during the prior year, or a total decrease in operating margin of 200 basis points. Operating margin declines included 490 basis points from unfavorable operational impacts, driven by 200 basis points of inflation, 140 basis points of unfavorable mix, 60 basis points of inventory management costs, and 50 basis points of increased employee related costs. The decline in margin was partially offset by favorable operational impacts of 290 basis points driven by 250 basis points of productivity savings. Excluding restructuring and realignment costs, adjusted operating income was $73 million (adjusted operating margin of 16.0%) for the first quarter of 2024 as compared to adjusted operating income of $86 million (adjusted operating margin of 18.0%) for the second quarter of 2023.</w:t>
      </w:r>
    </w:p>
    <w:p>
      <w:pPr>
        <w:spacing w:after="0" w:line="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Adjusted EBITDA was $80 million (adjusted EBITDA margin of 17.5%) for the second quarter of 2024, a decrease of $13 million, or 14%, when compared to adjusted EBITDA of $93 million (adjusted EBITDA margin of 19.5%) during the prior year. The decrease in adjusted EBITDA margin was primarily due to the same factors impacting the decrease in adjusted operating margin.</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Operating income for our Applied Water segment was $ 132 million (operating margin of 14.8%) during the six months ended June 30, 2024, a decrease of $35 million, or 21.0%, when compared to operating income of $167 million (operating margin of 17.9%) during the prior year, or a total decrease in operating margin of 310 basis points. Operating margin declines included favorable impacts of 20 basis points from a decrease in restructuring and realignment costs as compared to the prior year. Additionally, operating margin declines included 630 basis points from unfavorable operational impacts, driven by 220 basis points of inflation, 200 basis points of unfavorable mix, 90 basis points of decreased volume and 50 basis points of inventory management costs. The decline in margin was partially offset by favorable operational impacts of 300 basis points of productivity savings. Excluding restructuring and realignment costs, adjusted operating income was $136 million (adjusted operating margin of 15.2%) for the six months ended June 30, 2024 as compared to adjusted operating income of $172 million (adjusted operating margin of 18.5%) for the six months ended June 30, 2023.</w:t>
      </w:r>
    </w:p>
    <w:p>
      <w:pPr>
        <w:spacing w:after="0" w:line="7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Adjusted EBITDA was $152 million (adjusted EBITDA margin of 17.0%) for the six months ended June 30, 2024, a decrease of $33 million, or 18%, when compared to adjusted EBITDA of $ 185 million (adjusted EBITDA margin of 19.9%) during the prior year. The decrease in adjusted EBITDA margin was primarily due to the same factors impacting the decrease in adjusted operating margin.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Measurement and Control Solutions</w:t>
      </w:r>
    </w:p>
    <w:p>
      <w:pPr>
        <w:spacing w:after="0" w:line="11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for our Measurement and Control Solutions segment was $79 million (operating margin of 16.4%) during the second quarter of 2024, an increase of $ 50 million, or 172.4%, when compared to operating income of $29 million (operating margin of 7.6%) during the prior year, or a total increase in operating margin of 880 basis points. Operating margin expansion included favorable impacts of 110 basis points from a net decrease in acquired intangible asset amortization, restructuring and realignment costs and special charges as compared to the prior year. Additionally, operating margin expansion included 1,040 basis points of favorable operational impacts, primarily consisting of 320 basis points of increased volume, 310 basis points of price realization, 300 basis points of productivity savings, and 100 basis points of favorable mix. Margin expansion was partially offset by negative operational impacts of 270 basis points driven by 170 basis points of inflation, 60 basis points of increased inventory management costs, and 40 basis points of increased spending on strategic investments. Excluding acquired intangible asset amortization, restructuring and realignment costs and special charges, adjusted operating income was $96 million (adjusted operating margin of 19.9%) for the second quarter of 2024 as compared to adjusted operating income of $47 million (adjusted operating margin of 12.2%) for the second quarter of 2023.</w:t>
      </w:r>
    </w:p>
    <w:p>
      <w:pPr>
        <w:spacing w:after="0" w:line="74" w:lineRule="exact"/>
        <w:rPr>
          <w:sz w:val="20"/>
          <w:szCs w:val="20"/>
          <w:color w:val="auto"/>
        </w:rPr>
      </w:pPr>
    </w:p>
    <w:p>
      <w:pPr>
        <w:ind w:right="200"/>
        <w:spacing w:after="0" w:line="282" w:lineRule="auto"/>
        <w:rPr>
          <w:sz w:val="20"/>
          <w:szCs w:val="20"/>
          <w:color w:val="auto"/>
        </w:rPr>
      </w:pPr>
      <w:r>
        <w:rPr>
          <w:rFonts w:ascii="Arial" w:cs="Arial" w:eastAsia="Arial" w:hAnsi="Arial"/>
          <w:sz w:val="17"/>
          <w:szCs w:val="17"/>
          <w:color w:val="auto"/>
        </w:rPr>
        <w:t>Adjusted EBITDA was $113 million (adjusted EBITDA margin of 23.4%) for the second quarter of 2024, an increase of $50 million, or 79%, when compared to adjusted EBITDA of $63 million (adjusted EBITDA margin of 16.4%) during the prior year. The increase in adjusted EBITDA margin was due to the same factors as those impacting the increase in adjusted operating margin; however, adjusted EBITDA margin did not benefit from the relative impact of share-based compensation expense and depreciation and software amortization.</w:t>
      </w:r>
    </w:p>
    <w:p>
      <w:pPr>
        <w:spacing w:after="0" w:line="5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Operating income for our Measurement and Control Solutions segment was $ 149 million (operating margin of 15.8%) during the six months ended June 30, 2024, an increase of $94 million, or 170.9%, when compared to operating income of $55 million (operating margin of 7.2%) during the prior year, or a total increase in operating margin of 860 basis points. Operating margin expansion included favorable impacts of 160 basis points from reduced restructuring and realignment costs, special charges, and acquired intangible asset amortization as compared to the prior year. Additionally, operating margin expansion included 1,060 basis points of favorable operational impacts, consisting of 340 basis points of productivity savings, 340 basis points of increased volume, 290 basis points of price realization, and 90 basis points of favorable mix. Margin expansion was partially offset by negative operational impacts of 360 basis points driven by 200 basis points of inflation, 70 basis points of increased inventory management costs, and 50 basis points of increased spending on strategic investments. Excluding acquired intangible asset amortization, restructuring and realignment costs and special charges, adjusted operating income was $182 million (adjusted operating margin of 19.3%) for the six months ended June 30, 2024 as compared to adjusted operating income of $94 million (adjusted operating margin of 12.3%) for the six months ended June 30, 2023.</w:t>
      </w:r>
    </w:p>
    <w:p>
      <w:pPr>
        <w:spacing w:after="0" w:line="7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Adjusted EBITDA was $218 million (adjusted EBITDA margin of 23.1%) for the six months ended June 30, 2024, an increase of $90 million, or 70%, when compared to adjusted EBITDA of $128 million (adjusted EBITDA margin of 16.8%) during the prior year. The increase in adjusted EBITDA margin was due to the same factors as those impacting the increase in adjusted operating margin; however, adjusted EBITDA margin did not benefit from the relative impact of share based compensation and depreciation and software amortization.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Solutions and Services</w:t>
      </w:r>
    </w:p>
    <w:p>
      <w:pPr>
        <w:spacing w:after="0" w:line="11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Operating income for our Water Solutions and Services segment was $47 million (operating margin of 7.8%) during the second quarter of 2024, an increase of $21 million, or 80.8%, when compared to operating income of $26 million (operating margin of 7.6%) during the prior year, or a total increase in operating margin of 20 basis points. Operating margin expansion included unfavorable impacts of 50 basis points from increased acquired intangible asset amortization and restructuring and realignment costs, partially offset by decreases in special charges as compared to the prior year. Additionally, operating margin expansion included 610 basis points of favorable operational impacts, consisting of 370 basis points of increased volume, 120 basis points of productivity savings and 120 basis points of price realization. Margin expansion was offset by negative operational impacts of 540 basis points driven by 190 basis points of unfavorable mix, 150 basis points of inflation, and 60 basis points of increased spending on strategic investments. Excluding acquired intangible asset amortization, restructuring and realignment costs, and special charges, adjusted operating income was $99 million (adjusted operating margin of 16.5%) for the second quarter of 2024 as compared to adjusted operating income of $54 million (adjusted operating margin of 15.8%) for the second quarter of 2023.</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17" w:right="379" w:bottom="1440" w:gutter="0" w:footer="0" w:header="0"/>
        </w:sectPr>
      </w:pPr>
    </w:p>
    <w:bookmarkStart w:id="55" w:name="page56"/>
    <w:bookmarkEnd w:id="55"/>
    <w:p>
      <w:pPr>
        <w:ind w:right="60"/>
        <w:spacing w:after="0" w:line="268" w:lineRule="auto"/>
        <w:rPr>
          <w:sz w:val="20"/>
          <w:szCs w:val="20"/>
          <w:color w:val="auto"/>
        </w:rPr>
      </w:pPr>
      <w:r>
        <w:rPr>
          <w:rFonts w:ascii="Arial" w:cs="Arial" w:eastAsia="Arial" w:hAnsi="Arial"/>
          <w:sz w:val="18"/>
          <w:szCs w:val="18"/>
          <w:color w:val="auto"/>
        </w:rPr>
        <w:t>Adjusted EBITDA was $143 million (adjusted EBITDA margin of 23.8%) for the second quarter of 2024, an increase of $64 million, or 81.0%, when compared to adjusted EBITDA of $79 million (adjusted EBITDA margin of 23.2%) during the prior year. The increase in adjusted EBITDA margin was primarily due to the same factors as those impacting the increase in adjusted operating margin.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 for our Water Solutions and Services segment was $97 million (operating margin of 8.4%) during the six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June 30, 2024, an increase of $53 million, or 120.5%, when compared to operating income of $44 million (operating margin of 8.0%) during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prior year, or a total increase in operating margin of 40 basis points. Operating margin expansion included unfavorable impacts of 160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basis points from increases in acquired intangible asset amortization, restructuring and realignment costs, and special charges as compared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prior year. Additionally, operating margin expansion included 560 basis points of favorable operational impacts, consisting of 260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points of increased volume, 110 basis points of accretive margin from the Evoqua acquisition, 100 basis points of price realization, and 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basis points of productivity savings. Margin expansion was offset by negative operational impacts of 350 basis points driven by 110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points of inflation, 90 basis points of increased spending on strategic investments, and 20 basis points of unfavorable mix. Excluding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acquired intangible asset amortization, special charges, and restructuring and realignment costs, adjusted operating income was $182 million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15.7%) for the six months ended June 30, 2024 as compared to adjusted operating income of $75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margin of 13.7%) for the six months ended June 30, 2023.</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Adjusted EBITDA was $268 million (adjusted EBITDA margin of 23.1%) for the six months ended June 30, 2024, an increase of $157 million, or 141%, when compared to adjusted EBITDA of $111 million (adjusted EBITDA margin of 20.3%) during the prior year. The increase in adjusted EBITDA margin was due to the same factors as those impacting the increase in adjusted operating margin; however, adjusted EBITDA margin was not negatively impacted by the relative impact of depreciation and software amortization expense.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11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Operating loss for corporate and other decreased $68 million, or 76%, during the second quarter of 2024 compared to the prior year period. The decrease in operating loss was primarily due to decreased special charges and decreased restructuring costs related to the acquisition and integration of Evoqua. Excluding special charges and restructuring and realignment costs, adjusted operating loss for corporate and other decreased $3 million, or 15.0%, for the three months ended June 30, 2024 primarily due to productivity savings.</w:t>
      </w:r>
    </w:p>
    <w:p>
      <w:pPr>
        <w:spacing w:after="0" w:line="6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Operating loss for corporate and other decreased $78 million, or 59%, during six months ended June 30, 2024 compared to the prior year period. The decrease in operating loss was primarily due to decreased special charges and decreased restructuring costs related to the acquisition and integration of Evoqua. Excluding special charges and restructuring and realignment costs, adjusted operating loss for corporate and other increased $4 million, or 10.3%, for the six months ended June 30, 2024 driven primarily by increased spending on strategic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Interest expense was $11 million for the three months ended June 30, 2024, compared to $12 million for the comparable prior year period. The decrease in interest expense was primarily driven by a reduction of interest on commercial paper and the repayment of the term loan entered into in May 2023 for use in funding the acquisition of Evoqua. The term loan was repaid on April 19, 2024. Partially offsetting these items was an increase in interest expense from the securitization and equipment financing facilities assumed as part of our acquisition of Evoqua.</w:t>
      </w:r>
    </w:p>
    <w:p>
      <w:pPr>
        <w:spacing w:after="0" w:line="7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the six months ended June 30, 2024 interest expense was $25 million compared to $21 million for the six months ended June 30, 2023. The increase in interest expense was primarily driven by a term loan entered into in May 2023 for use in funding the acquisition of Evoqua and securitization and equipment financing facilities assumed as part of our acquisition of Evoqua. The term loan was repaid on April 19, 2024.</w:t>
      </w:r>
    </w:p>
    <w:p>
      <w:pPr>
        <w:spacing w:after="0" w:line="68" w:lineRule="exact"/>
        <w:rPr>
          <w:sz w:val="20"/>
          <w:szCs w:val="20"/>
          <w:color w:val="auto"/>
        </w:rPr>
      </w:pPr>
    </w:p>
    <w:p>
      <w:pPr>
        <w:ind w:right="900"/>
        <w:spacing w:after="0" w:line="287" w:lineRule="auto"/>
        <w:rPr>
          <w:sz w:val="20"/>
          <w:szCs w:val="20"/>
          <w:color w:val="auto"/>
        </w:rPr>
      </w:pPr>
      <w:r>
        <w:rPr>
          <w:rFonts w:ascii="Arial" w:cs="Arial" w:eastAsia="Arial" w:hAnsi="Arial"/>
          <w:sz w:val="18"/>
          <w:szCs w:val="18"/>
          <w:color w:val="auto"/>
        </w:rPr>
        <w:t>See Note 10, “Derivative Financial Instruments” and Note 12, "Credit Facilities and Debt," of our condensed consolidated financial statements for a description of our net investment hedges and credit facilities and long-term debt, respectively.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income tax provision for the three months ended June 30, 2024 was $53 million resulting in an effective tax rate of 21.4%, compared to $22 million of expense resulting in an effective tax rate of 19.1% for the same period in 2023. The income tax provision for the six months ended June 30, 2024 was $96 million resulting in an effective tax rate of 21.6%, compared to a $49 million expense resulting in an effective tax rate of 20.5% for the same period in 2023. The effective tax rate for the three and six month periods ended June 30, 2024 was higher than the effective tax rate for the same period in 2023, primarily due to earnings mix.</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5" w:right="3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sources and (uses) of cash:</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June 30,</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7"/>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color w:val="auto"/>
              </w:rPr>
              <w:t>Change</w:t>
            </w:r>
          </w:p>
        </w:tc>
      </w:tr>
      <w:tr>
        <w:trPr>
          <w:trHeight w:val="224"/>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29"/>
        </w:trPr>
        <w:tc>
          <w:tcPr>
            <w:tcW w:w="662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r>
      <w:tr>
        <w:trPr>
          <w:trHeight w:val="230"/>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Foreign exchange (a)</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48"/>
        </w:trPr>
        <w:tc>
          <w:tcPr>
            <w:tcW w:w="6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impact is primarily due to weakening of the Euro.</w:t>
      </w:r>
    </w:p>
    <w:p>
      <w:pPr>
        <w:spacing w:after="0" w:line="110" w:lineRule="exact"/>
        <w:rPr>
          <w:rFonts w:ascii="Arial" w:cs="Arial" w:eastAsia="Arial" w:hAnsi="Arial"/>
          <w:sz w:val="16"/>
          <w:szCs w:val="16"/>
          <w:color w:val="auto"/>
        </w:rPr>
      </w:pPr>
    </w:p>
    <w:p>
      <w:pPr>
        <w:ind w:right="8660"/>
        <w:spacing w:after="0" w:line="374" w:lineRule="auto"/>
        <w:rPr>
          <w:rFonts w:ascii="Arial" w:cs="Arial" w:eastAsia="Arial" w:hAnsi="Arial"/>
          <w:sz w:val="16"/>
          <w:szCs w:val="16"/>
          <w:color w:val="auto"/>
        </w:rPr>
      </w:pPr>
      <w:r>
        <w:rPr>
          <w:rFonts w:ascii="Arial" w:cs="Arial" w:eastAsia="Arial" w:hAnsi="Arial"/>
          <w:sz w:val="18"/>
          <w:szCs w:val="18"/>
          <w:b w:val="1"/>
          <w:bCs w:val="1"/>
          <w:i w:val="1"/>
          <w:iCs w:val="1"/>
          <w:color w:val="auto"/>
        </w:rPr>
        <w:t xml:space="preserve">Sources and Uses of Liquidity </w:t>
      </w:r>
      <w:r>
        <w:rPr>
          <w:rFonts w:ascii="Arial" w:cs="Arial" w:eastAsia="Arial" w:hAnsi="Arial"/>
          <w:sz w:val="18"/>
          <w:szCs w:val="18"/>
          <w:i w:val="1"/>
          <w:iCs w:val="1"/>
          <w:color w:val="auto"/>
        </w:rPr>
        <w:t>Operating Activities</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Cash generated by operating activities was $377 million for the six months ended June 30, 2024 as compared to cash generated by operating activities of $9 million in the comparable prior year period. The increase in cash provided was primarily driven by higher cash earnings, the investment in a distribution agreement of select technology and payments made for Evoqua's pre-closing transaction costs in 2023 that did not recur in 2024, timing of collections of accounts receivables and lower tax payments. Increased inventory levels and the build up of payable balances in 2023 related to Evoqua acquisition transaction costs compared to the payment of trade payables in 2024 partially offset these items.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Cash used in investing activities was $128 million for the six months ended June 30, 2024 as compared to $489 million in the comparable prior year period. The decrease in cash used reflects payments related to the 2023 Evoqua acquisition, cash received from the termination of acquired interest rate swaps in 2023 that did not recur in 2024 and reduced cash paid for equity investments. Lower proceeds from the sale of a businesses and higher capital expenditures partially offset these items.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Cash used by financing activities was $419 million for the six months ended June 30, 2024 as compared to cash received of $235 million in the comparable prior year period. The increase in cash used reflects cash received from a new term loan agreement and the issuance of commercial paper in 2023 that did not recur in 2024, the repayment of a term loan in the current year, and higher dividend payments.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and Liquidity Strategy</w:t>
      </w:r>
    </w:p>
    <w:p>
      <w:pPr>
        <w:spacing w:after="0" w:line="11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spacing w:after="0" w:line="4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w:t>
      </w:r>
    </w:p>
    <w:p>
      <w:pPr>
        <w:spacing w:after="0" w:line="7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We monitor our global funding requirements and seek to meet our liquidity needs on a cost-effective basis. In addition, our existing committed credit facilities and access to the public debt markets would provide further liquidity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spacing w:after="0" w:line="262" w:lineRule="auto"/>
        <w:rPr>
          <w:sz w:val="20"/>
          <w:szCs w:val="20"/>
          <w:color w:val="auto"/>
        </w:rPr>
      </w:pPr>
      <w:r>
        <w:rPr>
          <w:rFonts w:ascii="Arial" w:cs="Arial" w:eastAsia="Arial" w:hAnsi="Arial"/>
          <w:sz w:val="18"/>
          <w:szCs w:val="18"/>
          <w:color w:val="auto"/>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$1.8 billion, consisting of $815 million of cash and $1 billion of available credit facilities as disclosed in Note 12, "Credit Facilities and Debt", of our condensed consolidated financial statements.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&amp; Long-Term Contractual Commitments</w:t>
      </w:r>
    </w:p>
    <w:p>
      <w:pPr>
        <w:spacing w:after="0" w:line="11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See Note 12, "Credit Facilities and Debt," of our condensed consolidated financial statements for a description of our credit facilities and long-term debt.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11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expected future cash generation and investment opportunities, and reassess whether there is a need to repatriate funds held internationally to support our U.S.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2023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2023 Annual Report.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2024 Outlook</w:t>
      </w:r>
    </w:p>
    <w:p>
      <w:pPr>
        <w:spacing w:after="0" w:line="117"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are updating our total revenue growth to be 16%, and organic revenue growth to be in the range of 5% to 6% in 2024. Our outlook reflects our current visibility and expectations based on the current market environment and other factors and is largely consistent with the outlook provided in our 2023 Annual Report. Our ability to meet our expectations is subject to a number of risks, including, but not limited to, those described in "Item 1A. Risk Factors" in our 2023 Annual Report.</w:t>
      </w:r>
    </w:p>
    <w:p>
      <w:pPr>
        <w:spacing w:after="0" w:line="6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concerning market risk as stated in our 2023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58" w:name="page59"/>
    <w:bookmarkEnd w:id="58"/>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11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1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Evoqua previously disclosed in its public filings that the United States Attorney’s Office for the District of Massachusetts was investigating whether financial misstatements were made in Evoqua’s public filings and earnings announcements from 2016 to 2018 and prior to Xylem’s purchase of Evoqua. Xylem previously disclosed in our 2023 Annual Report that the investigation was moved to the United States Attorney’s Office for the District of Rhode Island (the “USAO”). On May 13, 2024, Evoqua and the USAO entered into a non-prosecution agreement (the “Agreement”) to resolve the matter. Under the Agreement, Evoqua paid a criminal monetary penalty of $8.5 million. The Agreement does not include a compliance monitorship, and Evoqua agreed to certain ongoing monitoring, reporting and compliance obligations for a period of two years.</w:t>
      </w:r>
    </w:p>
    <w:p>
      <w:pPr>
        <w:spacing w:after="0" w:line="77" w:lineRule="exact"/>
        <w:rPr>
          <w:sz w:val="20"/>
          <w:szCs w:val="20"/>
          <w:color w:val="auto"/>
        </w:rPr>
      </w:pPr>
    </w:p>
    <w:p>
      <w:pPr>
        <w:ind w:right="720"/>
        <w:spacing w:after="0" w:line="287" w:lineRule="auto"/>
        <w:rPr>
          <w:sz w:val="20"/>
          <w:szCs w:val="20"/>
          <w:color w:val="auto"/>
        </w:rPr>
      </w:pPr>
      <w:r>
        <w:rPr>
          <w:rFonts w:ascii="Arial" w:cs="Arial" w:eastAsia="Arial" w:hAnsi="Arial"/>
          <w:sz w:val="18"/>
          <w:szCs w:val="18"/>
          <w:color w:val="auto"/>
        </w:rPr>
        <w:t>See Note 18, "Commitments and Contingencies," to the condensed consolidated financial statements for further information and any updates.</w:t>
      </w:r>
    </w:p>
    <w:p>
      <w:pPr>
        <w:spacing w:after="0" w:line="4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"Item 1A. Risk Factors" of our 2023 Annual Report.</w:t>
      </w:r>
    </w:p>
    <w:p>
      <w:pPr>
        <w:spacing w:after="0" w:line="11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presents information with respect to purchases of the Company's common stock by the Company during the three months ended June 30, 2024:</w:t>
      </w:r>
    </w:p>
    <w:tbl>
      <w:tblPr>
        <w:tblLayout w:type="fixed"/>
        <w:tblInd w:w="0" w:type="dxa"/>
        <w:tblCellMar>
          <w:top w:w="0" w:type="dxa"/>
          <w:left w:w="0" w:type="dxa"/>
          <w:bottom w:w="0" w:type="dxa"/>
          <w:right w:w="0" w:type="dxa"/>
        </w:tblCellMar>
      </w:tblPr>
      <w:tr>
        <w:trPr>
          <w:trHeight w:val="149"/>
        </w:trPr>
        <w:tc>
          <w:tcPr>
            <w:tcW w:w="2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TOTAL NUMBER OF</w:t>
            </w:r>
          </w:p>
        </w:tc>
        <w:tc>
          <w:tcPr>
            <w:tcW w:w="2080" w:type="dxa"/>
            <w:vAlign w:val="bottom"/>
          </w:tcPr>
          <w:p>
            <w:pPr>
              <w:jc w:val="center"/>
              <w:ind w:left="1"/>
              <w:spacing w:after="0" w:line="149" w:lineRule="exact"/>
              <w:rPr>
                <w:sz w:val="20"/>
                <w:szCs w:val="20"/>
                <w:color w:val="auto"/>
              </w:rPr>
            </w:pPr>
            <w:r>
              <w:rPr>
                <w:rFonts w:ascii="Arial" w:cs="Arial" w:eastAsia="Arial" w:hAnsi="Arial"/>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PER SHARE</w:t>
            </w:r>
          </w:p>
        </w:tc>
        <w:tc>
          <w:tcPr>
            <w:tcW w:w="2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 AS</w:t>
            </w:r>
          </w:p>
        </w:tc>
        <w:tc>
          <w:tcPr>
            <w:tcW w:w="20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rPr>
              <w:t>VALUE OF SHARES THAT</w:t>
            </w:r>
          </w:p>
        </w:tc>
        <w:tc>
          <w:tcPr>
            <w:tcW w:w="0" w:type="dxa"/>
            <w:vAlign w:val="bottom"/>
          </w:tcPr>
          <w:p>
            <w:pPr>
              <w:spacing w:after="0"/>
              <w:rPr>
                <w:sz w:val="1"/>
                <w:szCs w:val="1"/>
                <w:color w:val="auto"/>
              </w:rPr>
            </w:pPr>
          </w:p>
        </w:tc>
      </w:tr>
      <w:tr>
        <w:trPr>
          <w:trHeight w:val="144"/>
        </w:trPr>
        <w:tc>
          <w:tcPr>
            <w:tcW w:w="2760" w:type="dxa"/>
            <w:vAlign w:val="bottom"/>
            <w:vMerge w:val="continue"/>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 PRICE PAID PER</w:t>
            </w:r>
          </w:p>
        </w:tc>
        <w:tc>
          <w:tcPr>
            <w:tcW w:w="21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PART OF PUBLICLY</w:t>
            </w:r>
          </w:p>
        </w:tc>
        <w:tc>
          <w:tcPr>
            <w:tcW w:w="2080" w:type="dxa"/>
            <w:vAlign w:val="bottom"/>
          </w:tcPr>
          <w:p>
            <w:pPr>
              <w:jc w:val="center"/>
              <w:ind w:left="21"/>
              <w:spacing w:after="0" w:line="145" w:lineRule="exact"/>
              <w:rPr>
                <w:sz w:val="20"/>
                <w:szCs w:val="20"/>
                <w:color w:val="auto"/>
              </w:rPr>
            </w:pPr>
            <w:r>
              <w:rPr>
                <w:rFonts w:ascii="Arial" w:cs="Arial" w:eastAsia="Arial" w:hAnsi="Arial"/>
                <w:sz w:val="14"/>
                <w:szCs w:val="14"/>
                <w:b w:val="1"/>
                <w:bCs w:val="1"/>
                <w:color w:val="auto"/>
              </w:rPr>
              <w:t>MAY YET BE PURCHASED</w:t>
            </w:r>
          </w:p>
        </w:tc>
        <w:tc>
          <w:tcPr>
            <w:tcW w:w="0" w:type="dxa"/>
            <w:vAlign w:val="bottom"/>
          </w:tcPr>
          <w:p>
            <w:pPr>
              <w:spacing w:after="0"/>
              <w:rPr>
                <w:sz w:val="1"/>
                <w:szCs w:val="1"/>
                <w:color w:val="auto"/>
              </w:rPr>
            </w:pPr>
          </w:p>
        </w:tc>
      </w:tr>
      <w:tr>
        <w:trPr>
          <w:trHeight w:val="139"/>
        </w:trPr>
        <w:tc>
          <w:tcPr>
            <w:tcW w:w="276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AMOUNTS)</w:t>
            </w:r>
          </w:p>
        </w:tc>
        <w:tc>
          <w:tcPr>
            <w:tcW w:w="20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21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ANNOUNCED PLANS OR</w:t>
            </w:r>
          </w:p>
        </w:tc>
        <w:tc>
          <w:tcPr>
            <w:tcW w:w="2080" w:type="dxa"/>
            <w:vAlign w:val="bottom"/>
          </w:tcPr>
          <w:p>
            <w:pPr>
              <w:jc w:val="center"/>
              <w:ind w:left="21"/>
              <w:spacing w:after="0" w:line="13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5"/>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PERIOD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 (a)</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 (b)</w:t>
            </w:r>
          </w:p>
        </w:tc>
        <w:tc>
          <w:tcPr>
            <w:tcW w:w="20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rPr>
              <w:t>PROGRAMS (b)</w:t>
            </w:r>
          </w:p>
        </w:tc>
        <w:tc>
          <w:tcPr>
            <w:tcW w:w="0" w:type="dxa"/>
            <w:vAlign w:val="bottom"/>
          </w:tcPr>
          <w:p>
            <w:pPr>
              <w:spacing w:after="0"/>
              <w:rPr>
                <w:sz w:val="1"/>
                <w:szCs w:val="1"/>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4/1/24 - 4/30/24</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5/1/24 - 5/31/24</w:t>
            </w:r>
          </w:p>
        </w:tc>
        <w:tc>
          <w:tcPr>
            <w:tcW w:w="20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r>
        <w:trPr>
          <w:trHeight w:val="230"/>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6/1/24 - 6/30/24</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center"/>
              <w:ind w:left="1"/>
              <w:spacing w:after="0"/>
              <w:rPr>
                <w:sz w:val="20"/>
                <w:szCs w:val="20"/>
                <w:color w:val="auto"/>
              </w:rPr>
            </w:pPr>
            <w:r>
              <w:rPr>
                <w:rFonts w:ascii="Arial" w:cs="Arial" w:eastAsia="Arial" w:hAnsi="Arial"/>
                <w:sz w:val="18"/>
                <w:szCs w:val="18"/>
                <w:b w:val="1"/>
                <w:bCs w:val="1"/>
                <w:color w:val="auto"/>
                <w:w w:val="99"/>
              </w:rPr>
              <w:t>$182</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right="400"/>
        <w:spacing w:after="0" w:line="286" w:lineRule="auto"/>
        <w:rPr>
          <w:sz w:val="20"/>
          <w:szCs w:val="20"/>
          <w:color w:val="auto"/>
        </w:rPr>
      </w:pPr>
      <w:r>
        <w:rPr>
          <w:rFonts w:ascii="Arial" w:cs="Arial" w:eastAsia="Arial" w:hAnsi="Arial"/>
          <w:sz w:val="16"/>
          <w:szCs w:val="16"/>
          <w:color w:val="auto"/>
        </w:rPr>
        <w:t>This table does not include shares tendered to satisfy the exercise price in connection with cashless exercises of employee stock options or shares tendered to satisfy tax withholding obligations in connection with employee equity awards.</w:t>
      </w:r>
    </w:p>
    <w:p>
      <w:pPr>
        <w:spacing w:after="0" w:line="61"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Average price paid per share is calculated on a settlement basis.</w:t>
      </w:r>
    </w:p>
    <w:p>
      <w:pPr>
        <w:spacing w:after="0" w:line="113" w:lineRule="exact"/>
        <w:rPr>
          <w:rFonts w:ascii="Arial" w:cs="Arial" w:eastAsia="Arial" w:hAnsi="Arial"/>
          <w:sz w:val="16"/>
          <w:szCs w:val="16"/>
          <w:color w:val="auto"/>
        </w:rPr>
      </w:pPr>
    </w:p>
    <w:p>
      <w:pPr>
        <w:ind w:left="340" w:right="40" w:hanging="332"/>
        <w:spacing w:after="0" w:line="271" w:lineRule="auto"/>
        <w:tabs>
          <w:tab w:leader="none" w:pos="335"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On August 24, 2015, our Board of Directors authorized the repurchase of up to $500 million in shares with no expiration date. The program's objective is to deploy our capital in a manner that benefits our </w:t>
      </w:r>
      <w:r>
        <w:rPr>
          <w:rFonts w:ascii="Arial" w:cs="Arial" w:eastAsia="Arial" w:hAnsi="Arial"/>
          <w:sz w:val="17"/>
          <w:szCs w:val="17"/>
          <w:color w:val="auto"/>
        </w:rPr>
        <w:t>stockholders</w:t>
      </w:r>
      <w:r>
        <w:rPr>
          <w:rFonts w:ascii="Arial" w:cs="Arial" w:eastAsia="Arial" w:hAnsi="Arial"/>
          <w:sz w:val="16"/>
          <w:szCs w:val="16"/>
          <w:color w:val="auto"/>
        </w:rPr>
        <w:t xml:space="preserve"> and maintains our focus on growth. There were no shares repurchased under this program for the three months ended June 30, 2024. There are up to $182 million in shares that may still be purchased under this plan as of June 30, 2024.</w:t>
      </w:r>
    </w:p>
    <w:p>
      <w:pPr>
        <w:spacing w:after="0" w:line="29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line="1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 Trading Plans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quarter ended June 30, 2024, no director or Section 16 officer adopted or terminated any Rule 10b5-1 trading arrangements or non-Rule 10b5-1 trading arrangements (in each case, as defined in Item 408(a) of Regulation S-K).</w:t>
      </w:r>
    </w:p>
    <w:p>
      <w:pPr>
        <w:spacing w:after="0" w:line="28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for a list of exhibits filed as part of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40" w:right="6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XYLEM INC.</w:t>
            </w:r>
          </w:p>
        </w:tc>
        <w:tc>
          <w:tcPr>
            <w:tcW w:w="0" w:type="dxa"/>
            <w:vAlign w:val="bottom"/>
          </w:tcPr>
          <w:p>
            <w:pPr>
              <w:spacing w:after="0"/>
              <w:rPr>
                <w:sz w:val="1"/>
                <w:szCs w:val="1"/>
                <w:color w:val="auto"/>
              </w:rPr>
            </w:pPr>
          </w:p>
        </w:tc>
      </w:tr>
      <w:tr>
        <w:trPr>
          <w:trHeight w:val="247"/>
        </w:trPr>
        <w:tc>
          <w:tcPr>
            <w:tcW w:w="19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6800" w:type="dxa"/>
            <w:vAlign w:val="bottom"/>
          </w:tcPr>
          <w:p>
            <w:pPr>
              <w:jc w:val="center"/>
              <w:ind w:right="4356"/>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168"/>
        </w:trPr>
        <w:tc>
          <w:tcPr>
            <w:tcW w:w="1920" w:type="dxa"/>
            <w:vAlign w:val="bottom"/>
          </w:tcPr>
          <w:p>
            <w:pPr>
              <w:jc w:val="center"/>
              <w:ind w:right="1008"/>
              <w:spacing w:after="0"/>
              <w:rPr>
                <w:sz w:val="20"/>
                <w:szCs w:val="20"/>
                <w:color w:val="auto"/>
              </w:rPr>
            </w:pPr>
            <w:r>
              <w:rPr>
                <w:rFonts w:ascii="Arial" w:cs="Arial" w:eastAsia="Arial" w:hAnsi="Arial"/>
                <w:sz w:val="14"/>
                <w:szCs w:val="14"/>
                <w:b w:val="1"/>
                <w:bCs w:val="1"/>
                <w:color w:val="auto"/>
              </w:rPr>
              <w:t>Exhibit</w:t>
            </w:r>
          </w:p>
        </w:tc>
        <w:tc>
          <w:tcPr>
            <w:tcW w:w="252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6800" w:type="dxa"/>
            <w:vAlign w:val="bottom"/>
            <w:vMerge w:val="restart"/>
          </w:tcPr>
          <w:p>
            <w:pPr>
              <w:ind w:left="3860"/>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85"/>
        </w:trPr>
        <w:tc>
          <w:tcPr>
            <w:tcW w:w="1920" w:type="dxa"/>
            <w:vAlign w:val="bottom"/>
            <w:tcBorders>
              <w:bottom w:val="single" w:sz="8" w:color="auto"/>
            </w:tcBorders>
          </w:tcPr>
          <w:p>
            <w:pPr>
              <w:jc w:val="center"/>
              <w:ind w:right="988"/>
              <w:spacing w:after="0"/>
              <w:rPr>
                <w:sz w:val="20"/>
                <w:szCs w:val="20"/>
                <w:color w:val="auto"/>
              </w:rPr>
            </w:pPr>
            <w:r>
              <w:rPr>
                <w:rFonts w:ascii="Arial" w:cs="Arial" w:eastAsia="Arial" w:hAnsi="Arial"/>
                <w:sz w:val="14"/>
                <w:szCs w:val="14"/>
                <w:b w:val="1"/>
                <w:bCs w:val="1"/>
                <w:color w:val="auto"/>
              </w:rPr>
              <w:t>Number</w:t>
            </w:r>
          </w:p>
        </w:tc>
        <w:tc>
          <w:tcPr>
            <w:tcW w:w="2520" w:type="dxa"/>
            <w:vAlign w:val="bottom"/>
            <w:tcBorders>
              <w:bottom w:val="single" w:sz="8" w:color="auto"/>
            </w:tcBorders>
            <w:vMerge w:val="continue"/>
          </w:tcPr>
          <w:p>
            <w:pPr>
              <w:spacing w:after="0"/>
              <w:rPr>
                <w:sz w:val="16"/>
                <w:szCs w:val="16"/>
                <w:color w:val="auto"/>
              </w:rPr>
            </w:pPr>
          </w:p>
        </w:tc>
        <w:tc>
          <w:tcPr>
            <w:tcW w:w="6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sectPr>
          <w:pgSz w:w="11900" w:h="16838" w:orient="portrait"/>
          <w:cols w:equalWidth="0" w:num="1">
            <w:col w:w="11240"/>
          </w:cols>
          <w:pgMar w:left="320" w:top="890" w:right="339" w:bottom="1440" w:gutter="0" w:footer="0" w:header="0"/>
        </w:sectPr>
      </w:pPr>
    </w:p>
    <w:p>
      <w:pPr>
        <w:ind w:left="1100" w:hanging="790"/>
        <w:spacing w:after="0"/>
        <w:tabs>
          <w:tab w:leader="none" w:pos="1080" w:val="left"/>
        </w:tabs>
        <w:rPr>
          <w:rFonts w:ascii="Arial" w:cs="Arial" w:eastAsia="Arial" w:hAnsi="Arial"/>
          <w:sz w:val="18"/>
          <w:szCs w:val="18"/>
          <w:color w:val="0000FF"/>
        </w:rPr>
      </w:pPr>
      <w:hyperlink r:id="rId77">
        <w:r>
          <w:rPr>
            <w:rFonts w:ascii="Arial" w:cs="Arial" w:eastAsia="Arial" w:hAnsi="Arial"/>
            <w:sz w:val="18"/>
            <w:szCs w:val="18"/>
            <w:u w:val="single" w:color="auto"/>
            <w:color w:val="0000FF"/>
          </w:rPr>
          <w:t>3.1</w:t>
        </w:r>
      </w:hyperlink>
      <w:r>
        <w:rPr>
          <w:rFonts w:ascii="Arial" w:cs="Arial" w:eastAsia="Arial" w:hAnsi="Arial"/>
          <w:sz w:val="18"/>
          <w:szCs w:val="18"/>
          <w:color w:val="0000FF"/>
        </w:rPr>
        <w:tab/>
        <w:t>Fourth Amended and Restated Articles of Incorporation of Xylem Inc.</w:t>
      </w:r>
    </w:p>
    <w:p>
      <w:pPr>
        <w:spacing w:after="0" w:line="59" w:lineRule="exact"/>
        <w:rPr>
          <w:sz w:val="20"/>
          <w:szCs w:val="20"/>
          <w:color w:val="auto"/>
        </w:rPr>
      </w:pPr>
    </w:p>
    <w:p>
      <w:pPr>
        <w:ind w:left="300"/>
        <w:spacing w:after="0"/>
        <w:tabs>
          <w:tab w:leader="none" w:pos="1080" w:val="left"/>
        </w:tabs>
        <w:rPr>
          <w:rFonts w:ascii="Arial" w:cs="Arial" w:eastAsia="Arial" w:hAnsi="Arial"/>
          <w:sz w:val="18"/>
          <w:szCs w:val="18"/>
          <w:color w:val="0000FF"/>
        </w:rPr>
      </w:pPr>
      <w:hyperlink r:id="rId78">
        <w:r>
          <w:rPr>
            <w:rFonts w:ascii="Arial" w:cs="Arial" w:eastAsia="Arial" w:hAnsi="Arial"/>
            <w:sz w:val="18"/>
            <w:szCs w:val="18"/>
            <w:u w:val="single" w:color="auto"/>
            <w:color w:val="0000FF"/>
          </w:rPr>
          <w:t>3.2</w:t>
        </w:r>
      </w:hyperlink>
      <w:r>
        <w:rPr>
          <w:rFonts w:ascii="Arial" w:cs="Arial" w:eastAsia="Arial" w:hAnsi="Arial"/>
          <w:sz w:val="18"/>
          <w:szCs w:val="18"/>
          <w:color w:val="0000FF"/>
        </w:rPr>
        <w:tab/>
      </w:r>
      <w:r>
        <w:rPr>
          <w:rFonts w:ascii="Arial" w:cs="Arial" w:eastAsia="Arial" w:hAnsi="Arial"/>
          <w:sz w:val="17"/>
          <w:szCs w:val="17"/>
          <w:color w:val="0000FF"/>
        </w:rPr>
        <w:t>Fifth Amended and Restated By-laws of Xylem Inc.</w:t>
      </w:r>
    </w:p>
    <w:p>
      <w:pPr>
        <w:spacing w:after="0" w:line="200" w:lineRule="exact"/>
        <w:rPr>
          <w:sz w:val="20"/>
          <w:szCs w:val="20"/>
          <w:color w:val="auto"/>
        </w:rPr>
      </w:pPr>
    </w:p>
    <w:p>
      <w:pPr>
        <w:spacing w:after="0" w:line="241" w:lineRule="exact"/>
        <w:rPr>
          <w:sz w:val="20"/>
          <w:szCs w:val="20"/>
          <w:color w:val="auto"/>
        </w:rPr>
      </w:pPr>
    </w:p>
    <w:p>
      <w:pPr>
        <w:jc w:val="right"/>
        <w:ind w:left="260" w:right="60"/>
        <w:spacing w:after="0" w:line="221" w:lineRule="auto"/>
        <w:rPr>
          <w:sz w:val="20"/>
          <w:szCs w:val="20"/>
          <w:color w:val="auto"/>
        </w:rPr>
      </w:pPr>
      <w:r>
        <w:rPr>
          <w:rFonts w:ascii="Arial" w:cs="Arial" w:eastAsia="Arial" w:hAnsi="Arial"/>
          <w:sz w:val="18"/>
          <w:szCs w:val="18"/>
          <w:u w:val="single" w:color="auto"/>
          <w:color w:val="0000FF"/>
        </w:rPr>
        <w:t>31.1</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Section 302 of the Sarbanes-Oxley Act of 2002</w:t>
      </w:r>
    </w:p>
    <w:p>
      <w:pPr>
        <w:spacing w:after="0" w:line="59" w:lineRule="exact"/>
        <w:rPr>
          <w:sz w:val="20"/>
          <w:szCs w:val="20"/>
          <w:color w:val="auto"/>
        </w:rPr>
      </w:pPr>
    </w:p>
    <w:p>
      <w:pPr>
        <w:jc w:val="right"/>
        <w:ind w:left="260" w:right="60"/>
        <w:spacing w:after="0" w:line="221" w:lineRule="auto"/>
        <w:rPr>
          <w:sz w:val="20"/>
          <w:szCs w:val="20"/>
          <w:color w:val="auto"/>
        </w:rPr>
      </w:pPr>
      <w:r>
        <w:rPr>
          <w:rFonts w:ascii="Arial" w:cs="Arial" w:eastAsia="Arial" w:hAnsi="Arial"/>
          <w:sz w:val="18"/>
          <w:szCs w:val="18"/>
          <w:u w:val="single" w:color="auto"/>
          <w:color w:val="0000FF"/>
        </w:rPr>
        <w:t>31.2</w:t>
      </w:r>
      <w:r>
        <w:rPr>
          <w:rFonts w:ascii="Arial" w:cs="Arial" w:eastAsia="Arial" w:hAnsi="Arial"/>
          <w:sz w:val="18"/>
          <w:szCs w:val="18"/>
          <w:color w:val="0000FF"/>
        </w:rPr>
        <w:t xml:space="preserve">     </w:t>
      </w:r>
      <w:r>
        <w:rPr>
          <w:rFonts w:ascii="Arial" w:cs="Arial" w:eastAsia="Arial" w:hAnsi="Arial"/>
          <w:sz w:val="18"/>
          <w:szCs w:val="18"/>
          <w:color w:val="000000"/>
        </w:rPr>
        <w:t>Certification pursuant to Rule 13a -14(a)/15d-14(a) of the</w:t>
      </w:r>
      <w:r>
        <w:rPr>
          <w:rFonts w:ascii="Arial" w:cs="Arial" w:eastAsia="Arial" w:hAnsi="Arial"/>
          <w:sz w:val="18"/>
          <w:szCs w:val="18"/>
          <w:color w:val="0000FF"/>
        </w:rPr>
        <w:t xml:space="preserve"> </w:t>
      </w:r>
      <w:r>
        <w:rPr>
          <w:rFonts w:ascii="Arial" w:cs="Arial" w:eastAsia="Arial" w:hAnsi="Arial"/>
          <w:sz w:val="18"/>
          <w:szCs w:val="18"/>
          <w:color w:val="000000"/>
        </w:rPr>
        <w:t>Securities Exchange Act of 1934, as adopted pursuant to</w:t>
      </w:r>
    </w:p>
    <w:p>
      <w:pPr>
        <w:spacing w:after="0" w:line="1" w:lineRule="exact"/>
        <w:rPr>
          <w:sz w:val="20"/>
          <w:szCs w:val="20"/>
          <w:color w:val="auto"/>
        </w:rPr>
      </w:pPr>
    </w:p>
    <w:p>
      <w:pPr>
        <w:jc w:val="center"/>
        <w:ind w:left="240"/>
        <w:spacing w:after="0"/>
        <w:rPr>
          <w:sz w:val="20"/>
          <w:szCs w:val="20"/>
          <w:color w:val="auto"/>
        </w:rPr>
      </w:pPr>
      <w:r>
        <w:rPr>
          <w:rFonts w:ascii="Arial" w:cs="Arial" w:eastAsia="Arial" w:hAnsi="Arial"/>
          <w:sz w:val="18"/>
          <w:szCs w:val="18"/>
          <w:color w:val="auto"/>
        </w:rPr>
        <w:t>Section 302 of the Sarbanes-Oxley Act of 2002</w:t>
      </w:r>
    </w:p>
    <w:p>
      <w:pPr>
        <w:spacing w:after="0" w:line="20" w:lineRule="exact"/>
        <w:rPr>
          <w:sz w:val="20"/>
          <w:szCs w:val="20"/>
          <w:color w:val="auto"/>
        </w:rPr>
      </w:pPr>
      <w:r>
        <w:rPr>
          <w:sz w:val="20"/>
          <w:szCs w:val="20"/>
          <w:color w:val="auto"/>
        </w:rPr>
        <w:br w:type="column"/>
      </w:r>
    </w:p>
    <w:p>
      <w:pPr>
        <w:ind w:right="80"/>
        <w:spacing w:after="0"/>
        <w:rPr>
          <w:sz w:val="20"/>
          <w:szCs w:val="20"/>
          <w:color w:val="auto"/>
        </w:rPr>
      </w:pPr>
      <w:r>
        <w:rPr>
          <w:rFonts w:ascii="Arial" w:cs="Arial" w:eastAsia="Arial" w:hAnsi="Arial"/>
          <w:sz w:val="18"/>
          <w:szCs w:val="18"/>
          <w:color w:val="auto"/>
        </w:rPr>
        <w:t>Incorporated by reference to Exhibit 3.1 of Xylem Inc.’s Form 8-K filed on May 15, 2017 (CIK No. 1524472, File No. 1-35229).</w:t>
      </w:r>
    </w:p>
    <w:p>
      <w:pPr>
        <w:spacing w:after="0" w:line="59"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Incorporated by reference to Exhibit 3.1 of Xylem Inc.’s Form 8-K filed on November 15, 2022 (CIK No. 1524472, File No. 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35229).</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441" w:lineRule="exact"/>
        <w:rPr>
          <w:sz w:val="20"/>
          <w:szCs w:val="20"/>
          <w:color w:val="auto"/>
        </w:rPr>
      </w:pPr>
    </w:p>
    <w:p>
      <w:pPr>
        <w:sectPr>
          <w:pgSz w:w="11900" w:h="16838" w:orient="portrait"/>
          <w:cols w:equalWidth="0" w:num="2">
            <w:col w:w="5700" w:space="300"/>
            <w:col w:w="5240"/>
          </w:cols>
          <w:pgMar w:left="320" w:top="890" w:right="339" w:bottom="1440" w:gutter="0" w:footer="0" w:header="0"/>
          <w:type w:val="continuous"/>
        </w:sectPr>
      </w:pPr>
    </w:p>
    <w:p>
      <w:pPr>
        <w:ind w:left="1100" w:right="220" w:hanging="840"/>
        <w:spacing w:after="0" w:line="221" w:lineRule="auto"/>
        <w:tabs>
          <w:tab w:leader="none" w:pos="1080" w:val="left"/>
        </w:tabs>
        <w:rPr>
          <w:sz w:val="20"/>
          <w:szCs w:val="20"/>
          <w:color w:val="auto"/>
        </w:rPr>
      </w:pPr>
      <w:r>
        <w:rPr>
          <w:rFonts w:ascii="Arial" w:cs="Arial" w:eastAsia="Arial" w:hAnsi="Arial"/>
          <w:sz w:val="18"/>
          <w:szCs w:val="18"/>
          <w:u w:val="single" w:color="auto"/>
          <w:color w:val="0000FF"/>
        </w:rPr>
        <w:t>32.1</w:t>
      </w:r>
      <w:r>
        <w:rPr>
          <w:sz w:val="20"/>
          <w:szCs w:val="20"/>
          <w:color w:val="auto"/>
        </w:rPr>
        <w:tab/>
      </w:r>
      <w:r>
        <w:rPr>
          <w:rFonts w:ascii="Arial" w:cs="Arial" w:eastAsia="Arial" w:hAnsi="Arial"/>
          <w:sz w:val="18"/>
          <w:szCs w:val="18"/>
          <w:color w:val="auto"/>
        </w:rPr>
        <w:t>Certification Pursuant to 18 U.S.C. Section 1350, as adopted This Exhibit is intended to be furnished in accordance with pursuant to Section 906 of the Sarbanes-Oxley Act of 2002 Regulation S-K Item 601(b) (32) (ii) and shall not be deemed to</w:t>
      </w:r>
    </w:p>
    <w:p>
      <w:pPr>
        <w:sectPr>
          <w:pgSz w:w="11900" w:h="16838" w:orient="portrait"/>
          <w:cols w:equalWidth="0" w:num="1">
            <w:col w:w="1124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100" w:right="80" w:hanging="890"/>
        <w:spacing w:after="0" w:line="234" w:lineRule="auto"/>
        <w:tabs>
          <w:tab w:leader="none" w:pos="108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7"/>
          <w:szCs w:val="17"/>
          <w:color w:val="auto"/>
        </w:rPr>
        <w:t>The following materials from Xylem Inc.’s Quarterly Report on Form 10-Q for the quarterly period ended June 30, 2024,</w:t>
      </w:r>
    </w:p>
    <w:p>
      <w:pPr>
        <w:spacing w:after="0" w:line="1" w:lineRule="exact"/>
        <w:rPr>
          <w:sz w:val="20"/>
          <w:szCs w:val="20"/>
          <w:color w:val="auto"/>
        </w:rPr>
      </w:pPr>
    </w:p>
    <w:p>
      <w:pPr>
        <w:ind w:left="1100" w:right="80"/>
        <w:spacing w:after="0" w:line="221" w:lineRule="auto"/>
        <w:rPr>
          <w:sz w:val="20"/>
          <w:szCs w:val="20"/>
          <w:color w:val="auto"/>
        </w:rPr>
      </w:pPr>
      <w:r>
        <w:rPr>
          <w:rFonts w:ascii="Arial" w:cs="Arial" w:eastAsia="Arial" w:hAnsi="Arial"/>
          <w:sz w:val="17"/>
          <w:szCs w:val="17"/>
          <w:color w:val="auto"/>
        </w:rPr>
        <w:t>formatted in Inline Extensible Business Reporting Language (Inline XBRL): (i) Condensed Consolidated Income Statements, (ii) Condensed Consolidated Statements of</w:t>
      </w:r>
    </w:p>
    <w:p>
      <w:pPr>
        <w:ind w:left="1100"/>
        <w:spacing w:after="0" w:line="208" w:lineRule="auto"/>
        <w:rPr>
          <w:sz w:val="20"/>
          <w:szCs w:val="20"/>
          <w:color w:val="auto"/>
        </w:rPr>
      </w:pPr>
      <w:r>
        <w:rPr>
          <w:rFonts w:ascii="Arial" w:cs="Arial" w:eastAsia="Arial" w:hAnsi="Arial"/>
          <w:sz w:val="18"/>
          <w:szCs w:val="18"/>
          <w:color w:val="auto"/>
        </w:rPr>
        <w:t>Comprehensive Income, (iii) Condensed Consolidated Balance Sheets, (iv) Condensed Consolidated Statements of Cash Flows and (v) Notes to Condensed Consolidated</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Financial Statements</w:t>
      </w:r>
    </w:p>
    <w:p>
      <w:pPr>
        <w:spacing w:after="0" w:line="45" w:lineRule="exact"/>
        <w:rPr>
          <w:sz w:val="20"/>
          <w:szCs w:val="20"/>
          <w:color w:val="auto"/>
        </w:rPr>
      </w:pPr>
    </w:p>
    <w:p>
      <w:pPr>
        <w:jc w:val="right"/>
        <w:ind w:right="80"/>
        <w:spacing w:after="0"/>
        <w:tabs>
          <w:tab w:leader="none" w:pos="48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7"/>
          <w:szCs w:val="17"/>
          <w:color w:val="auto"/>
        </w:rPr>
        <w:t>The cover page from Xylem Inc.'s Quarterly Report on Form</w:t>
      </w:r>
    </w:p>
    <w:p>
      <w:pPr>
        <w:jc w:val="right"/>
        <w:ind w:right="120"/>
        <w:spacing w:after="0" w:line="219" w:lineRule="auto"/>
        <w:rPr>
          <w:sz w:val="20"/>
          <w:szCs w:val="20"/>
          <w:color w:val="auto"/>
        </w:rPr>
      </w:pPr>
      <w:r>
        <w:rPr>
          <w:rFonts w:ascii="Arial" w:cs="Arial" w:eastAsia="Arial" w:hAnsi="Arial"/>
          <w:sz w:val="18"/>
          <w:szCs w:val="18"/>
          <w:color w:val="auto"/>
        </w:rPr>
        <w:t>10-Q for the period ended June 30, 2024 formatted in Inline</w:t>
      </w:r>
    </w:p>
    <w:p>
      <w:pPr>
        <w:ind w:left="1100"/>
        <w:spacing w:after="0"/>
        <w:rPr>
          <w:sz w:val="20"/>
          <w:szCs w:val="20"/>
          <w:color w:val="auto"/>
        </w:rPr>
      </w:pPr>
      <w:r>
        <w:rPr>
          <w:rFonts w:ascii="Arial" w:cs="Arial" w:eastAsia="Arial" w:hAnsi="Arial"/>
          <w:sz w:val="18"/>
          <w:szCs w:val="18"/>
          <w:color w:val="auto"/>
        </w:rPr>
        <w:t>XBRL and contained in Exhibit 101.0.</w:t>
      </w:r>
    </w:p>
    <w:p>
      <w:pPr>
        <w:spacing w:after="0" w:line="59" w:lineRule="exact"/>
        <w:rPr>
          <w:sz w:val="20"/>
          <w:szCs w:val="20"/>
          <w:color w:val="auto"/>
        </w:rPr>
      </w:pPr>
    </w:p>
    <w:p>
      <w:pPr>
        <w:ind w:left="1100" w:right="960" w:hanging="8"/>
        <w:spacing w:after="0"/>
        <w:tabs>
          <w:tab w:leader="none" w:pos="12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 w:lineRule="exact"/>
        <w:rPr>
          <w:sz w:val="20"/>
          <w:szCs w:val="20"/>
          <w:color w:val="auto"/>
        </w:rPr>
      </w:pPr>
      <w:r>
        <w:rPr>
          <w:sz w:val="20"/>
          <w:szCs w:val="20"/>
          <w:color w:val="auto"/>
        </w:rPr>
        <w:br w:type="column"/>
      </w:r>
    </w:p>
    <w:p>
      <w:pPr>
        <w:ind w:right="120"/>
        <w:spacing w:after="0" w:line="221" w:lineRule="auto"/>
        <w:rPr>
          <w:sz w:val="20"/>
          <w:szCs w:val="20"/>
          <w:color w:val="auto"/>
        </w:rPr>
      </w:pPr>
      <w:r>
        <w:rPr>
          <w:rFonts w:ascii="Arial" w:cs="Arial" w:eastAsia="Arial" w:hAnsi="Arial"/>
          <w:sz w:val="17"/>
          <w:szCs w:val="17"/>
          <w:color w:val="auto"/>
        </w:rPr>
        <w:t>be filed for purposes of Section 18 of the Securities Exchange Act of 1934 or incorporated by reference into any filing under the Securities Act of 1933 or the Securities Exchange Act of 1934,</w:t>
      </w:r>
    </w:p>
    <w:p>
      <w:pPr>
        <w:spacing w:after="0"/>
        <w:rPr>
          <w:sz w:val="20"/>
          <w:szCs w:val="20"/>
          <w:color w:val="auto"/>
        </w:rPr>
      </w:pPr>
      <w:r>
        <w:rPr>
          <w:rFonts w:ascii="Arial" w:cs="Arial" w:eastAsia="Arial" w:hAnsi="Arial"/>
          <w:sz w:val="18"/>
          <w:szCs w:val="18"/>
          <w:color w:val="auto"/>
        </w:rPr>
        <w:t>except as shall be expressly set forth by specific reference.</w:t>
      </w:r>
    </w:p>
    <w:p>
      <w:pPr>
        <w:spacing w:after="0" w:line="59" w:lineRule="exact"/>
        <w:rPr>
          <w:sz w:val="20"/>
          <w:szCs w:val="20"/>
          <w:color w:val="auto"/>
        </w:rPr>
      </w:pPr>
    </w:p>
    <w:p>
      <w:pPr>
        <w:ind w:right="120"/>
        <w:spacing w:after="0" w:line="234" w:lineRule="auto"/>
        <w:rPr>
          <w:sz w:val="20"/>
          <w:szCs w:val="20"/>
          <w:color w:val="auto"/>
        </w:rPr>
      </w:pPr>
      <w:r>
        <w:rPr>
          <w:rFonts w:ascii="Arial" w:cs="Arial" w:eastAsia="Arial" w:hAnsi="Arial"/>
          <w:sz w:val="17"/>
          <w:szCs w:val="17"/>
          <w:color w:val="auto"/>
        </w:rPr>
        <w:t>The instance document does not appear in the interactive data file because its XBRL tags are embedded within the Inline XBRL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2400" w:lineRule="exact"/>
        <w:rPr>
          <w:sz w:val="20"/>
          <w:szCs w:val="20"/>
          <w:color w:val="auto"/>
        </w:rPr>
      </w:pPr>
    </w:p>
    <w:p>
      <w:pPr>
        <w:sectPr>
          <w:pgSz w:w="11900" w:h="16838" w:orient="portrait"/>
          <w:cols w:equalWidth="0" w:num="2">
            <w:col w:w="5940" w:space="60"/>
            <w:col w:w="5240"/>
          </w:cols>
          <w:pgMar w:left="320" w:top="8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62" w:name="page63"/>
    <w:bookmarkEnd w:id="6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b w:val="1"/>
          <w:bCs w:val="1"/>
          <w:u w:val="single" w:color="auto"/>
          <w:color w:val="auto"/>
        </w:rPr>
        <w:t>XYLEM INC.</w:t>
      </w:r>
    </w:p>
    <w:p>
      <w:pPr>
        <w:spacing w:after="0" w:line="4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(Registrant)</w:t>
      </w:r>
    </w:p>
    <w:p>
      <w:pPr>
        <w:spacing w:after="0" w:line="5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Geri-Michelle McShane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17780</wp:posOffset>
            </wp:positionV>
            <wp:extent cx="37973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Geri-Michelle McShane</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Vice President, Controller and Chief Accounting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July 30, 2024</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1093" w:right="4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Matthew F. Pine, certify that:</w:t>
      </w:r>
    </w:p>
    <w:p>
      <w:pPr>
        <w:spacing w:after="0" w:line="117"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00" w:type="dxa"/>
            <w:vAlign w:val="bottom"/>
          </w:tcPr>
          <w:p>
            <w:pPr>
              <w:spacing w:after="0"/>
              <w:rPr>
                <w:sz w:val="20"/>
                <w:szCs w:val="20"/>
                <w:color w:val="auto"/>
              </w:rPr>
            </w:pP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F. Pine</w:t>
            </w:r>
          </w:p>
        </w:tc>
        <w:tc>
          <w:tcPr>
            <w:tcW w:w="0" w:type="dxa"/>
            <w:vAlign w:val="bottom"/>
          </w:tcPr>
          <w:p>
            <w:pPr>
              <w:spacing w:after="0"/>
              <w:rPr>
                <w:sz w:val="1"/>
                <w:szCs w:val="1"/>
                <w:color w:val="auto"/>
              </w:rPr>
            </w:pPr>
          </w:p>
        </w:tc>
      </w:tr>
      <w:tr>
        <w:trPr>
          <w:trHeight w:val="177"/>
        </w:trPr>
        <w:tc>
          <w:tcPr>
            <w:tcW w:w="6300" w:type="dxa"/>
            <w:vAlign w:val="bottom"/>
          </w:tcPr>
          <w:p>
            <w:pPr>
              <w:spacing w:after="0"/>
              <w:rPr>
                <w:sz w:val="15"/>
                <w:szCs w:val="15"/>
                <w:color w:val="auto"/>
              </w:rPr>
            </w:pPr>
          </w:p>
        </w:tc>
        <w:tc>
          <w:tcPr>
            <w:tcW w:w="4080" w:type="dxa"/>
            <w:vAlign w:val="bottom"/>
          </w:tcPr>
          <w:p>
            <w:pPr>
              <w:ind w:left="20"/>
              <w:spacing w:after="0" w:line="177" w:lineRule="exact"/>
              <w:rPr>
                <w:sz w:val="20"/>
                <w:szCs w:val="20"/>
                <w:color w:val="auto"/>
              </w:rPr>
            </w:pPr>
            <w:r>
              <w:rPr>
                <w:rFonts w:ascii="Arial" w:cs="Arial" w:eastAsia="Arial" w:hAnsi="Arial"/>
                <w:sz w:val="18"/>
                <w:szCs w:val="18"/>
                <w:color w:val="auto"/>
              </w:rPr>
              <w:t>Matthew F. Pine</w:t>
            </w:r>
          </w:p>
        </w:tc>
        <w:tc>
          <w:tcPr>
            <w:tcW w:w="0" w:type="dxa"/>
            <w:vAlign w:val="bottom"/>
          </w:tcPr>
          <w:p>
            <w:pPr>
              <w:spacing w:after="0"/>
              <w:rPr>
                <w:sz w:val="1"/>
                <w:szCs w:val="1"/>
                <w:color w:val="auto"/>
              </w:rPr>
            </w:pPr>
          </w:p>
        </w:tc>
      </w:tr>
      <w:tr>
        <w:trPr>
          <w:trHeight w:val="239"/>
        </w:trPr>
        <w:tc>
          <w:tcPr>
            <w:tcW w:w="6300" w:type="dxa"/>
            <w:vAlign w:val="bottom"/>
            <w:vMerge w:val="restart"/>
          </w:tcPr>
          <w:p>
            <w:pPr>
              <w:spacing w:after="0"/>
              <w:rPr>
                <w:sz w:val="20"/>
                <w:szCs w:val="20"/>
                <w:color w:val="auto"/>
              </w:rPr>
            </w:pPr>
            <w:r>
              <w:rPr>
                <w:rFonts w:ascii="Arial" w:cs="Arial" w:eastAsia="Arial" w:hAnsi="Arial"/>
                <w:sz w:val="18"/>
                <w:szCs w:val="18"/>
                <w:color w:val="auto"/>
              </w:rPr>
              <w:t>Date: July 30, 2024</w:t>
            </w:r>
          </w:p>
        </w:tc>
        <w:tc>
          <w:tcPr>
            <w:tcW w:w="40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108"/>
        </w:trPr>
        <w:tc>
          <w:tcPr>
            <w:tcW w:w="630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 William K. Grogan, certify that:</w:t>
      </w:r>
    </w:p>
    <w:p>
      <w:pPr>
        <w:spacing w:after="0" w:line="117"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Xylem Inc. for the period ended June 30, 2024;</w:t>
      </w:r>
    </w:p>
    <w:p>
      <w:pPr>
        <w:spacing w:after="0" w:line="117"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340" w:right="160" w:hanging="332"/>
        <w:spacing w:after="0" w:line="318" w:lineRule="auto"/>
        <w:tabs>
          <w:tab w:leader="none" w:pos="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99" w:lineRule="exact"/>
        <w:rPr>
          <w:rFonts w:ascii="Arial" w:cs="Arial" w:eastAsia="Arial" w:hAnsi="Arial"/>
          <w:sz w:val="17"/>
          <w:szCs w:val="17"/>
          <w:color w:val="auto"/>
        </w:rPr>
      </w:pPr>
    </w:p>
    <w:p>
      <w:pPr>
        <w:ind w:left="660" w:right="60" w:hanging="328"/>
        <w:spacing w:after="0" w:line="268"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660" w:right="160" w:hanging="328"/>
        <w:spacing w:after="0" w:line="268"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ind w:left="660" w:right="120" w:hanging="328"/>
        <w:spacing w:after="0" w:line="268" w:lineRule="auto"/>
        <w:tabs>
          <w:tab w:leader="none" w:pos="648"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660" w:right="420" w:hanging="328"/>
        <w:spacing w:after="0" w:line="268"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ind w:left="660" w:right="280" w:hanging="328"/>
        <w:spacing w:after="0" w:line="287"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Arial" w:cs="Arial" w:eastAsia="Arial" w:hAnsi="Arial"/>
          <w:sz w:val="18"/>
          <w:szCs w:val="18"/>
          <w:color w:val="auto"/>
        </w:rPr>
      </w:pPr>
    </w:p>
    <w:p>
      <w:pPr>
        <w:ind w:left="660" w:right="520" w:hanging="328"/>
        <w:spacing w:after="0" w:line="287"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K. Grogan</w:t>
            </w: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4980" w:type="dxa"/>
            <w:vAlign w:val="bottom"/>
          </w:tcPr>
          <w:p>
            <w:pPr>
              <w:spacing w:after="0" w:line="177" w:lineRule="exact"/>
              <w:rPr>
                <w:sz w:val="20"/>
                <w:szCs w:val="20"/>
                <w:color w:val="auto"/>
              </w:rPr>
            </w:pPr>
            <w:r>
              <w:rPr>
                <w:rFonts w:ascii="Arial" w:cs="Arial" w:eastAsia="Arial" w:hAnsi="Arial"/>
                <w:sz w:val="18"/>
                <w:szCs w:val="18"/>
                <w:color w:val="auto"/>
              </w:rPr>
              <w:t>William K. Grogan</w:t>
            </w:r>
          </w:p>
        </w:tc>
        <w:tc>
          <w:tcPr>
            <w:tcW w:w="0" w:type="dxa"/>
            <w:vAlign w:val="bottom"/>
          </w:tcPr>
          <w:p>
            <w:pPr>
              <w:spacing w:after="0"/>
              <w:rPr>
                <w:sz w:val="1"/>
                <w:szCs w:val="1"/>
                <w:color w:val="auto"/>
              </w:rPr>
            </w:pPr>
          </w:p>
        </w:tc>
      </w:tr>
      <w:tr>
        <w:trPr>
          <w:trHeight w:val="239"/>
        </w:trPr>
        <w:tc>
          <w:tcPr>
            <w:tcW w:w="5280" w:type="dxa"/>
            <w:vAlign w:val="bottom"/>
            <w:vMerge w:val="restart"/>
          </w:tcPr>
          <w:p>
            <w:pPr>
              <w:spacing w:after="0"/>
              <w:rPr>
                <w:sz w:val="20"/>
                <w:szCs w:val="20"/>
                <w:color w:val="auto"/>
              </w:rPr>
            </w:pPr>
            <w:r>
              <w:rPr>
                <w:rFonts w:ascii="Arial" w:cs="Arial" w:eastAsia="Arial" w:hAnsi="Arial"/>
                <w:sz w:val="18"/>
                <w:szCs w:val="18"/>
                <w:color w:val="auto"/>
              </w:rPr>
              <w:t>Date: July 30, 2024</w:t>
            </w:r>
          </w:p>
        </w:tc>
        <w:tc>
          <w:tcPr>
            <w:tcW w:w="498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108"/>
        </w:trPr>
        <w:tc>
          <w:tcPr>
            <w:tcW w:w="5280" w:type="dxa"/>
            <w:vAlign w:val="bottom"/>
            <w:vMerge w:val="continue"/>
          </w:tcPr>
          <w:p>
            <w:pPr>
              <w:spacing w:after="0"/>
              <w:rPr>
                <w:sz w:val="9"/>
                <w:szCs w:val="9"/>
                <w:color w:val="auto"/>
              </w:rPr>
            </w:pPr>
          </w:p>
        </w:tc>
        <w:tc>
          <w:tcPr>
            <w:tcW w:w="4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0"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connection with the Quarterly Report on Form 10-Q of Xylem Inc. (the “Company”) for the period ended June 30, 2024 as filed with the Securities and Exchange Commission on the date hereof (the “Report”), each of the undersigned officers of the Company, certifies, pursuant to 18 U.S.C. 1350, as adopted pursuant to 906 of the Sarbanes-Oxley Act of 2002, to his knowledge, that:</w:t>
      </w:r>
    </w:p>
    <w:p>
      <w:pPr>
        <w:spacing w:after="0" w:line="63"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340" w:right="340" w:hanging="332"/>
        <w:spacing w:after="0" w:line="287" w:lineRule="auto"/>
        <w:tabs>
          <w:tab w:leader="none" w:pos="33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F. Pine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F. Pine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2024</w:t>
      </w:r>
    </w:p>
    <w:p>
      <w:pPr>
        <w:spacing w:after="0" w:line="2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William K. Grogan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wp:posOffset>
            </wp:positionV>
            <wp:extent cx="31203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William K. Grogan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30, 2024</w:t>
      </w:r>
    </w:p>
    <w:p>
      <w:pPr>
        <w:spacing w:after="0" w:line="189"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Xylem Inc. and will be retained by Xylem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lowerLetter"/>
      <w:start w:val="1"/>
    </w:lvl>
  </w:abstractNum>
  <w:abstractNum w:abstractNumId="4">
    <w:nsid w:val="4E6AFB66"/>
    <w:multiLevelType w:val="hybridMultilevel"/>
    <w:lvl w:ilvl="0">
      <w:lvlJc w:val="left"/>
      <w:lvlText w:val="(%1)"/>
      <w:numFmt w:val="lowerLetter"/>
      <w:start w:val="1"/>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1"/>
    </w:lvl>
  </w:abstractNum>
  <w:abstractNum w:abstractNumId="8">
    <w:nsid w:val="3F2DBA31"/>
    <w:multiLevelType w:val="hybridMultilevel"/>
    <w:lvl w:ilvl="0">
      <w:lvlJc w:val="left"/>
      <w:lvlText w:val="(%1)"/>
      <w:numFmt w:val="lowerLetter"/>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lvl w:ilvl="1">
      <w:lvlJc w:val="left"/>
      <w:lvlText w:val="(%2)"/>
      <w:numFmt w:val="lowerLetter"/>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77" Type="http://schemas.openxmlformats.org/officeDocument/2006/relationships/hyperlink" Target="https://www.sec.gov/Archives/edgar/data/1524472/000152447217000027/a8-k31xcharter.htm" TargetMode="External"/><Relationship Id="rId78" Type="http://schemas.openxmlformats.org/officeDocument/2006/relationships/hyperlink" Target="https://www.sec.gov/Archives/edgar/data/1524472/000152447222000055/xyl11102022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2024-07-30T12:22:11Z</dcterms:created>
  <dcterms:modified xsi:type="dcterms:W3CDTF">2024-07-30T12:22:11Z</dcterms:modified>
</cp:coreProperties>
</file>