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560705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517525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 w:lineRule="exact"/>
        <w:rPr>
          <w:sz w:val="24"/>
          <w:szCs w:val="24"/>
          <w:color w:val="auto"/>
        </w:rPr>
      </w:pPr>
    </w:p>
    <w:p>
      <w:pPr>
        <w:ind w:left="3460" w:right="800" w:hanging="3434"/>
        <w:spacing w:after="0" w:line="461" w:lineRule="auto"/>
        <w:tabs>
          <w:tab w:leader="none" w:pos="121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1220" w:hanging="1194"/>
        <w:spacing w:after="0"/>
        <w:tabs>
          <w:tab w:leader="none" w:pos="12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025" w:right="339" w:bottom="1440" w:gutter="0" w:footer="0" w:header="0"/>
        </w:sectPr>
      </w:pPr>
    </w:p>
    <w:p>
      <w:pPr>
        <w:spacing w:after="0" w:line="196" w:lineRule="exact"/>
        <w:rPr>
          <w:sz w:val="24"/>
          <w:szCs w:val="24"/>
          <w:color w:val="auto"/>
        </w:rPr>
      </w:pPr>
    </w:p>
    <w:p>
      <w:pPr>
        <w:ind w:left="36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85"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Commission file number: 1-35229</w:t>
      </w:r>
    </w:p>
    <w:p>
      <w:pPr>
        <w:sectPr>
          <w:pgSz w:w="11900" w:h="16838" w:orient="portrait"/>
          <w:cols w:equalWidth="0" w:num="1">
            <w:col w:w="11240"/>
          </w:cols>
          <w:pgMar w:left="320" w:top="1025" w:right="339" w:bottom="1440" w:gutter="0" w:footer="0" w:header="0"/>
          <w:type w:val="continuous"/>
        </w:sectPr>
      </w:pP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Xylem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7"/>
          <w:szCs w:val="17"/>
          <w:i w:val="1"/>
          <w:iCs w:val="1"/>
          <w:color w:val="auto"/>
        </w:rPr>
        <w:t>(Exact name of registrant as specified in its charter)</w:t>
      </w:r>
    </w:p>
    <w:p>
      <w:pPr>
        <w:sectPr>
          <w:pgSz w:w="11900" w:h="16838" w:orient="portrait"/>
          <w:cols w:equalWidth="0" w:num="1">
            <w:col w:w="11240"/>
          </w:cols>
          <w:pgMar w:left="320" w:top="1025" w:right="339" w:bottom="1440" w:gutter="0" w:footer="0" w:header="0"/>
          <w:type w:val="continuous"/>
        </w:sectPr>
      </w:pPr>
    </w:p>
    <w:p>
      <w:pPr>
        <w:spacing w:after="0" w:line="228"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Indiana</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45-2080495</w:t>
      </w:r>
    </w:p>
    <w:p>
      <w:pPr>
        <w:spacing w:after="0" w:line="36" w:lineRule="exact"/>
        <w:rPr>
          <w:sz w:val="24"/>
          <w:szCs w:val="24"/>
          <w:color w:val="auto"/>
        </w:rPr>
      </w:pPr>
    </w:p>
    <w:p>
      <w:pPr>
        <w:sectPr>
          <w:pgSz w:w="11900" w:h="16838" w:orient="portrait"/>
          <w:cols w:equalWidth="0" w:num="2">
            <w:col w:w="7360" w:space="720"/>
            <w:col w:w="3160"/>
          </w:cols>
          <w:pgMar w:left="320" w:top="1025" w:right="339" w:bottom="1440" w:gutter="0" w:footer="0" w:header="0"/>
          <w:type w:val="continuous"/>
        </w:sectPr>
      </w:pPr>
    </w:p>
    <w:p>
      <w:pPr>
        <w:jc w:val="center"/>
        <w:ind w:right="1380"/>
        <w:spacing w:after="0"/>
        <w:rPr>
          <w:sz w:val="20"/>
          <w:szCs w:val="20"/>
          <w:color w:val="auto"/>
        </w:rPr>
      </w:pPr>
      <w:r>
        <w:rPr>
          <w:rFonts w:ascii="Arial" w:cs="Arial" w:eastAsia="Arial" w:hAnsi="Arial"/>
          <w:sz w:val="14"/>
          <w:szCs w:val="14"/>
          <w:i w:val="1"/>
          <w:iCs w:val="1"/>
          <w:color w:val="auto"/>
        </w:rPr>
        <w:t>(State or other jurisdiction of incorporation or</w:t>
      </w:r>
    </w:p>
    <w:p>
      <w:pPr>
        <w:jc w:val="center"/>
        <w:ind w:right="1380"/>
        <w:spacing w:after="0"/>
        <w:rPr>
          <w:sz w:val="20"/>
          <w:szCs w:val="20"/>
          <w:color w:val="auto"/>
        </w:rPr>
      </w:pPr>
      <w:r>
        <w:rPr>
          <w:rFonts w:ascii="Arial" w:cs="Arial" w:eastAsia="Arial" w:hAnsi="Arial"/>
          <w:sz w:val="14"/>
          <w:szCs w:val="14"/>
          <w:i w:val="1"/>
          <w:iCs w:val="1"/>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(I.R.S. Employer Identification No.)</w:t>
      </w:r>
    </w:p>
    <w:p>
      <w:pPr>
        <w:spacing w:after="0" w:line="349" w:lineRule="exact"/>
        <w:rPr>
          <w:sz w:val="24"/>
          <w:szCs w:val="24"/>
          <w:color w:val="auto"/>
        </w:rPr>
      </w:pPr>
    </w:p>
    <w:p>
      <w:pPr>
        <w:sectPr>
          <w:pgSz w:w="11900" w:h="16838" w:orient="portrait"/>
          <w:cols w:equalWidth="0" w:num="2">
            <w:col w:w="6740" w:space="720"/>
            <w:col w:w="3780"/>
          </w:cols>
          <w:pgMar w:left="320" w:top="1025" w:right="339" w:bottom="1440" w:gutter="0" w:footer="0" w:header="0"/>
          <w:type w:val="continuous"/>
        </w:sectPr>
      </w:pP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International Drive, Rye Brook, NY 10573</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323-5700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6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36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w w:val="99"/>
              </w:rPr>
              <w:t>Title of each class</w:t>
            </w:r>
          </w:p>
        </w:tc>
        <w:tc>
          <w:tcPr>
            <w:tcW w:w="250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8"/>
              </w:rPr>
              <w:t>Trading Symbol(s)</w:t>
            </w: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of which registered</w:t>
            </w:r>
          </w:p>
        </w:tc>
      </w:tr>
      <w:tr>
        <w:trPr>
          <w:trHeight w:val="20"/>
        </w:trPr>
        <w:tc>
          <w:tcPr>
            <w:tcW w:w="13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r>
      <w:tr>
        <w:trPr>
          <w:trHeight w:val="250"/>
        </w:trPr>
        <w:tc>
          <w:tcPr>
            <w:tcW w:w="468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Common Stock, par value $0.01 per share</w:t>
            </w:r>
          </w:p>
        </w:tc>
        <w:tc>
          <w:tcPr>
            <w:tcW w:w="100" w:type="dxa"/>
            <w:vAlign w:val="bottom"/>
          </w:tcPr>
          <w:p>
            <w:pPr>
              <w:spacing w:after="0"/>
              <w:rPr>
                <w:sz w:val="21"/>
                <w:szCs w:val="21"/>
                <w:color w:val="auto"/>
              </w:rPr>
            </w:pPr>
          </w:p>
        </w:tc>
        <w:tc>
          <w:tcPr>
            <w:tcW w:w="240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XYL</w:t>
            </w: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r>
        <w:trPr>
          <w:trHeight w:val="229"/>
        </w:trPr>
        <w:tc>
          <w:tcPr>
            <w:tcW w:w="468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2.250% Senior Notes due 2023</w:t>
            </w:r>
          </w:p>
        </w:tc>
        <w:tc>
          <w:tcPr>
            <w:tcW w:w="100" w:type="dxa"/>
            <w:vAlign w:val="bottom"/>
          </w:tcPr>
          <w:p>
            <w:pPr>
              <w:spacing w:after="0"/>
              <w:rPr>
                <w:sz w:val="19"/>
                <w:szCs w:val="19"/>
                <w:color w:val="auto"/>
              </w:rPr>
            </w:pPr>
          </w:p>
        </w:tc>
        <w:tc>
          <w:tcPr>
            <w:tcW w:w="240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XYL23</w:t>
            </w: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256"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6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0"/>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75"/>
        </w:trPr>
        <w:tc>
          <w:tcPr>
            <w:tcW w:w="22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84"/>
        </w:trPr>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80" w:type="dxa"/>
            <w:vAlign w:val="bottom"/>
          </w:tcPr>
          <w:p>
            <w:pPr>
              <w:ind w:left="2480"/>
              <w:spacing w:after="0"/>
              <w:rPr>
                <w:sz w:val="20"/>
                <w:szCs w:val="20"/>
                <w:color w:val="auto"/>
              </w:rPr>
            </w:pPr>
            <w:r>
              <w:rPr>
                <w:rFonts w:ascii="Arial" w:cs="Arial" w:eastAsia="Arial" w:hAnsi="Arial"/>
                <w:sz w:val="18"/>
                <w:szCs w:val="18"/>
                <w:color w:val="auto"/>
              </w:rPr>
              <w:t>Emerging growth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908"/>
        </w:trPr>
        <w:tc>
          <w:tcPr>
            <w:tcW w:w="2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type w:val="continuous"/>
        </w:sectPr>
      </w:pPr>
    </w:p>
    <w:bookmarkStart w:id="1" w:name="page2"/>
    <w:bookmarkEnd w:id="1"/>
    <w:p>
      <w:pPr>
        <w:spacing w:after="0" w:line="226"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96" w:lineRule="exact"/>
        <w:rPr>
          <w:sz w:val="20"/>
          <w:szCs w:val="20"/>
          <w:color w:val="auto"/>
        </w:rPr>
      </w:pPr>
    </w:p>
    <w:p>
      <w:pPr>
        <w:ind w:right="54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29, 2021, there were 180,325,272 outstanding shares of the registrant’s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690880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151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40"/>
          </w:cols>
          <w:pgMar w:left="320" w:top="625"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320" w:type="dxa"/>
            <w:vAlign w:val="bottom"/>
            <w:gridSpan w:val="11"/>
          </w:tcPr>
          <w:p>
            <w:pPr>
              <w:jc w:val="center"/>
              <w:ind w:right="2920"/>
              <w:spacing w:after="0"/>
              <w:rPr>
                <w:sz w:val="20"/>
                <w:szCs w:val="20"/>
                <w:color w:val="auto"/>
              </w:rPr>
            </w:pPr>
            <w:r>
              <w:rPr>
                <w:rFonts w:ascii="Arial" w:cs="Arial" w:eastAsia="Arial" w:hAnsi="Arial"/>
                <w:sz w:val="18"/>
                <w:szCs w:val="18"/>
                <w:b w:val="1"/>
                <w:bCs w:val="1"/>
                <w:color w:val="auto"/>
                <w:w w:val="98"/>
              </w:rPr>
              <w:t>Xylem Inc.</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320" w:type="dxa"/>
            <w:vAlign w:val="bottom"/>
            <w:gridSpan w:val="11"/>
          </w:tcPr>
          <w:p>
            <w:pPr>
              <w:jc w:val="center"/>
              <w:ind w:right="2900"/>
              <w:spacing w:after="0"/>
              <w:rPr>
                <w:sz w:val="20"/>
                <w:szCs w:val="20"/>
                <w:color w:val="auto"/>
              </w:rPr>
            </w:pPr>
            <w:r>
              <w:rPr>
                <w:rFonts w:ascii="Arial" w:cs="Arial" w:eastAsia="Arial" w:hAnsi="Arial"/>
                <w:sz w:val="18"/>
                <w:szCs w:val="18"/>
                <w:b w:val="1"/>
                <w:bCs w:val="1"/>
                <w:color w:val="auto"/>
                <w:w w:val="98"/>
              </w:rPr>
              <w:t>Table of Contents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ITEM</w:t>
            </w:r>
          </w:p>
        </w:tc>
        <w:tc>
          <w:tcPr>
            <w:tcW w:w="7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20" w:type="dxa"/>
            <w:vAlign w:val="bottom"/>
            <w:gridSpan w:val="14"/>
          </w:tcPr>
          <w:p>
            <w:pPr>
              <w:jc w:val="center"/>
              <w:ind w:right="3720"/>
              <w:spacing w:after="0"/>
              <w:rPr>
                <w:sz w:val="20"/>
                <w:szCs w:val="20"/>
                <w:color w:val="auto"/>
              </w:rPr>
            </w:pPr>
            <w:r>
              <w:rPr>
                <w:rFonts w:ascii="Arial" w:cs="Arial" w:eastAsia="Arial" w:hAnsi="Arial"/>
                <w:sz w:val="18"/>
                <w:szCs w:val="18"/>
                <w:b w:val="1"/>
                <w:bCs w:val="1"/>
                <w:color w:val="auto"/>
                <w:w w:val="99"/>
              </w:rPr>
              <w:t>PART I – Financial Information</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20"/>
              <w:spacing w:after="0" w:line="180" w:lineRule="exact"/>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line="180"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0000FF"/>
            </w:tcBorders>
            <w:gridSpan w:val="7"/>
          </w:tcPr>
          <w:p>
            <w:pPr>
              <w:spacing w:after="0" w:line="180"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Financial Statements:</w:t>
              </w:r>
            </w:hyperlink>
          </w:p>
        </w:tc>
        <w:tc>
          <w:tcPr>
            <w:tcW w:w="6080" w:type="dxa"/>
            <w:vAlign w:val="bottom"/>
            <w:gridSpan w:val="13"/>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2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Income Statements for the Three and Nine Months Ended</w:t>
              </w:r>
            </w:hyperlink>
          </w:p>
        </w:tc>
        <w:tc>
          <w:tcPr>
            <w:tcW w:w="1380" w:type="dxa"/>
            <w:vAlign w:val="bottom"/>
            <w:gridSpan w:val="2"/>
            <w:vMerge w:val="restart"/>
          </w:tcPr>
          <w:p>
            <w:pPr>
              <w:spacing w:after="0"/>
              <w:rPr>
                <w:sz w:val="18"/>
                <w:szCs w:val="18"/>
                <w:color w:val="auto"/>
              </w:rPr>
            </w:pPr>
          </w:p>
        </w:tc>
        <w:tc>
          <w:tcPr>
            <w:tcW w:w="120" w:type="dxa"/>
            <w:vAlign w:val="bottom"/>
            <w:gridSpan w:val="2"/>
            <w:vMerge w:val="restart"/>
          </w:tcPr>
          <w:p>
            <w:pPr>
              <w:jc w:val="right"/>
              <w:ind w:right="2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40" w:type="dxa"/>
            <w:vAlign w:val="bottom"/>
            <w:tcBorders>
              <w:top w:val="single" w:sz="8" w:color="0000FF"/>
            </w:tcBorders>
            <w:gridSpan w:val="10"/>
          </w:tcPr>
          <w:p>
            <w:pPr>
              <w:spacing w:after="0" w:line="156"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September 30, 2021 and 2020 (Unaudited)</w:t>
              </w:r>
            </w:hyperlink>
          </w:p>
        </w:tc>
        <w:tc>
          <w:tcPr>
            <w:tcW w:w="3260" w:type="dxa"/>
            <w:vAlign w:val="bottom"/>
            <w:tcBorders>
              <w:top w:val="single" w:sz="8" w:color="0000FF"/>
            </w:tcBorders>
            <w:gridSpan w:val="5"/>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2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 for the Three and Nine</w:t>
              </w:r>
            </w:hyperlink>
          </w:p>
        </w:tc>
        <w:tc>
          <w:tcPr>
            <w:tcW w:w="1500" w:type="dxa"/>
            <w:vAlign w:val="bottom"/>
            <w:gridSpan w:val="4"/>
            <w:vMerge w:val="restart"/>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Months Ended September 30, 2021 and 2020 (Unaudited)</w:t>
              </w:r>
            </w:hyperlink>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2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as of September 30, 2021 and December 31, 2020</w:t>
              </w:r>
            </w:hyperlink>
          </w:p>
        </w:tc>
        <w:tc>
          <w:tcPr>
            <w:tcW w:w="150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(Unaudited)</w:t>
              </w:r>
            </w:hyperlink>
          </w:p>
        </w:tc>
        <w:tc>
          <w:tcPr>
            <w:tcW w:w="380" w:type="dxa"/>
            <w:vAlign w:val="bottom"/>
          </w:tcPr>
          <w:p>
            <w:pPr>
              <w:spacing w:after="0"/>
              <w:rPr>
                <w:sz w:val="13"/>
                <w:szCs w:val="13"/>
                <w:color w:val="auto"/>
              </w:rPr>
            </w:pPr>
          </w:p>
        </w:tc>
        <w:tc>
          <w:tcPr>
            <w:tcW w:w="15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20" w:type="dxa"/>
            <w:vAlign w:val="bottom"/>
            <w:gridSpan w:val="2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for the Nine Months Ended September</w:t>
              </w:r>
            </w:hyperlink>
          </w:p>
        </w:tc>
        <w:tc>
          <w:tcPr>
            <w:tcW w:w="1500" w:type="dxa"/>
            <w:vAlign w:val="bottom"/>
            <w:gridSpan w:val="4"/>
            <w:vMerge w:val="restart"/>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3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30, 2021 and 2020 (Unaudited)</w:t>
              </w:r>
            </w:hyperlink>
          </w:p>
        </w:tc>
        <w:tc>
          <w:tcPr>
            <w:tcW w:w="520" w:type="dxa"/>
            <w:vAlign w:val="bottom"/>
            <w:gridSpan w:val="2"/>
          </w:tcPr>
          <w:p>
            <w:pPr>
              <w:spacing w:after="0"/>
              <w:rPr>
                <w:sz w:val="13"/>
                <w:szCs w:val="13"/>
                <w:color w:val="auto"/>
              </w:rPr>
            </w:pPr>
          </w:p>
        </w:tc>
        <w:tc>
          <w:tcPr>
            <w:tcW w:w="15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gridSpan w:val="14"/>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Notes to the Condensed Consolidated Financial Statements (Unaudited)</w:t>
              </w:r>
            </w:hyperlink>
          </w:p>
        </w:tc>
        <w:tc>
          <w:tcPr>
            <w:tcW w:w="2040" w:type="dxa"/>
            <w:vAlign w:val="bottom"/>
            <w:gridSpan w:val="6"/>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gridSpan w:val="2"/>
          </w:tcPr>
          <w:p>
            <w:pPr>
              <w:jc w:val="right"/>
              <w:ind w:right="2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600" w:type="dxa"/>
            <w:vAlign w:val="bottom"/>
            <w:gridSpan w:val="21"/>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31">
              <w:r>
                <w:rPr>
                  <w:rFonts w:ascii="Arial" w:cs="Arial" w:eastAsia="Arial" w:hAnsi="Arial"/>
                  <w:sz w:val="18"/>
                  <w:szCs w:val="18"/>
                  <w:color w:val="0000FF"/>
                </w:rPr>
                <w:t>Management’s Discussion and Analysis of Financial Condition and Results of Operations</w:t>
              </w:r>
            </w:hyperlink>
          </w:p>
        </w:tc>
        <w:tc>
          <w:tcPr>
            <w:tcW w:w="150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600" w:type="dxa"/>
            <w:vAlign w:val="bottom"/>
            <w:gridSpan w:val="21"/>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0">
              <w:r>
                <w:rPr>
                  <w:rFonts w:ascii="Arial" w:cs="Arial" w:eastAsia="Arial" w:hAnsi="Arial"/>
                  <w:sz w:val="18"/>
                  <w:szCs w:val="18"/>
                  <w:color w:val="0000FF"/>
                </w:rPr>
                <w:t>Quantitative and Qualitative Disclosures About Market Risk</w:t>
              </w:r>
            </w:hyperlink>
          </w:p>
        </w:tc>
        <w:tc>
          <w:tcPr>
            <w:tcW w:w="150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49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8"/>
          </w:tcPr>
          <w:p>
            <w:pPr>
              <w:spacing w:after="0"/>
              <w:rPr>
                <w:rFonts w:ascii="Arial" w:cs="Arial" w:eastAsia="Arial" w:hAnsi="Arial"/>
                <w:sz w:val="18"/>
                <w:szCs w:val="18"/>
                <w:color w:val="0000FF"/>
                <w:w w:val="95"/>
              </w:rPr>
            </w:pPr>
            <w:hyperlink w:anchor="page50">
              <w:r>
                <w:rPr>
                  <w:rFonts w:ascii="Arial" w:cs="Arial" w:eastAsia="Arial" w:hAnsi="Arial"/>
                  <w:sz w:val="18"/>
                  <w:szCs w:val="18"/>
                  <w:color w:val="0000FF"/>
                  <w:w w:val="95"/>
                </w:rPr>
                <w:t>Controls and Procedures</w:t>
              </w:r>
            </w:hyperlink>
          </w:p>
        </w:tc>
        <w:tc>
          <w:tcPr>
            <w:tcW w:w="2780" w:type="dxa"/>
            <w:vAlign w:val="bottom"/>
            <w:gridSpan w:val="4"/>
          </w:tcPr>
          <w:p>
            <w:pPr>
              <w:spacing w:after="0"/>
              <w:rPr>
                <w:sz w:val="18"/>
                <w:szCs w:val="18"/>
                <w:color w:val="auto"/>
              </w:rPr>
            </w:pPr>
          </w:p>
        </w:tc>
        <w:tc>
          <w:tcPr>
            <w:tcW w:w="3100" w:type="dxa"/>
            <w:vAlign w:val="bottom"/>
            <w:gridSpan w:val="8"/>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49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320" w:type="dxa"/>
            <w:vAlign w:val="bottom"/>
            <w:gridSpan w:val="14"/>
          </w:tcPr>
          <w:p>
            <w:pPr>
              <w:jc w:val="center"/>
              <w:ind w:right="3700"/>
              <w:spacing w:after="0"/>
              <w:rPr>
                <w:sz w:val="20"/>
                <w:szCs w:val="20"/>
                <w:color w:val="auto"/>
              </w:rPr>
            </w:pPr>
            <w:r>
              <w:rPr>
                <w:rFonts w:ascii="Arial" w:cs="Arial" w:eastAsia="Arial" w:hAnsi="Arial"/>
                <w:sz w:val="18"/>
                <w:szCs w:val="18"/>
                <w:b w:val="1"/>
                <w:bCs w:val="1"/>
                <w:color w:val="auto"/>
                <w:w w:val="99"/>
              </w:rPr>
              <w:t>PART II – Other Information</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line="189" w:lineRule="exact"/>
              <w:rPr>
                <w:sz w:val="20"/>
                <w:szCs w:val="20"/>
                <w:color w:val="auto"/>
              </w:rPr>
            </w:pPr>
            <w:r>
              <w:rPr>
                <w:rFonts w:ascii="Arial" w:cs="Arial" w:eastAsia="Arial" w:hAnsi="Arial"/>
                <w:sz w:val="18"/>
                <w:szCs w:val="18"/>
                <w:color w:val="auto"/>
              </w:rPr>
              <w:t>-</w:t>
            </w:r>
          </w:p>
        </w:tc>
        <w:tc>
          <w:tcPr>
            <w:tcW w:w="1500" w:type="dxa"/>
            <w:vAlign w:val="bottom"/>
            <w:gridSpan w:val="6"/>
          </w:tcPr>
          <w:p>
            <w:pPr>
              <w:spacing w:after="0" w:line="189" w:lineRule="exact"/>
              <w:rPr>
                <w:rFonts w:ascii="Arial" w:cs="Arial" w:eastAsia="Arial" w:hAnsi="Arial"/>
                <w:sz w:val="18"/>
                <w:szCs w:val="18"/>
                <w:color w:val="0000FF"/>
                <w:w w:val="99"/>
              </w:rPr>
            </w:pPr>
            <w:hyperlink w:anchor="page51">
              <w:r>
                <w:rPr>
                  <w:rFonts w:ascii="Arial" w:cs="Arial" w:eastAsia="Arial" w:hAnsi="Arial"/>
                  <w:sz w:val="18"/>
                  <w:szCs w:val="18"/>
                  <w:color w:val="0000FF"/>
                  <w:w w:val="99"/>
                </w:rPr>
                <w:t>Legal Proceedings</w:t>
              </w:r>
            </w:hyperlink>
          </w:p>
        </w:tc>
        <w:tc>
          <w:tcPr>
            <w:tcW w:w="6320" w:type="dxa"/>
            <w:vAlign w:val="bottom"/>
            <w:gridSpan w:val="14"/>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gridSpan w:val="3"/>
          </w:tcPr>
          <w:p>
            <w:pPr>
              <w:jc w:val="right"/>
              <w:ind w:right="20"/>
              <w:spacing w:after="0" w:line="189"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50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1A</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500" w:type="dxa"/>
            <w:vAlign w:val="bottom"/>
            <w:gridSpan w:val="6"/>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Risk Factors</w:t>
              </w:r>
            </w:hyperlink>
          </w:p>
        </w:tc>
        <w:tc>
          <w:tcPr>
            <w:tcW w:w="6320" w:type="dxa"/>
            <w:vAlign w:val="bottom"/>
            <w:gridSpan w:val="14"/>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50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600" w:type="dxa"/>
            <w:vAlign w:val="bottom"/>
            <w:gridSpan w:val="21"/>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1">
              <w:r>
                <w:rPr>
                  <w:rFonts w:ascii="Arial" w:cs="Arial" w:eastAsia="Arial" w:hAnsi="Arial"/>
                  <w:sz w:val="18"/>
                  <w:szCs w:val="18"/>
                  <w:color w:val="0000FF"/>
                </w:rPr>
                <w:t>Unregistered Sales of Equity Securities and Use of Proceeds</w:t>
              </w:r>
            </w:hyperlink>
          </w:p>
        </w:tc>
        <w:tc>
          <w:tcPr>
            <w:tcW w:w="150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360" w:type="dxa"/>
            <w:vAlign w:val="bottom"/>
            <w:tcBorders>
              <w:left w:val="single" w:sz="8" w:color="0000FF"/>
            </w:tcBorders>
            <w:gridSpan w:val="4"/>
            <w:shd w:val="clear" w:color="auto" w:fill="0000FF"/>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600" w:type="dxa"/>
            <w:vAlign w:val="bottom"/>
            <w:gridSpan w:val="21"/>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1">
              <w:r>
                <w:rPr>
                  <w:rFonts w:ascii="Arial" w:cs="Arial" w:eastAsia="Arial" w:hAnsi="Arial"/>
                  <w:sz w:val="18"/>
                  <w:szCs w:val="18"/>
                  <w:color w:val="0000FF"/>
                </w:rPr>
                <w:t>Defaults Upon Senior Securities</w:t>
              </w:r>
            </w:hyperlink>
          </w:p>
        </w:tc>
        <w:tc>
          <w:tcPr>
            <w:tcW w:w="150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8"/>
          </w:tcPr>
          <w:p>
            <w:pPr>
              <w:spacing w:after="0"/>
              <w:rPr>
                <w:rFonts w:ascii="Arial" w:cs="Arial" w:eastAsia="Arial" w:hAnsi="Arial"/>
                <w:sz w:val="18"/>
                <w:szCs w:val="18"/>
                <w:color w:val="0000FF"/>
                <w:w w:val="98"/>
              </w:rPr>
            </w:pPr>
            <w:hyperlink w:anchor="page51">
              <w:r>
                <w:rPr>
                  <w:rFonts w:ascii="Arial" w:cs="Arial" w:eastAsia="Arial" w:hAnsi="Arial"/>
                  <w:sz w:val="18"/>
                  <w:szCs w:val="18"/>
                  <w:color w:val="0000FF"/>
                  <w:w w:val="98"/>
                </w:rPr>
                <w:t>Mine Safety Disclosures</w:t>
              </w:r>
            </w:hyperlink>
          </w:p>
        </w:tc>
        <w:tc>
          <w:tcPr>
            <w:tcW w:w="560" w:type="dxa"/>
            <w:vAlign w:val="bottom"/>
          </w:tcPr>
          <w:p>
            <w:pPr>
              <w:spacing w:after="0"/>
              <w:rPr>
                <w:sz w:val="18"/>
                <w:szCs w:val="18"/>
                <w:color w:val="auto"/>
              </w:rPr>
            </w:pPr>
          </w:p>
        </w:tc>
        <w:tc>
          <w:tcPr>
            <w:tcW w:w="5320" w:type="dxa"/>
            <w:vAlign w:val="bottom"/>
            <w:gridSpan w:val="11"/>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50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5</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8"/>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Other Information</w:t>
              </w:r>
            </w:hyperlink>
          </w:p>
        </w:tc>
        <w:tc>
          <w:tcPr>
            <w:tcW w:w="5880" w:type="dxa"/>
            <w:vAlign w:val="bottom"/>
            <w:gridSpan w:val="12"/>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50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420" w:type="dxa"/>
            <w:vAlign w:val="bottom"/>
            <w:gridSpan w:val="1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6</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rFonts w:ascii="Arial" w:cs="Arial" w:eastAsia="Arial" w:hAnsi="Arial"/>
                <w:sz w:val="18"/>
                <w:szCs w:val="18"/>
                <w:color w:val="0000FF"/>
                <w:w w:val="98"/>
              </w:rPr>
            </w:pPr>
            <w:hyperlink w:anchor="page51">
              <w:r>
                <w:rPr>
                  <w:rFonts w:ascii="Arial" w:cs="Arial" w:eastAsia="Arial" w:hAnsi="Arial"/>
                  <w:sz w:val="18"/>
                  <w:szCs w:val="18"/>
                  <w:color w:val="0000FF"/>
                  <w:w w:val="98"/>
                </w:rPr>
                <w:t>Exhibits</w:t>
              </w:r>
            </w:hyperlink>
          </w:p>
        </w:tc>
        <w:tc>
          <w:tcPr>
            <w:tcW w:w="760" w:type="dxa"/>
            <w:vAlign w:val="bottom"/>
            <w:gridSpan w:val="4"/>
          </w:tcPr>
          <w:p>
            <w:pPr>
              <w:spacing w:after="0"/>
              <w:rPr>
                <w:sz w:val="18"/>
                <w:szCs w:val="18"/>
                <w:color w:val="auto"/>
              </w:rPr>
            </w:pPr>
          </w:p>
        </w:tc>
        <w:tc>
          <w:tcPr>
            <w:tcW w:w="6420" w:type="dxa"/>
            <w:vAlign w:val="bottom"/>
            <w:gridSpan w:val="15"/>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50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60" w:type="dxa"/>
            <w:vAlign w:val="bottom"/>
            <w:gridSpan w:val="1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20" w:type="dxa"/>
            <w:vAlign w:val="bottom"/>
            <w:gridSpan w:val="20"/>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Signatures</w:t>
              </w:r>
            </w:hyperlink>
          </w:p>
        </w:tc>
        <w:tc>
          <w:tcPr>
            <w:tcW w:w="1500" w:type="dxa"/>
            <w:vAlign w:val="bottom"/>
            <w:gridSpan w:val="4"/>
          </w:tcPr>
          <w:p>
            <w:pPr>
              <w:jc w:val="right"/>
              <w:ind w:right="20"/>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1180" w:type="dxa"/>
            <w:vAlign w:val="bottom"/>
          </w:tcPr>
          <w:p>
            <w:pPr>
              <w:spacing w:after="0"/>
              <w:rPr>
                <w:sz w:val="20"/>
                <w:szCs w:val="20"/>
                <w:color w:val="auto"/>
              </w:rPr>
            </w:pPr>
          </w:p>
        </w:tc>
        <w:tc>
          <w:tcPr>
            <w:tcW w:w="48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PART I</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900" w:type="dxa"/>
            <w:vAlign w:val="bottom"/>
            <w:gridSpan w:val="4"/>
          </w:tcPr>
          <w:p>
            <w:pPr>
              <w:ind w:left="100"/>
              <w:spacing w:after="0"/>
              <w:rPr>
                <w:sz w:val="20"/>
                <w:szCs w:val="20"/>
                <w:color w:val="auto"/>
              </w:rPr>
            </w:pPr>
            <w:r>
              <w:rPr>
                <w:rFonts w:ascii="Arial" w:cs="Arial" w:eastAsia="Arial" w:hAnsi="Arial"/>
                <w:sz w:val="18"/>
                <w:szCs w:val="18"/>
                <w:b w:val="1"/>
                <w:bCs w:val="1"/>
                <w:color w:val="auto"/>
              </w:rPr>
              <w:t>CONDENSED CONSOLIDATED FINANCIAL STATEMENTS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8"/>
        </w:trPr>
        <w:tc>
          <w:tcPr>
            <w:tcW w:w="6020" w:type="dxa"/>
            <w:vAlign w:val="bottom"/>
            <w:gridSpan w:val="3"/>
          </w:tcPr>
          <w:p>
            <w:pPr>
              <w:spacing w:after="0"/>
              <w:rPr>
                <w:sz w:val="20"/>
                <w:szCs w:val="20"/>
                <w:color w:val="auto"/>
              </w:rPr>
            </w:pPr>
            <w:r>
              <w:rPr>
                <w:rFonts w:ascii="Arial" w:cs="Arial" w:eastAsia="Arial" w:hAnsi="Arial"/>
                <w:sz w:val="18"/>
                <w:szCs w:val="18"/>
                <w:b w:val="1"/>
                <w:bCs w:val="1"/>
                <w:color w:val="auto"/>
              </w:rPr>
              <w:t>XYLEM INC. AND SUBSIDIARIES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6020" w:type="dxa"/>
            <w:vAlign w:val="bottom"/>
            <w:gridSpan w:val="3"/>
          </w:tcPr>
          <w:p>
            <w:pPr>
              <w:spacing w:after="0"/>
              <w:rPr>
                <w:sz w:val="20"/>
                <w:szCs w:val="20"/>
                <w:color w:val="auto"/>
              </w:rPr>
            </w:pPr>
            <w:r>
              <w:rPr>
                <w:rFonts w:ascii="Arial" w:cs="Arial" w:eastAsia="Arial" w:hAnsi="Arial"/>
                <w:sz w:val="18"/>
                <w:szCs w:val="18"/>
                <w:color w:val="auto"/>
              </w:rPr>
              <w:t>CONDENSED CONSOLIDATED INCOME STATEMENTS (Unaudited)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6020" w:type="dxa"/>
            <w:vAlign w:val="bottom"/>
            <w:gridSpan w:val="3"/>
          </w:tcPr>
          <w:p>
            <w:pPr>
              <w:spacing w:after="0"/>
              <w:rPr>
                <w:sz w:val="20"/>
                <w:szCs w:val="20"/>
                <w:color w:val="auto"/>
              </w:rPr>
            </w:pPr>
            <w:r>
              <w:rPr>
                <w:rFonts w:ascii="Arial" w:cs="Arial" w:eastAsia="Arial" w:hAnsi="Arial"/>
                <w:sz w:val="18"/>
                <w:szCs w:val="18"/>
                <w:color w:val="auto"/>
              </w:rPr>
              <w:t>(in millions, except per share data)</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7"/>
        </w:trPr>
        <w:tc>
          <w:tcPr>
            <w:tcW w:w="118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6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w:t>
            </w:r>
          </w:p>
        </w:tc>
        <w:tc>
          <w:tcPr>
            <w:tcW w:w="280" w:type="dxa"/>
            <w:vAlign w:val="bottom"/>
          </w:tcPr>
          <w:p>
            <w:pPr>
              <w:spacing w:after="0"/>
              <w:rPr>
                <w:sz w:val="21"/>
                <w:szCs w:val="21"/>
                <w:color w:val="auto"/>
              </w:rPr>
            </w:pPr>
          </w:p>
        </w:tc>
        <w:tc>
          <w:tcPr>
            <w:tcW w:w="24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Nine Months</w:t>
            </w:r>
          </w:p>
        </w:tc>
      </w:tr>
      <w:tr>
        <w:trPr>
          <w:trHeight w:val="239"/>
        </w:trPr>
        <w:tc>
          <w:tcPr>
            <w:tcW w:w="60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For the periods ended September 30,</w:t>
            </w: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r>
      <w:tr>
        <w:trPr>
          <w:trHeight w:val="22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r>
      <w:tr>
        <w:trPr>
          <w:trHeight w:val="230"/>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Cost of revenue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2,199</w:t>
            </w:r>
          </w:p>
        </w:tc>
      </w:tr>
      <w:tr>
        <w:trPr>
          <w:trHeight w:val="223"/>
        </w:trPr>
        <w:tc>
          <w:tcPr>
            <w:tcW w:w="11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45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r>
      <w:tr>
        <w:trPr>
          <w:trHeight w:val="230"/>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851</w:t>
            </w:r>
          </w:p>
        </w:tc>
      </w:tr>
      <w:tr>
        <w:trPr>
          <w:trHeight w:val="229"/>
        </w:trPr>
        <w:tc>
          <w:tcPr>
            <w:tcW w:w="6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Restructuring and asset impairment (recoveries) charges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6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Goodwill impairment charge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445</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29"/>
        </w:trPr>
        <w:tc>
          <w:tcPr>
            <w:tcW w:w="6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Other non-operating income (expense), net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Gain from sale of business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Income before taxes</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385</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6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1180" w:type="dxa"/>
            <w:vAlign w:val="bottom"/>
          </w:tcPr>
          <w:p>
            <w:pPr>
              <w:ind w:left="140"/>
              <w:spacing w:after="0" w:line="196" w:lineRule="exact"/>
              <w:rPr>
                <w:sz w:val="20"/>
                <w:szCs w:val="20"/>
                <w:color w:val="auto"/>
              </w:rPr>
            </w:pPr>
            <w:r>
              <w:rPr>
                <w:rFonts w:ascii="Arial" w:cs="Arial" w:eastAsia="Arial" w:hAnsi="Arial"/>
                <w:sz w:val="18"/>
                <w:szCs w:val="18"/>
                <w:color w:val="auto"/>
              </w:rPr>
              <w:t>Net income</w:t>
            </w:r>
          </w:p>
        </w:tc>
        <w:tc>
          <w:tcPr>
            <w:tcW w:w="45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314</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20"/>
        </w:trPr>
        <w:tc>
          <w:tcPr>
            <w:tcW w:w="118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56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1180" w:type="dxa"/>
            <w:vAlign w:val="bottom"/>
          </w:tcPr>
          <w:p>
            <w:pPr>
              <w:ind w:left="360"/>
              <w:spacing w:after="0"/>
              <w:rPr>
                <w:sz w:val="20"/>
                <w:szCs w:val="20"/>
                <w:color w:val="auto"/>
              </w:rPr>
            </w:pPr>
            <w:r>
              <w:rPr>
                <w:rFonts w:ascii="Arial" w:cs="Arial" w:eastAsia="Arial" w:hAnsi="Arial"/>
                <w:sz w:val="18"/>
                <w:szCs w:val="18"/>
                <w:color w:val="auto"/>
              </w:rPr>
              <w:t>Basic</w:t>
            </w:r>
          </w:p>
        </w:tc>
        <w:tc>
          <w:tcPr>
            <w:tcW w:w="48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0.63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30"/>
        </w:trPr>
        <w:tc>
          <w:tcPr>
            <w:tcW w:w="1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r>
      <w:tr>
        <w:trPr>
          <w:trHeight w:val="229"/>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Weighted average number of shares: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r>
      <w:tr>
        <w:trPr>
          <w:trHeight w:val="239"/>
        </w:trPr>
        <w:tc>
          <w:tcPr>
            <w:tcW w:w="1180" w:type="dxa"/>
            <w:vAlign w:val="bottom"/>
          </w:tcPr>
          <w:p>
            <w:pPr>
              <w:ind w:left="360"/>
              <w:spacing w:after="0"/>
              <w:rPr>
                <w:sz w:val="20"/>
                <w:szCs w:val="20"/>
                <w:color w:val="auto"/>
              </w:rPr>
            </w:pPr>
            <w:r>
              <w:rPr>
                <w:rFonts w:ascii="Arial" w:cs="Arial" w:eastAsia="Arial" w:hAnsi="Arial"/>
                <w:sz w:val="18"/>
                <w:szCs w:val="18"/>
                <w:color w:val="auto"/>
              </w:rPr>
              <w:t>Diluted</w:t>
            </w:r>
          </w:p>
        </w:tc>
        <w:tc>
          <w:tcPr>
            <w:tcW w:w="4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181.0</w:t>
            </w:r>
          </w:p>
        </w:tc>
      </w:tr>
    </w:tbl>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w:t>
            </w:r>
          </w:p>
        </w:tc>
        <w:tc>
          <w:tcPr>
            <w:tcW w:w="280" w:type="dxa"/>
            <w:vAlign w:val="bottom"/>
          </w:tcPr>
          <w:p>
            <w:pPr>
              <w:spacing w:after="0"/>
              <w:rPr>
                <w:sz w:val="19"/>
                <w:szCs w:val="19"/>
                <w:color w:val="auto"/>
              </w:rPr>
            </w:pPr>
          </w:p>
        </w:tc>
        <w:tc>
          <w:tcPr>
            <w:tcW w:w="24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 Months</w:t>
            </w:r>
          </w:p>
        </w:tc>
        <w:tc>
          <w:tcPr>
            <w:tcW w:w="0" w:type="dxa"/>
            <w:vAlign w:val="bottom"/>
          </w:tcPr>
          <w:p>
            <w:pPr>
              <w:spacing w:after="0"/>
              <w:rPr>
                <w:sz w:val="1"/>
                <w:szCs w:val="1"/>
                <w:color w:val="auto"/>
              </w:rPr>
            </w:pPr>
          </w:p>
        </w:tc>
      </w:tr>
      <w:tr>
        <w:trPr>
          <w:trHeight w:val="239"/>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periods ended September 30,</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Net change in derivative hedge agreements: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Amount of loss (gain) reclassified into net income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post-retirement benefit plans: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Amortization of prior service credit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net actuarial loss into net income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8"/>
        </w:trPr>
        <w:tc>
          <w:tcPr>
            <w:tcW w:w="5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Income tax expense (benefit) related to items of other comprehensive</w:t>
            </w:r>
          </w:p>
        </w:tc>
        <w:tc>
          <w:tcPr>
            <w:tcW w:w="2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Xylem</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7"/>
                <w:szCs w:val="17"/>
                <w:color w:val="auto"/>
              </w:rPr>
            </w:pP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83"/>
        </w:trPr>
        <w:tc>
          <w:tcPr>
            <w:tcW w:w="7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42"/>
        </w:trPr>
        <w:tc>
          <w:tcPr>
            <w:tcW w:w="7540" w:type="dxa"/>
            <w:vAlign w:val="bottom"/>
          </w:tcPr>
          <w:p>
            <w:pPr>
              <w:ind w:left="360"/>
              <w:spacing w:after="0"/>
              <w:rPr>
                <w:sz w:val="20"/>
                <w:szCs w:val="20"/>
                <w:color w:val="auto"/>
              </w:rPr>
            </w:pPr>
            <w:r>
              <w:rPr>
                <w:rFonts w:ascii="Arial" w:cs="Arial" w:eastAsia="Arial" w:hAnsi="Arial"/>
                <w:sz w:val="18"/>
                <w:szCs w:val="18"/>
                <w:color w:val="auto"/>
              </w:rPr>
              <w:t>Receivables, less allowances for discounts, returns and credit losses of $43 and $46 in</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540" w:type="dxa"/>
            <w:vAlign w:val="bottom"/>
          </w:tcPr>
          <w:p>
            <w:pPr>
              <w:ind w:left="360"/>
              <w:spacing w:after="0"/>
              <w:rPr>
                <w:sz w:val="20"/>
                <w:szCs w:val="20"/>
                <w:color w:val="auto"/>
              </w:rPr>
            </w:pPr>
            <w:r>
              <w:rPr>
                <w:rFonts w:ascii="Arial" w:cs="Arial" w:eastAsia="Arial" w:hAnsi="Arial"/>
                <w:sz w:val="18"/>
                <w:szCs w:val="18"/>
                <w:color w:val="auto"/>
              </w:rPr>
              <w:t>2021 and 2020, respectively</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973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Arial" w:cs="Arial" w:eastAsia="Arial" w:hAnsi="Arial"/>
                <w:sz w:val="18"/>
                <w:szCs w:val="18"/>
                <w:color w:val="auto"/>
              </w:rPr>
              <w:t>Other intangible assets, net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1,037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3"/>
        </w:trPr>
        <w:tc>
          <w:tcPr>
            <w:tcW w:w="7540" w:type="dxa"/>
            <w:vAlign w:val="bottom"/>
          </w:tcPr>
          <w:p>
            <w:pPr>
              <w:ind w:left="1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8,151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Arial" w:cs="Arial" w:eastAsia="Arial" w:hAnsi="Arial"/>
                <w:sz w:val="18"/>
                <w:szCs w:val="18"/>
                <w:color w:val="auto"/>
              </w:rPr>
              <w:t>Accrued and other current liabilities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borrowings and current maturities of long-term debt</w:t>
            </w: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3"/>
        </w:trPr>
        <w:tc>
          <w:tcPr>
            <w:tcW w:w="754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Accrued post-retirement benefits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492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liabilities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accrued liabilities</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5,774</w:t>
            </w:r>
          </w:p>
        </w:tc>
        <w:tc>
          <w:tcPr>
            <w:tcW w:w="0" w:type="dxa"/>
            <w:vAlign w:val="bottom"/>
          </w:tcPr>
          <w:p>
            <w:pPr>
              <w:spacing w:after="0"/>
              <w:rPr>
                <w:sz w:val="1"/>
                <w:szCs w:val="1"/>
                <w:color w:val="auto"/>
              </w:rPr>
            </w:pPr>
          </w:p>
        </w:tc>
      </w:tr>
      <w:tr>
        <w:trPr>
          <w:trHeight w:val="210"/>
        </w:trPr>
        <w:tc>
          <w:tcPr>
            <w:tcW w:w="7540" w:type="dxa"/>
            <w:vAlign w:val="bottom"/>
          </w:tcPr>
          <w:p>
            <w:pPr>
              <w:ind w:left="140"/>
              <w:spacing w:after="0"/>
              <w:rPr>
                <w:sz w:val="20"/>
                <w:szCs w:val="20"/>
                <w:color w:val="auto"/>
              </w:rPr>
            </w:pPr>
            <w:r>
              <w:rPr>
                <w:rFonts w:ascii="Arial" w:cs="Arial" w:eastAsia="Arial" w:hAnsi="Arial"/>
                <w:sz w:val="18"/>
                <w:szCs w:val="18"/>
                <w:color w:val="auto"/>
              </w:rPr>
              <w:t>Commitments and contingencies (Note 16)</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Arial" w:cs="Arial" w:eastAsia="Arial" w:hAnsi="Arial"/>
                <w:sz w:val="18"/>
                <w:szCs w:val="18"/>
                <w:color w:val="auto"/>
              </w:rPr>
              <w:t>Common Stock – par value $0.01 per share:</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54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rPr>
              <w:t>Authorized 750.0 shares, issued 195.5 shares and 194.9 shares in 2021 and 2020,</w:t>
            </w:r>
          </w:p>
        </w:tc>
        <w:tc>
          <w:tcPr>
            <w:tcW w:w="200" w:type="dxa"/>
            <w:vAlign w:val="bottom"/>
            <w:shd w:val="clear" w:color="auto" w:fill="CCEEFF"/>
          </w:tcPr>
          <w:p>
            <w:pPr>
              <w:spacing w:after="0"/>
              <w:rPr>
                <w:sz w:val="16"/>
                <w:szCs w:val="16"/>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Capital in excess of par value</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Treasury stock – at cost 15.2 shares and 14.5 shares in 2021 and 2020, respectively</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equity</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2020</w:t>
            </w:r>
          </w:p>
        </w:tc>
      </w:tr>
      <w:tr>
        <w:trPr>
          <w:trHeight w:val="209"/>
        </w:trPr>
        <w:tc>
          <w:tcPr>
            <w:tcW w:w="850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3"/>
        </w:trPr>
        <w:tc>
          <w:tcPr>
            <w:tcW w:w="8500" w:type="dxa"/>
            <w:vAlign w:val="bottom"/>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15"/>
        </w:trPr>
        <w:tc>
          <w:tcPr>
            <w:tcW w:w="8500" w:type="dxa"/>
            <w:vAlign w:val="bottom"/>
          </w:tcPr>
          <w:p>
            <w:pPr>
              <w:ind w:left="360"/>
              <w:spacing w:after="0"/>
              <w:rPr>
                <w:sz w:val="20"/>
                <w:szCs w:val="20"/>
                <w:color w:val="auto"/>
              </w:rPr>
            </w:pPr>
            <w:r>
              <w:rPr>
                <w:rFonts w:ascii="Arial" w:cs="Arial" w:eastAsia="Arial" w:hAnsi="Arial"/>
                <w:sz w:val="16"/>
                <w:szCs w:val="16"/>
                <w:color w:val="auto"/>
              </w:rPr>
              <w:t>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17"/>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8500" w:type="dxa"/>
            <w:vAlign w:val="bottom"/>
          </w:tcPr>
          <w:p>
            <w:pPr>
              <w:ind w:left="360"/>
              <w:spacing w:after="0"/>
              <w:rPr>
                <w:sz w:val="20"/>
                <w:szCs w:val="20"/>
                <w:color w:val="auto"/>
              </w:rPr>
            </w:pPr>
            <w:r>
              <w:rPr>
                <w:rFonts w:ascii="Arial" w:cs="Arial" w:eastAsia="Arial" w:hAnsi="Arial"/>
                <w:sz w:val="16"/>
                <w:szCs w:val="16"/>
                <w:color w:val="auto"/>
              </w:rPr>
              <w:t>Restructuring and asset impairment charges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7"/>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Goodwill impairment charge</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5"/>
        </w:trPr>
        <w:tc>
          <w:tcPr>
            <w:tcW w:w="8500" w:type="dxa"/>
            <w:vAlign w:val="bottom"/>
          </w:tcPr>
          <w:p>
            <w:pPr>
              <w:ind w:left="360"/>
              <w:spacing w:after="0"/>
              <w:rPr>
                <w:sz w:val="20"/>
                <w:szCs w:val="20"/>
                <w:color w:val="auto"/>
              </w:rPr>
            </w:pPr>
            <w:r>
              <w:rPr>
                <w:rFonts w:ascii="Arial" w:cs="Arial" w:eastAsia="Arial" w:hAnsi="Arial"/>
                <w:sz w:val="16"/>
                <w:szCs w:val="16"/>
                <w:color w:val="auto"/>
              </w:rPr>
              <w:t>Gain from sale of business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net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5"/>
        </w:trPr>
        <w:tc>
          <w:tcPr>
            <w:tcW w:w="8500" w:type="dxa"/>
            <w:vAlign w:val="bottom"/>
          </w:tcPr>
          <w:p>
            <w:pPr>
              <w:ind w:left="140"/>
              <w:spacing w:after="0"/>
              <w:rPr>
                <w:sz w:val="20"/>
                <w:szCs w:val="20"/>
                <w:color w:val="auto"/>
              </w:rPr>
            </w:pPr>
            <w:r>
              <w:rPr>
                <w:rFonts w:ascii="Arial" w:cs="Arial" w:eastAsia="Arial" w:hAnsi="Arial"/>
                <w:sz w:val="16"/>
                <w:szCs w:val="16"/>
                <w:color w:val="auto"/>
              </w:rPr>
              <w:t>Payments for restructuring</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assets and liabilities (net of acquisitions):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8500" w:type="dxa"/>
            <w:vAlign w:val="bottom"/>
          </w:tcPr>
          <w:p>
            <w:pPr>
              <w:ind w:left="360"/>
              <w:spacing w:after="0"/>
              <w:rPr>
                <w:sz w:val="20"/>
                <w:szCs w:val="20"/>
                <w:color w:val="auto"/>
              </w:rPr>
            </w:pPr>
            <w:r>
              <w:rPr>
                <w:rFonts w:ascii="Arial" w:cs="Arial" w:eastAsia="Arial" w:hAnsi="Arial"/>
                <w:sz w:val="16"/>
                <w:szCs w:val="16"/>
                <w:color w:val="auto"/>
              </w:rPr>
              <w:t>Changes in receivables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7"/>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inventories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5"/>
        </w:trPr>
        <w:tc>
          <w:tcPr>
            <w:tcW w:w="8500" w:type="dxa"/>
            <w:vAlign w:val="bottom"/>
          </w:tcPr>
          <w:p>
            <w:pPr>
              <w:ind w:left="360"/>
              <w:spacing w:after="0"/>
              <w:rPr>
                <w:sz w:val="20"/>
                <w:szCs w:val="20"/>
                <w:color w:val="auto"/>
              </w:rPr>
            </w:pPr>
            <w:r>
              <w:rPr>
                <w:rFonts w:ascii="Arial" w:cs="Arial" w:eastAsia="Arial" w:hAnsi="Arial"/>
                <w:sz w:val="16"/>
                <w:szCs w:val="16"/>
                <w:color w:val="auto"/>
              </w:rPr>
              <w:t>Changes in accounts payable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7"/>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accrued taxes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8500" w:type="dxa"/>
            <w:vAlign w:val="bottom"/>
          </w:tcPr>
          <w:p>
            <w:pPr>
              <w:ind w:left="360"/>
              <w:spacing w:after="0"/>
              <w:rPr>
                <w:sz w:val="20"/>
                <w:szCs w:val="20"/>
                <w:color w:val="auto"/>
              </w:rPr>
            </w:pPr>
            <w:r>
              <w:rPr>
                <w:rFonts w:ascii="Arial" w:cs="Arial" w:eastAsia="Arial" w:hAnsi="Arial"/>
                <w:sz w:val="16"/>
                <w:szCs w:val="16"/>
                <w:color w:val="auto"/>
              </w:rPr>
              <w:t>Other, net</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0"/>
        </w:trPr>
        <w:tc>
          <w:tcPr>
            <w:tcW w:w="850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b w:val="1"/>
                <w:bCs w:val="1"/>
                <w:color w:val="auto"/>
              </w:rPr>
              <w:t>Net Cash – Operating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318</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w:t>
            </w:r>
          </w:p>
        </w:tc>
      </w:tr>
      <w:tr>
        <w:trPr>
          <w:trHeight w:val="195"/>
        </w:trPr>
        <w:tc>
          <w:tcPr>
            <w:tcW w:w="850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7"/>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15"/>
        </w:trPr>
        <w:tc>
          <w:tcPr>
            <w:tcW w:w="8500" w:type="dxa"/>
            <w:vAlign w:val="bottom"/>
          </w:tcPr>
          <w:p>
            <w:pPr>
              <w:ind w:left="140"/>
              <w:spacing w:after="0"/>
              <w:rPr>
                <w:sz w:val="20"/>
                <w:szCs w:val="20"/>
                <w:color w:val="auto"/>
              </w:rPr>
            </w:pPr>
            <w:r>
              <w:rPr>
                <w:rFonts w:ascii="Arial" w:cs="Arial" w:eastAsia="Arial" w:hAnsi="Arial"/>
                <w:sz w:val="16"/>
                <w:szCs w:val="16"/>
                <w:color w:val="auto"/>
              </w:rPr>
              <w:t>Proceeds from sale of business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the sale of property, plant and equipment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8500" w:type="dxa"/>
            <w:vAlign w:val="bottom"/>
          </w:tcPr>
          <w:p>
            <w:pPr>
              <w:ind w:left="140"/>
              <w:spacing w:after="0"/>
              <w:rPr>
                <w:sz w:val="20"/>
                <w:szCs w:val="20"/>
                <w:color w:val="auto"/>
              </w:rPr>
            </w:pPr>
            <w:r>
              <w:rPr>
                <w:rFonts w:ascii="Arial" w:cs="Arial" w:eastAsia="Arial" w:hAnsi="Arial"/>
                <w:sz w:val="16"/>
                <w:szCs w:val="16"/>
                <w:color w:val="auto"/>
              </w:rPr>
              <w:t>Cash paid for investments</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7"/>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9"/>
        </w:trPr>
        <w:tc>
          <w:tcPr>
            <w:tcW w:w="8500" w:type="dxa"/>
            <w:vAlign w:val="bottom"/>
            <w:tcBorders>
              <w:bottom w:val="single" w:sz="8" w:color="CCEEFF"/>
            </w:tcBorders>
          </w:tcPr>
          <w:p>
            <w:pPr>
              <w:ind w:left="560"/>
              <w:spacing w:after="0"/>
              <w:rPr>
                <w:sz w:val="20"/>
                <w:szCs w:val="20"/>
                <w:color w:val="auto"/>
              </w:rPr>
            </w:pPr>
            <w:r>
              <w:rPr>
                <w:rFonts w:ascii="Arial" w:cs="Arial" w:eastAsia="Arial" w:hAnsi="Arial"/>
                <w:sz w:val="16"/>
                <w:szCs w:val="16"/>
                <w:b w:val="1"/>
                <w:bCs w:val="1"/>
                <w:color w:val="auto"/>
              </w:rPr>
              <w:t>Net Cash – Investing activities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r>
      <w:tr>
        <w:trPr>
          <w:trHeight w:val="197"/>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5"/>
        </w:trPr>
        <w:tc>
          <w:tcPr>
            <w:tcW w:w="8500" w:type="dxa"/>
            <w:vAlign w:val="bottom"/>
          </w:tcPr>
          <w:p>
            <w:pPr>
              <w:ind w:left="140"/>
              <w:spacing w:after="0"/>
              <w:rPr>
                <w:sz w:val="20"/>
                <w:szCs w:val="20"/>
                <w:color w:val="auto"/>
              </w:rPr>
            </w:pPr>
            <w:r>
              <w:rPr>
                <w:rFonts w:ascii="Arial" w:cs="Arial" w:eastAsia="Arial" w:hAnsi="Arial"/>
                <w:sz w:val="16"/>
                <w:szCs w:val="16"/>
                <w:color w:val="auto"/>
              </w:rPr>
              <w:t>Short-term debt issued, net</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359</w:t>
            </w:r>
          </w:p>
        </w:tc>
      </w:tr>
      <w:tr>
        <w:trPr>
          <w:trHeight w:val="217"/>
        </w:trPr>
        <w:tc>
          <w:tcPr>
            <w:tcW w:w="8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Short-term debt repaid</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15"/>
        </w:trPr>
        <w:tc>
          <w:tcPr>
            <w:tcW w:w="8500" w:type="dxa"/>
            <w:vAlign w:val="bottom"/>
          </w:tcPr>
          <w:p>
            <w:pPr>
              <w:ind w:left="140"/>
              <w:spacing w:after="0"/>
              <w:rPr>
                <w:sz w:val="20"/>
                <w:szCs w:val="20"/>
                <w:color w:val="auto"/>
              </w:rPr>
            </w:pPr>
            <w:r>
              <w:rPr>
                <w:rFonts w:ascii="Arial" w:cs="Arial" w:eastAsia="Arial" w:hAnsi="Arial"/>
                <w:sz w:val="16"/>
                <w:szCs w:val="16"/>
                <w:color w:val="auto"/>
              </w:rPr>
              <w:t>Long-term debt issued, net</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985</w:t>
            </w:r>
          </w:p>
        </w:tc>
      </w:tr>
      <w:tr>
        <w:trPr>
          <w:trHeight w:val="217"/>
        </w:trPr>
        <w:tc>
          <w:tcPr>
            <w:tcW w:w="8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Long-term debt repaid</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500" w:type="dxa"/>
            <w:vAlign w:val="bottom"/>
          </w:tcPr>
          <w:p>
            <w:pPr>
              <w:ind w:left="140"/>
              <w:spacing w:after="0"/>
              <w:rPr>
                <w:sz w:val="20"/>
                <w:szCs w:val="20"/>
                <w:color w:val="auto"/>
              </w:rPr>
            </w:pPr>
            <w:r>
              <w:rPr>
                <w:rFonts w:ascii="Arial" w:cs="Arial" w:eastAsia="Arial" w:hAnsi="Arial"/>
                <w:sz w:val="16"/>
                <w:szCs w:val="16"/>
                <w:color w:val="auto"/>
              </w:rPr>
              <w:t>Repurchase of common stock</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7"/>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exercise of employee stock options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8500" w:type="dxa"/>
            <w:vAlign w:val="bottom"/>
          </w:tcPr>
          <w:p>
            <w:pPr>
              <w:ind w:left="14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17"/>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8500" w:type="dxa"/>
            <w:vAlign w:val="bottom"/>
            <w:tcBorders>
              <w:bottom w:val="single" w:sz="8" w:color="CCEEFF"/>
            </w:tcBorders>
          </w:tcPr>
          <w:p>
            <w:pPr>
              <w:ind w:left="560"/>
              <w:spacing w:after="0"/>
              <w:rPr>
                <w:sz w:val="20"/>
                <w:szCs w:val="20"/>
                <w:color w:val="auto"/>
              </w:rPr>
            </w:pPr>
            <w:r>
              <w:rPr>
                <w:rFonts w:ascii="Arial" w:cs="Arial" w:eastAsia="Arial" w:hAnsi="Arial"/>
                <w:sz w:val="16"/>
                <w:szCs w:val="16"/>
                <w:b w:val="1"/>
                <w:bCs w:val="1"/>
                <w:color w:val="auto"/>
              </w:rPr>
              <w:t>Net Cash – Financing activities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(806)</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r>
      <w:tr>
        <w:trPr>
          <w:trHeight w:val="20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exchange rate changes on cash</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50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(620)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678</w:t>
            </w:r>
          </w:p>
        </w:tc>
      </w:tr>
      <w:tr>
        <w:trPr>
          <w:trHeight w:val="217"/>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1,875</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w:t>
            </w:r>
          </w:p>
        </w:tc>
      </w:tr>
      <w:tr>
        <w:trPr>
          <w:trHeight w:val="209"/>
        </w:trPr>
        <w:tc>
          <w:tcPr>
            <w:tcW w:w="850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1,255</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4"/>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3"/>
        </w:trPr>
        <w:tc>
          <w:tcPr>
            <w:tcW w:w="8500" w:type="dxa"/>
            <w:vAlign w:val="bottom"/>
          </w:tcPr>
          <w:p>
            <w:pPr>
              <w:ind w:left="360"/>
              <w:spacing w:after="0"/>
              <w:rPr>
                <w:sz w:val="20"/>
                <w:szCs w:val="20"/>
                <w:color w:val="auto"/>
              </w:rPr>
            </w:pPr>
            <w:r>
              <w:rPr>
                <w:rFonts w:ascii="Arial" w:cs="Arial" w:eastAsia="Arial" w:hAnsi="Arial"/>
                <w:sz w:val="16"/>
                <w:szCs w:val="16"/>
                <w:color w:val="auto"/>
              </w:rPr>
              <w:t>Cash paid during the period for:</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5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Interest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5"/>
        </w:trPr>
        <w:tc>
          <w:tcPr>
            <w:tcW w:w="8500" w:type="dxa"/>
            <w:vAlign w:val="bottom"/>
          </w:tcPr>
          <w:p>
            <w:pPr>
              <w:ind w:left="560"/>
              <w:spacing w:after="0"/>
              <w:rPr>
                <w:sz w:val="20"/>
                <w:szCs w:val="20"/>
                <w:color w:val="auto"/>
              </w:rPr>
            </w:pPr>
            <w:r>
              <w:rPr>
                <w:rFonts w:ascii="Arial" w:cs="Arial" w:eastAsia="Arial" w:hAnsi="Arial"/>
                <w:sz w:val="16"/>
                <w:szCs w:val="16"/>
                <w:color w:val="auto"/>
              </w:rPr>
              <w:t>Income taxes (net of refunds received)</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71</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w:t>
            </w:r>
          </w:p>
        </w:tc>
      </w:tr>
    </w:tbl>
    <w:p>
      <w:pPr>
        <w:spacing w:after="0" w:line="9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39"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Xylem Inc. (“Xylem” or the “Company”) is a leading equipment and service provider for water and wastewater applications with a broad portfolio of products and services addressing the full cycle of water, from collection, distribution and use to the return of water to the environment.</w:t>
      </w:r>
    </w:p>
    <w:p>
      <w:pPr>
        <w:spacing w:after="0" w:line="9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Xylem operates in three segments, Water Infrastructure, Applied Water and Measurement &amp; Control Solutions. See Note 17, "Segment Information", to the condensed consolidated financial statements for further segment background information.</w:t>
      </w:r>
    </w:p>
    <w:p>
      <w:pPr>
        <w:spacing w:after="0" w:line="9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Except as otherwise indicated or unless the context otherwise requires, "Xylem," "we," "us," "our" and the "Company" refer to Xylem Inc. and its subsidiaries.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interim condensed consolidated financial statements reflect our financial position and results of operations in conformity with accounting principles generally accepted in the United States of America ("GAAP"). All intercompany transactions between our businesses have been eliminated.</w:t>
      </w:r>
    </w:p>
    <w:p>
      <w:pPr>
        <w:spacing w:after="0" w:line="9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Securities and Exchange Commission ("SEC") and, in the opinion of management, reflect all adjustments (which include normal recurring adjustments) considered necessary for a fair statement of the financial position and results of operations for the periods presented. Certain information and note disclosures normally included in financial statements prepared in accordance with GAAP have been condensed or omitted pursuant to such SEC rules. We believe that the disclosures made are adequate to make the information presented not misleading. We consistently applied the accounting policies described in our Annual Report on Form 10-K for the year ended December 31, 2020 ("2020 Annual Report") in preparing these unaudited condensed consolidated financial statements. These condensed consolidated financial statements should be read in conjunction with the audited consolidated financial statements and the notes included in our 2020 Annual Report.</w:t>
      </w:r>
    </w:p>
    <w:p>
      <w:pPr>
        <w:spacing w:after="0" w:line="10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reporting period. Estimates are revised as additional information becomes available. Estimates and assumptions are used for, but not limited to, post-retirement obligations and assets, revenue recognition, income taxes, valuation of intangible assets, goodwill and indefinite-lived intangible impairment testing and contingent liabilities. Actual results could differ from these estimates. The global outbreak of the novel coronavirus ("COVID-19") disease in March 2020, declared a pandemic by the World Health Organization, has created significant global volatility, uncertainty and economic disruption. The COVID-19 pandemic also has caused increased uncertainty in estimates and assumptions affecting the condensed consolidated financial statements. Actual results could differ from these estimates.</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quarterly financial periods end on the Saturday closest to the last day of the calendar quarter, except for the fourth quarter which ends on December 31. For ease of presentation, the condensed consolidated financial statements included herein are described as ending on the last day of the calendar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sources of revenue: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480" w:type="dxa"/>
            <w:vAlign w:val="bottom"/>
            <w:gridSpan w:val="4"/>
          </w:tcPr>
          <w:p>
            <w:pPr>
              <w:jc w:val="right"/>
              <w:ind w:right="655"/>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Revenue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reflects revenue from contracts with customers by application. The table below also reflects updates to the aggregation of applications to simplify and focus presentation.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48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5520" w:type="dxa"/>
            <w:vAlign w:val="bottom"/>
          </w:tcPr>
          <w:p>
            <w:pPr>
              <w:ind w:left="280"/>
              <w:spacing w:after="0"/>
              <w:rPr>
                <w:sz w:val="20"/>
                <w:szCs w:val="20"/>
                <w:color w:val="auto"/>
              </w:rPr>
            </w:pPr>
            <w:r>
              <w:rPr>
                <w:rFonts w:ascii="Arial" w:cs="Arial" w:eastAsia="Arial" w:hAnsi="Arial"/>
                <w:sz w:val="18"/>
                <w:szCs w:val="18"/>
                <w:color w:val="auto"/>
              </w:rPr>
              <w:t>Transport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390</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1,173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1,042</w:t>
            </w:r>
          </w:p>
        </w:tc>
      </w:tr>
      <w:tr>
        <w:trPr>
          <w:trHeight w:val="230"/>
        </w:trPr>
        <w:tc>
          <w:tcPr>
            <w:tcW w:w="5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Treatment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70"/>
        </w:trPr>
        <w:tc>
          <w:tcPr>
            <w:tcW w:w="5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520" w:type="dxa"/>
            <w:vAlign w:val="bottom"/>
          </w:tcPr>
          <w:p>
            <w:pPr>
              <w:ind w:left="280"/>
              <w:spacing w:after="0"/>
              <w:rPr>
                <w:sz w:val="20"/>
                <w:szCs w:val="20"/>
                <w:color w:val="auto"/>
              </w:rPr>
            </w:pPr>
            <w:r>
              <w:rPr>
                <w:rFonts w:ascii="Arial" w:cs="Arial" w:eastAsia="Arial" w:hAnsi="Arial"/>
                <w:sz w:val="18"/>
                <w:szCs w:val="18"/>
                <w:color w:val="auto"/>
              </w:rPr>
              <w:t>Commercial Building Services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29"/>
        </w:trPr>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Residential Building Services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5520" w:type="dxa"/>
            <w:vAlign w:val="bottom"/>
          </w:tcPr>
          <w:p>
            <w:pPr>
              <w:ind w:left="280"/>
              <w:spacing w:after="0"/>
              <w:rPr>
                <w:sz w:val="20"/>
                <w:szCs w:val="20"/>
                <w:color w:val="auto"/>
              </w:rPr>
            </w:pPr>
            <w:r>
              <w:rPr>
                <w:rFonts w:ascii="Arial" w:cs="Arial" w:eastAsia="Arial" w:hAnsi="Arial"/>
                <w:sz w:val="18"/>
                <w:szCs w:val="18"/>
                <w:color w:val="auto"/>
              </w:rPr>
              <w:t>Industrial Water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70"/>
        </w:trPr>
        <w:tc>
          <w:tcPr>
            <w:tcW w:w="55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i w:val="1"/>
                <w:iCs w:val="1"/>
                <w:color w:val="auto"/>
              </w:rPr>
              <w:t>Measurement &amp; Control Solutions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Water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29"/>
        </w:trPr>
        <w:tc>
          <w:tcPr>
            <w:tcW w:w="5520" w:type="dxa"/>
            <w:vAlign w:val="bottom"/>
          </w:tcPr>
          <w:p>
            <w:pPr>
              <w:ind w:left="280"/>
              <w:spacing w:after="0"/>
              <w:rPr>
                <w:sz w:val="20"/>
                <w:szCs w:val="20"/>
                <w:color w:val="auto"/>
              </w:rPr>
            </w:pPr>
            <w:r>
              <w:rPr>
                <w:rFonts w:ascii="Arial" w:cs="Arial" w:eastAsia="Arial" w:hAnsi="Arial"/>
                <w:sz w:val="18"/>
                <w:szCs w:val="18"/>
                <w:color w:val="auto"/>
              </w:rPr>
              <w:t>Energy</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0"/>
        </w:trPr>
        <w:tc>
          <w:tcPr>
            <w:tcW w:w="55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1,214</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w:t>
            </w: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in the prior year footnote disclosures for Applied Water were reclassified to conform to the current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 w:name="page10"/>
    <w:bookmarkEnd w:id="9"/>
    <w:p>
      <w:pPr>
        <w:spacing w:after="0" w:line="256" w:lineRule="auto"/>
        <w:rPr>
          <w:sz w:val="20"/>
          <w:szCs w:val="20"/>
          <w:color w:val="auto"/>
        </w:rPr>
      </w:pPr>
      <w:r>
        <w:rPr>
          <w:rFonts w:ascii="Arial" w:cs="Arial" w:eastAsia="Arial" w:hAnsi="Arial"/>
          <w:sz w:val="18"/>
          <w:szCs w:val="18"/>
          <w:color w:val="auto"/>
        </w:rPr>
        <w:t>The following table reflects revenue from contracts with customers by geographical region. The presentation of geographic regions below has been updated to better align to how management currently focuses on revenue and growth platforms by geographic region. There has been no change to the Company's reportable segments.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48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0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552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29"/>
        </w:trPr>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29"/>
        </w:trPr>
        <w:tc>
          <w:tcPr>
            <w:tcW w:w="552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70"/>
        </w:trPr>
        <w:tc>
          <w:tcPr>
            <w:tcW w:w="5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52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30"/>
        </w:trPr>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29"/>
        </w:trPr>
        <w:tc>
          <w:tcPr>
            <w:tcW w:w="552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5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&amp; Control Solutions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52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30"/>
        </w:trPr>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29"/>
        </w:trPr>
        <w:tc>
          <w:tcPr>
            <w:tcW w:w="552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55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ind w:left="660" w:right="740" w:hanging="328"/>
        <w:spacing w:after="0" w:line="260"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Emerging Markets includes results from the following regions: Eastern Europe, the Middle East and Africa, Latin America and Asia Pacific (excluding Japan, Australia and New Zealand, which are presented in "Other")</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8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table below provides contract assets, contract liabilities, and significant changes in contract assets and liabilities: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Contract Assets (a)</w:t>
            </w:r>
          </w:p>
        </w:tc>
        <w:tc>
          <w:tcPr>
            <w:tcW w:w="4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Contract Liabilities</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5600" w:type="dxa"/>
            <w:vAlign w:val="bottom"/>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95</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(89)</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Balance at September 30, 2020</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237"/>
        </w:trPr>
        <w:tc>
          <w:tcPr>
            <w:tcW w:w="5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Balance at January 1, 2021</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166</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r>
      <w:tr>
        <w:trPr>
          <w:trHeight w:val="230"/>
        </w:trPr>
        <w:tc>
          <w:tcPr>
            <w:tcW w:w="5600" w:type="dxa"/>
            <w:vAlign w:val="bottom"/>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(106)</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5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Excludes receivable balances, which are disclosed on the Condensed Consolidated Balance Sheets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Delivery schedules vary from customer to customer based upon their requirements. Typically, large projects require longer lead production cycles and delays can occur from time to time. As of September 30, 2021, the aggregate amount of the transaction price allocated to performance obligations that are unsatisfied or partially unsatisfied for contracts with performance obligations, amount to $489 million. We expect to recognize the majority of revenue upon the completion of satisfying these performance obligations in the following 60 months. The Company elects to apply the practical expedient to exclude from this disclosure revenue related to performance obligations that are part of a contract whose original expected duration is less than one year.</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 and Asset Impairment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From time to time, the Company will incur costs related to restructuring actions in order to optimize our cost base and more strategically position itself. During the three and nine months ended September 30, 2021, we recognized net restructuring recoveries of $(2) million and $6 million, respectively, of which $(2) million and $4 million relate to actions previously announced in 2020 and prior. These charges included reduction of headcount across all segments, asset impairments within our Measurement &amp; Control Solutions segment and accrual recoveries in our Measurement &amp; Control Solutions segment.</w:t>
      </w:r>
    </w:p>
    <w:p>
      <w:pPr>
        <w:spacing w:after="0" w:line="9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response to the changes in business and economic conditions arising as a result of the COVID-19 pandemic, in June 2020 management committed to a restructuring plan that includes actions across our businesses and functions globally. The plan is designed to support our long-term financial resilience, simplify our operations, strengthen our competitive positioning and better serve our customers. During the three and nine months ended September 30, 2020, we recognized restructuring charges of $8 million and $48 million, respectively. These charges included reduction of headcount across all segments and asset impairments within our Measurement &amp; Control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presents the components of restructuring expense and asset impairment charges: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2020</w:t>
            </w: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component: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Severance and other charges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Other restructuring charges</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Reversal of restructuring accruals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restructuring charges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charges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Total restructuring and asset impairment charges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5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By segment:</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Water Infrastructure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700" w:type="dxa"/>
            <w:vAlign w:val="bottom"/>
          </w:tcPr>
          <w:p>
            <w:pPr>
              <w:ind w:left="480"/>
              <w:spacing w:after="0"/>
              <w:rPr>
                <w:sz w:val="20"/>
                <w:szCs w:val="20"/>
                <w:color w:val="auto"/>
              </w:rPr>
            </w:pPr>
            <w:r>
              <w:rPr>
                <w:rFonts w:ascii="Arial" w:cs="Arial" w:eastAsia="Arial" w:hAnsi="Arial"/>
                <w:sz w:val="18"/>
                <w:szCs w:val="18"/>
                <w:color w:val="auto"/>
              </w:rPr>
              <w:t>Applied Water</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Measurement &amp; Control Solutions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bl>
    <w:p>
      <w:pPr>
        <w:spacing w:after="0" w:line="25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 displays a roll-forward of the restructuring accruals, presented on our Condensed Consolidated Balance Sheets within "Accrued and other current liabilities" and "Other non-current accrued liabilities", for the nine months ended September 30, 2021 and 2020: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2020</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accruals - January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Restructuring charges,net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Asset impairment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and 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Restructuring accruals - September 30</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91"/>
        </w:trPr>
        <w:tc>
          <w:tcPr>
            <w:tcW w:w="8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0"/>
        </w:trPr>
        <w:tc>
          <w:tcPr>
            <w:tcW w:w="8440" w:type="dxa"/>
            <w:vAlign w:val="bottom"/>
          </w:tcPr>
          <w:p>
            <w:pPr>
              <w:ind w:left="260"/>
              <w:spacing w:after="0"/>
              <w:rPr>
                <w:sz w:val="20"/>
                <w:szCs w:val="20"/>
                <w:color w:val="auto"/>
              </w:rPr>
            </w:pPr>
            <w:r>
              <w:rPr>
                <w:rFonts w:ascii="Arial" w:cs="Arial" w:eastAsia="Arial" w:hAnsi="Arial"/>
                <w:sz w:val="18"/>
                <w:szCs w:val="18"/>
                <w:color w:val="auto"/>
              </w:rPr>
              <w:t>By segment: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Water Infrastructure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440" w:type="dxa"/>
            <w:vAlign w:val="bottom"/>
          </w:tcPr>
          <w:p>
            <w:pPr>
              <w:ind w:left="480"/>
              <w:spacing w:after="0"/>
              <w:rPr>
                <w:sz w:val="20"/>
                <w:szCs w:val="20"/>
                <w:color w:val="auto"/>
              </w:rPr>
            </w:pPr>
            <w:r>
              <w:rPr>
                <w:rFonts w:ascii="Arial" w:cs="Arial" w:eastAsia="Arial" w:hAnsi="Arial"/>
                <w:sz w:val="18"/>
                <w:szCs w:val="18"/>
                <w:color w:val="auto"/>
              </w:rPr>
              <w:t>Applied Water</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Measurement &amp; Control Solutions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Regional selling locations (a)</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 and other</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45" w:lineRule="exact"/>
        <w:rPr>
          <w:sz w:val="20"/>
          <w:szCs w:val="20"/>
          <w:color w:val="auto"/>
        </w:rPr>
      </w:pPr>
    </w:p>
    <w:p>
      <w:pPr>
        <w:ind w:left="340" w:right="180" w:hanging="332"/>
        <w:spacing w:after="0" w:line="260"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Regional selling locations consist primarily of selling and marketing organizations and related support services that incurred restructuring expense that was allocated to the segments. The liabilities associated with restructuring expense were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presents expected restructuring spend in 2021 and thereafter:</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Applied Water</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Measurement &amp;</w:t>
            </w:r>
          </w:p>
        </w:tc>
        <w:tc>
          <w:tcPr>
            <w:tcW w:w="2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Corporate</w:t>
            </w: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0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148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Control Solutions</w:t>
            </w:r>
          </w:p>
        </w:tc>
        <w:tc>
          <w:tcPr>
            <w:tcW w:w="22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2021:</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Q1 2021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Q2 2021</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Q3 2021</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2020: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Q1 2021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Q2 2021</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Q3 2021</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third quarter of 2021, we recorded an adjustment of $3 million to decrease the liability within the Measurement &amp; Control Solutions segment, related to 2019 actions. As a result of this adjustment, the estimated total cost of the 2019 actions decreased to $24 million for the Measurement &amp; Control Solutions segment. The 2019 actions are complete.</w:t>
      </w:r>
    </w:p>
    <w:p>
      <w:pPr>
        <w:spacing w:after="0" w:line="94"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Water Infrastructure actions commenced in 2021 consist primarily of severance charges. These actions are expected to continue through the second quarter of 2022.</w:t>
      </w:r>
    </w:p>
    <w:p>
      <w:pPr>
        <w:spacing w:after="0" w:line="90"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The Water Infrastructure, Applied Water, and Measurement &amp; Control Solutions actions commenced in 2020 consist primarily of severance charges across segments and asset impairment charges in our Measurement &amp; Control Solutions segment. These actions are expected to continue through the second quarter of 2022.</w:t>
      </w:r>
    </w:p>
    <w:p>
      <w:pPr>
        <w:spacing w:after="0" w:line="9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During the second quarter of 2020 the discontinuance of a product line resulted in $17 million of asset impairments, primarily related to customer relationships, trademarks and fixed assets within our Measurement &amp; Control Solutions segment.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3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During the third quarter of 2020, we determined that certain assets including software and proprietary technology within our Measurement &amp; Control Solutions segment were impaired. Accordingly we recognized an impairment charge of $11 million. Refer to Note 7, "Goodwill and Other Intangible Assets," for additional information.</w:t>
      </w:r>
    </w:p>
    <w:p>
      <w:pPr>
        <w:spacing w:after="0" w:line="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second quarter of 2020 we determined that internally developed in-process software within our Measurement &amp; Control Solutions segment was impaired as a result of actions taken to prioritize strategic investments. Accordingly, we recognized an impairment charge of $10 million. Refer to Note 7, "Goodwill and Other Intangible Assets," for additional information.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Income Taxes</w:t>
      </w:r>
    </w:p>
    <w:p>
      <w:pPr>
        <w:spacing w:after="0" w:line="13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Our quarterly provision for income taxes is measured using an estimated annual effective tax rate, adjusted for discrete items within periods presented. The comparison of our effective tax rate between periods is significantly impacted by the level and mix of earnings and losses by tax jurisdiction and discrete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3" w:name="page14"/>
    <w:bookmarkEnd w:id="13"/>
    <w:p>
      <w:pPr>
        <w:ind w:right="220"/>
        <w:spacing w:after="0" w:line="252" w:lineRule="auto"/>
        <w:rPr>
          <w:sz w:val="20"/>
          <w:szCs w:val="20"/>
          <w:color w:val="auto"/>
        </w:rPr>
      </w:pPr>
      <w:r>
        <w:rPr>
          <w:rFonts w:ascii="Arial" w:cs="Arial" w:eastAsia="Arial" w:hAnsi="Arial"/>
          <w:sz w:val="18"/>
          <w:szCs w:val="18"/>
          <w:color w:val="auto"/>
        </w:rPr>
        <w:t>The income tax provision for the three months ended September 30, 2021 was $19 million resulting in an effective tax rate of 13.9%, compared to a $13 million expense resulting in an effective tax rate of 26.2% for the same period in 2020. The income tax provision for the nine months ended September 30, 2021 was $71 million resulting in an effective tax rate of 18.3%, compared to a $21 million expense resulting in an effective tax rate of 16.6% for the same period in 2020. The effective tax rate for the three and nine month periods ended September 30, 2021 was lower than the U.S. federal statutory rate primarily due to favorable earnings mix, partially offset by the Global Intangible Low Taxed Income ("GILTI") inclusion. Additionally, the effective tax rate for the three and nine month periods ended September 30, 2020 differ from the U.S. federal statutory rate primarily due to the mix of earnings in foreign jurisdictions, partially offset by the GILTI inclusion and goodwill impairment charge.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2019, Xylem’s Swedish subsidiary received a tax assessment for the 2013 tax year related to the tax treatment of an intercompany transfer of certain intellectual property that was made in connection with a reorganization of our European businesses. The assessment asserts an aggregate amount of approximately $80 million for tax, penalties and interest. Xylem filed an appeal with the Administrative Court of Stockholm. Management, in consultation with external legal advisors, believes it is more likely than not that Xylem will prevail on the proposed assessment and is vigorously defending our position through litigation. As of September 30, 2021, we have not recorded any unrecognized tax benefits related to this uncertain tax position.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shares used in calculating basic and diluted net earnings per share: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26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3"/>
        </w:trPr>
        <w:tc>
          <w:tcPr>
            <w:tcW w:w="60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w w:val="96"/>
              </w:rPr>
              <w:t>2020</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w w:val="96"/>
              </w:rPr>
              <w:t>2020</w:t>
            </w:r>
          </w:p>
        </w:tc>
      </w:tr>
      <w:tr>
        <w:trPr>
          <w:trHeight w:val="223"/>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(in millions)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0"/>
        </w:trPr>
        <w:tc>
          <w:tcPr>
            <w:tcW w:w="6020" w:type="dxa"/>
            <w:vAlign w:val="bottom"/>
          </w:tcPr>
          <w:p>
            <w:pPr>
              <w:ind w:left="140"/>
              <w:spacing w:after="0"/>
              <w:rPr>
                <w:sz w:val="20"/>
                <w:szCs w:val="20"/>
                <w:color w:val="auto"/>
              </w:rPr>
            </w:pPr>
            <w:r>
              <w:rPr>
                <w:rFonts w:ascii="Arial" w:cs="Arial" w:eastAsia="Arial" w:hAnsi="Arial"/>
                <w:sz w:val="18"/>
                <w:szCs w:val="18"/>
                <w:color w:val="auto"/>
              </w:rPr>
              <w:t>Shares (in thousands):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180,221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180,182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180,031</w:t>
            </w:r>
          </w:p>
        </w:tc>
      </w:tr>
      <w:tr>
        <w:trPr>
          <w:trHeight w:val="230"/>
        </w:trPr>
        <w:tc>
          <w:tcPr>
            <w:tcW w:w="6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Add: Participating securities (a)</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Basic</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180,236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180,203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180,055</w:t>
            </w: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Plus incremental shares from assumed conversions: (b)</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stock options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30"/>
        </w:trPr>
        <w:tc>
          <w:tcPr>
            <w:tcW w:w="6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Dilutive effect of restricted stock units and performance share units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r>
      <w:tr>
        <w:trPr>
          <w:trHeight w:val="223"/>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Diluted</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181,642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181,488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180,956</w:t>
            </w:r>
          </w:p>
        </w:tc>
      </w:tr>
      <w:tr>
        <w:trPr>
          <w:trHeight w:val="223"/>
        </w:trPr>
        <w:tc>
          <w:tcPr>
            <w:tcW w:w="6020" w:type="dxa"/>
            <w:vAlign w:val="bottom"/>
          </w:tcPr>
          <w:p>
            <w:pPr>
              <w:ind w:left="140"/>
              <w:spacing w:after="0"/>
              <w:rPr>
                <w:sz w:val="20"/>
                <w:szCs w:val="20"/>
                <w:color w:val="auto"/>
              </w:rPr>
            </w:pPr>
            <w:r>
              <w:rPr>
                <w:rFonts w:ascii="Arial" w:cs="Arial" w:eastAsia="Arial" w:hAnsi="Arial"/>
                <w:sz w:val="18"/>
                <w:szCs w:val="18"/>
                <w:color w:val="auto"/>
              </w:rPr>
              <w:t>Basic earnings per share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0.63</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1.74</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earnings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r>
    </w:tbl>
    <w:p>
      <w:pPr>
        <w:spacing w:after="0" w:line="258" w:lineRule="exact"/>
        <w:rPr>
          <w:sz w:val="20"/>
          <w:szCs w:val="20"/>
          <w:color w:val="auto"/>
        </w:rPr>
      </w:pPr>
    </w:p>
    <w:p>
      <w:pPr>
        <w:ind w:left="340" w:right="500" w:hanging="332"/>
        <w:spacing w:after="0" w:line="260"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Restricted stock unit awards containing rights to non-forfeitable dividends that participate in undistributed earnings with common stockholders are considered participating securities for purposes of computing earnings per share.</w:t>
      </w:r>
    </w:p>
    <w:p>
      <w:pPr>
        <w:spacing w:after="0" w:line="87" w:lineRule="exact"/>
        <w:rPr>
          <w:rFonts w:ascii="Arial" w:cs="Arial" w:eastAsia="Arial" w:hAnsi="Arial"/>
          <w:sz w:val="16"/>
          <w:szCs w:val="16"/>
          <w:color w:val="auto"/>
        </w:rPr>
      </w:pPr>
    </w:p>
    <w:p>
      <w:pPr>
        <w:ind w:left="340" w:right="20" w:hanging="332"/>
        <w:spacing w:after="0" w:line="248"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will be included in the treasury stock calculation of diluted earnings per share upon achievement of underlying performance or market conditions at the end of the reporting period. See Note 13, "Share-Based Compensation Plans", to the condensed consolidated financial statements for further detail on the performance share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700" w:type="dxa"/>
            <w:vAlign w:val="bottom"/>
            <w:gridSpan w:val="4"/>
          </w:tcPr>
          <w:p>
            <w:pPr>
              <w:jc w:val="center"/>
              <w:ind w:right="235"/>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gridSpan w:val="7"/>
          </w:tcPr>
          <w:p>
            <w:pPr>
              <w:jc w:val="right"/>
              <w:ind w:right="11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72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ind w:left="40"/>
              <w:spacing w:after="0"/>
              <w:rPr>
                <w:sz w:val="20"/>
                <w:szCs w:val="20"/>
                <w:color w:val="auto"/>
              </w:rPr>
            </w:pPr>
            <w:r>
              <w:rPr>
                <w:rFonts w:ascii="Arial" w:cs="Arial" w:eastAsia="Arial" w:hAnsi="Arial"/>
                <w:sz w:val="16"/>
                <w:szCs w:val="16"/>
                <w:color w:val="auto"/>
              </w:rPr>
              <w:t>tock options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1,169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gridSpan w:val="2"/>
          </w:tcPr>
          <w:p>
            <w:pPr>
              <w:ind w:left="40"/>
              <w:spacing w:after="0"/>
              <w:rPr>
                <w:sz w:val="20"/>
                <w:szCs w:val="20"/>
                <w:color w:val="auto"/>
              </w:rPr>
            </w:pPr>
            <w:r>
              <w:rPr>
                <w:rFonts w:ascii="Arial" w:cs="Arial" w:eastAsia="Arial" w:hAnsi="Arial"/>
                <w:sz w:val="16"/>
                <w:szCs w:val="16"/>
                <w:color w:val="auto"/>
              </w:rPr>
              <w:t>estricted stock units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285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erformance share units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9"/>
        </w:trPr>
        <w:tc>
          <w:tcPr>
            <w:tcW w:w="10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Note 6. Inventories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The components of total inventories are summarized as follows: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54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5400" w:type="dxa"/>
            <w:vAlign w:val="bottom"/>
            <w:tcBorders>
              <w:bottom w:val="single" w:sz="8" w:color="CCEEFF"/>
            </w:tcBorders>
            <w:vMerge w:val="continue"/>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252</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Work in process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Raw materials</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365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rPr>
              <w:t>Total inventories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679</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-1997075</wp:posOffset>
            </wp:positionV>
            <wp:extent cx="69265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6580" cy="15430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7. Goodwill and Other Intangible Assets</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Goodwill</w:t>
      </w:r>
    </w:p>
    <w:p>
      <w:pPr>
        <w:spacing w:after="0" w:line="13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Changes in the carrying value of goodwill by reportable segment for the nine months ended September 30, 2021 are as follows:</w:t>
      </w:r>
    </w:p>
    <w:p>
      <w:pPr>
        <w:spacing w:after="0" w:line="2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5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Water</w:t>
            </w:r>
          </w:p>
        </w:tc>
        <w:tc>
          <w:tcPr>
            <w:tcW w:w="160" w:type="dxa"/>
            <w:vAlign w:val="bottom"/>
          </w:tcPr>
          <w:p>
            <w:pPr>
              <w:spacing w:after="0"/>
              <w:rPr>
                <w:sz w:val="14"/>
                <w:szCs w:val="14"/>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Applied Water</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Measurement &amp;</w:t>
            </w:r>
          </w:p>
        </w:tc>
        <w:tc>
          <w:tcPr>
            <w:tcW w:w="280" w:type="dxa"/>
            <w:vAlign w:val="bottom"/>
          </w:tcPr>
          <w:p>
            <w:pPr>
              <w:spacing w:after="0"/>
              <w:rPr>
                <w:sz w:val="14"/>
                <w:szCs w:val="14"/>
                <w:color w:val="auto"/>
              </w:rPr>
            </w:pPr>
          </w:p>
        </w:tc>
        <w:tc>
          <w:tcPr>
            <w:tcW w:w="9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Control Solutions</w:t>
            </w: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as of January 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i w:val="1"/>
                <w:iCs w:val="1"/>
                <w:color w:val="auto"/>
              </w:rPr>
              <w:t>Activity in 2021</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and other</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Balance as of September 30,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 w:right="280"/>
        <w:spacing w:after="0" w:line="261" w:lineRule="auto"/>
        <w:rPr>
          <w:sz w:val="20"/>
          <w:szCs w:val="20"/>
          <w:color w:val="auto"/>
        </w:rPr>
      </w:pPr>
      <w:r>
        <w:rPr>
          <w:rFonts w:ascii="Arial" w:cs="Arial" w:eastAsia="Arial" w:hAnsi="Arial"/>
          <w:sz w:val="18"/>
          <w:szCs w:val="18"/>
          <w:color w:val="auto"/>
        </w:rPr>
        <w:t>As of September 30, 2021, goodwill included an accumulated impairment loss of $206 million within the Measurement &amp; Control Solutions segment.</w:t>
      </w:r>
    </w:p>
    <w:p>
      <w:pPr>
        <w:spacing w:after="0" w:line="90" w:lineRule="exact"/>
        <w:rPr>
          <w:sz w:val="20"/>
          <w:szCs w:val="20"/>
          <w:color w:val="auto"/>
        </w:rPr>
      </w:pPr>
    </w:p>
    <w:p>
      <w:pPr>
        <w:ind w:left="100" w:right="100"/>
        <w:spacing w:after="0" w:line="251" w:lineRule="auto"/>
        <w:rPr>
          <w:sz w:val="20"/>
          <w:szCs w:val="20"/>
          <w:color w:val="auto"/>
        </w:rPr>
      </w:pPr>
      <w:r>
        <w:rPr>
          <w:rFonts w:ascii="Arial" w:cs="Arial" w:eastAsia="Arial" w:hAnsi="Arial"/>
          <w:sz w:val="18"/>
          <w:szCs w:val="18"/>
          <w:color w:val="auto"/>
        </w:rPr>
        <w:t>During the third quarter of 2020, the Company recorded a goodwill impairment charge of $58 million related to the Advanced Infrastructure Analytics (“AIA”) goodwill reporting unit within our Measurement &amp; Control Solutions segment. The AIA reporting unit is comprised of our assessment services business (primarily the Pure Technologies Ltd. ("Pure") acquisition) as well as our digital solutions business. The impairment resulted from management's updated forecast of future cash flows for the AIA businesses, which reflects significant negative volume impacts from the COVID-19 pandemic, primarily on our assessment services business. Our ongoing investment in the AIA businesses also continues to impact near term profitability. These factors drove the decrease in forecasted cash flows, and as such, the calculated fair value of the AIA reporting unit below its carrying value as of the third quarter. To determine the fair value of the AIA reporting unit, the Company used the income approach. Under the income approach, the fair value of the AIA reporting unit was based on the present value of the estimated cash flows that the reporting unit is expected to generate over its remaining life. Cash flow projections were based on management’s estimates of revenue growth rates and operating margins, taking into consideration industry and market conditions. The discount rate was based on the weighted average cost of capital appropriate for the AIA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4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December 31, 2020</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2"/>
                <w:szCs w:val="12"/>
                <w:color w:val="auto"/>
              </w:rPr>
            </w:pPr>
          </w:p>
        </w:tc>
        <w:tc>
          <w:tcPr>
            <w:tcW w:w="104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200" w:type="dxa"/>
            <w:vAlign w:val="bottom"/>
            <w:gridSpan w:val="2"/>
          </w:tcPr>
          <w:p>
            <w:pPr>
              <w:ind w:left="340"/>
              <w:spacing w:after="0" w:line="142" w:lineRule="exact"/>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2"/>
                <w:szCs w:val="12"/>
                <w:color w:val="auto"/>
              </w:rPr>
            </w:pPr>
          </w:p>
        </w:tc>
        <w:tc>
          <w:tcPr>
            <w:tcW w:w="114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Carrying</w:t>
            </w:r>
          </w:p>
        </w:tc>
        <w:tc>
          <w:tcPr>
            <w:tcW w:w="160" w:type="dxa"/>
            <w:vAlign w:val="bottom"/>
          </w:tcPr>
          <w:p>
            <w:pPr>
              <w:spacing w:after="0"/>
              <w:rPr>
                <w:sz w:val="12"/>
                <w:szCs w:val="12"/>
                <w:color w:val="auto"/>
              </w:rPr>
            </w:pPr>
          </w:p>
        </w:tc>
        <w:tc>
          <w:tcPr>
            <w:tcW w:w="12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2"/>
                <w:szCs w:val="12"/>
                <w:color w:val="auto"/>
              </w:rPr>
            </w:pPr>
          </w:p>
        </w:tc>
        <w:tc>
          <w:tcPr>
            <w:tcW w:w="1060" w:type="dxa"/>
            <w:vAlign w:val="bottom"/>
          </w:tcPr>
          <w:p>
            <w:pPr>
              <w:jc w:val="right"/>
              <w:ind w:right="434"/>
              <w:spacing w:after="0" w:line="142"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6"/>
        </w:trPr>
        <w:tc>
          <w:tcPr>
            <w:tcW w:w="306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Intangibles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Amount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Amortization</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Intangibles</w:t>
            </w:r>
          </w:p>
        </w:tc>
        <w:tc>
          <w:tcPr>
            <w:tcW w:w="0" w:type="dxa"/>
            <w:vAlign w:val="bottom"/>
          </w:tcPr>
          <w:p>
            <w:pPr>
              <w:spacing w:after="0"/>
              <w:rPr>
                <w:sz w:val="1"/>
                <w:szCs w:val="1"/>
                <w:color w:val="auto"/>
              </w:rPr>
            </w:pPr>
          </w:p>
        </w:tc>
      </w:tr>
      <w:tr>
        <w:trPr>
          <w:trHeight w:val="168"/>
        </w:trPr>
        <w:tc>
          <w:tcPr>
            <w:tcW w:w="30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Customer and distributor</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935</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489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relationships</w:t>
            </w:r>
          </w:p>
        </w:tc>
        <w:tc>
          <w:tcPr>
            <w:tcW w:w="2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Proprietary technology and patents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Indefinite-lived intangibles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Amortization expense related to finite-lived intangible assets was $31 million and $96 million for the three and nine month periods ended September 30, 2021, respectively, and $33 million and $101 million for the three and nine month periods ended September 30, 2020, respectively.</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the third quarter of 2020, the Company assessed whether the carrying amounts of the AIA reporting unit’s long-lived assets may not be recoverable based on the updated forecast of future cash flows, and therefore impaired. Our assessment resulted in an impairment charge of $11 million, primarily related to software and proprietary technology. The charge was calculated using an income approach, which is considered a Level 3 input for fair value measurement, and is reflected in “Restructuring and asset impairment charges” in our Condensed Consolidated Income Statements.</w:t>
      </w:r>
    </w:p>
    <w:p>
      <w:pPr>
        <w:spacing w:after="0" w:line="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second quarter of 2020, we recognized impairment charges of $16 million primarily related to customer relationships and trademarks due to discontinuance of a product line within our Measurement &amp; Control Solutions segment. We also determined that internally developed in-process software within our Measurement &amp; Control Solutions segment was impaired as a result of actions taken to prioritize strategic investments and recognized an impairment charge of $10 million.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3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also reduce the volatility in stockholders' equity.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 of Foreign Exchange Risk</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Certain business units with exposure to foreign currency exchange risks have designated certain currency forward agreements as cash flow hedges of forecasted intercompany inventory purchases and sales. Our principal currency exposures relate to the Euro, Swedish Krona, British Pound, Canadian Dollar, Polish Zloty and Australian Dollar. We had foreign exchange contracts with purchased notional amounts totaling $130 million and $0 million as of September 30, 2021 and December 31, 2020, respectively. As of September 30, 2021, our most significant foreign currency derivatives included contracts to sell U.S. Dollar and purchase Euro, purchase Swedish Krona and sell Euro, sell British Pound and purchase Euro, purchase Polish Zloty and sell Euro, purchase U.S. Dollar and sell Canadian Dollar, and to sell Canadian Dollar and purchase Euro. The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16" w:name="page17"/>
    <w:bookmarkEnd w:id="16"/>
    <w:p>
      <w:pPr>
        <w:ind w:right="380"/>
        <w:spacing w:after="0" w:line="261" w:lineRule="auto"/>
        <w:rPr>
          <w:sz w:val="20"/>
          <w:szCs w:val="20"/>
          <w:color w:val="auto"/>
        </w:rPr>
      </w:pPr>
      <w:r>
        <w:rPr>
          <w:rFonts w:ascii="Arial" w:cs="Arial" w:eastAsia="Arial" w:hAnsi="Arial"/>
          <w:sz w:val="18"/>
          <w:szCs w:val="18"/>
          <w:color w:val="auto"/>
        </w:rPr>
        <w:t>notional amounts associated with these currency derivatives are $47 million, $42 million, $17 million, $7 million, $7 million and $5 million,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Hedges of Net Investments in Foreign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changes in foreign currencies impacting our net investments held in foreign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Swaps</w:t>
      </w:r>
    </w:p>
    <w:p>
      <w:pPr>
        <w:spacing w:after="0" w:line="13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Beginning in 2015, we entered into cross-currency swaps to manage our exposure to fluctuations in the Euro-U.S. Dollar exchange rate. During the second quarter of 2019 and third quarter of 2020 we entered into additional cross-currency swaps. The total notional amount of derivative instruments designated as net investment hedges was $1,184 million and $1,249 million as of September 30, 2021 and December 31, 2020,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Denominated Debt</w:t>
      </w:r>
    </w:p>
    <w:p>
      <w:pPr>
        <w:spacing w:after="0" w:line="13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March 11, 2016, we issued 2.250% Senior Notes of €500 million aggregate principal amount due March 2023. We designated the entirety of the outstanding balance, or $579 million and $610 million as of September 30, 2021 and December 31, 2020, respectively, net of unamortized discount, as a hedge of a net investment in certain foreign subsidiaries.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effect of our derivative financial instruments on the Condensed Consolidated Income Statements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Statements of Comprehensive Income: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4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8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w w:val="96"/>
              </w:rPr>
              <w:t>2020</w:t>
            </w:r>
          </w:p>
        </w:tc>
      </w:tr>
      <w:tr>
        <w:trPr>
          <w:trHeight w:val="21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5880" w:type="dxa"/>
            <w:vAlign w:val="bottom"/>
          </w:tcPr>
          <w:p>
            <w:pPr>
              <w:ind w:left="140"/>
              <w:spacing w:after="0"/>
              <w:rPr>
                <w:sz w:val="20"/>
                <w:szCs w:val="20"/>
                <w:color w:val="auto"/>
              </w:rPr>
            </w:pPr>
            <w:r>
              <w:rPr>
                <w:rFonts w:ascii="Arial" w:cs="Arial" w:eastAsia="Arial" w:hAnsi="Arial"/>
                <w:sz w:val="18"/>
                <w:szCs w:val="18"/>
                <w:b w:val="1"/>
                <w:bCs w:val="1"/>
                <w:color w:val="auto"/>
              </w:rPr>
              <w:t>Foreign Exchange Contracts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(loss) gain recognized in OCI</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880" w:type="dxa"/>
            <w:vAlign w:val="bottom"/>
          </w:tcPr>
          <w:p>
            <w:pPr>
              <w:ind w:left="220"/>
              <w:spacing w:after="0"/>
              <w:rPr>
                <w:sz w:val="20"/>
                <w:szCs w:val="20"/>
                <w:color w:val="auto"/>
              </w:rPr>
            </w:pPr>
            <w:r>
              <w:rPr>
                <w:rFonts w:ascii="Arial" w:cs="Arial" w:eastAsia="Arial" w:hAnsi="Arial"/>
                <w:sz w:val="18"/>
                <w:szCs w:val="18"/>
                <w:color w:val="auto"/>
              </w:rPr>
              <w:t>Amount of loss (gain) reclassified from OCI into revenue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loss reclassified from OCI into cost of revenue</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5880" w:type="dxa"/>
            <w:vAlign w:val="bottom"/>
          </w:tcPr>
          <w:p>
            <w:pPr>
              <w:ind w:left="140"/>
              <w:spacing w:after="0"/>
              <w:rPr>
                <w:sz w:val="20"/>
                <w:szCs w:val="20"/>
                <w:color w:val="auto"/>
              </w:rPr>
            </w:pPr>
            <w:r>
              <w:rPr>
                <w:rFonts w:ascii="Arial" w:cs="Arial" w:eastAsia="Arial" w:hAnsi="Arial"/>
                <w:sz w:val="18"/>
                <w:szCs w:val="18"/>
                <w:b w:val="1"/>
                <w:bCs w:val="1"/>
                <w:color w:val="auto"/>
              </w:rPr>
              <w:t>Cross-Currency Swaps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(loss) recognized in OCI</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880" w:type="dxa"/>
            <w:vAlign w:val="bottom"/>
          </w:tcPr>
          <w:p>
            <w:pPr>
              <w:ind w:left="220"/>
              <w:spacing w:after="0"/>
              <w:rPr>
                <w:sz w:val="20"/>
                <w:szCs w:val="20"/>
                <w:color w:val="auto"/>
              </w:rPr>
            </w:pPr>
            <w:r>
              <w:rPr>
                <w:rFonts w:ascii="Arial" w:cs="Arial" w:eastAsia="Arial" w:hAnsi="Arial"/>
                <w:sz w:val="18"/>
                <w:szCs w:val="18"/>
                <w:color w:val="auto"/>
              </w:rPr>
              <w:t>Amount of income recognized in Interest Expense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Foreign Currency Denominated Debt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9"/>
        </w:trPr>
        <w:tc>
          <w:tcPr>
            <w:tcW w:w="5880" w:type="dxa"/>
            <w:vAlign w:val="bottom"/>
          </w:tcPr>
          <w:p>
            <w:pPr>
              <w:ind w:left="220"/>
              <w:spacing w:after="0"/>
              <w:rPr>
                <w:sz w:val="20"/>
                <w:szCs w:val="20"/>
                <w:color w:val="auto"/>
              </w:rPr>
            </w:pPr>
            <w:r>
              <w:rPr>
                <w:rFonts w:ascii="Arial" w:cs="Arial" w:eastAsia="Arial" w:hAnsi="Arial"/>
                <w:sz w:val="18"/>
                <w:szCs w:val="18"/>
                <w:color w:val="auto"/>
              </w:rPr>
              <w:t>Amount of gain (loss) recognized in OCI</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$5 million of net losses on cash flow hedges are expected to be reclassified into earnings in the next 12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no gains or losses on the net investment hedges are expected to be reclassified into earnings over their duration.</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fair values of our derivative assets and liabilities are measured on a recurring basis using Level 2 inputs and are determined through the use of models that consider various assumptions including yield curves, time value and other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fair values of our derivative contracts currently included in our hedging program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480" w:type="dxa"/>
            <w:vAlign w:val="bottom"/>
          </w:tcPr>
          <w:p>
            <w:pPr>
              <w:jc w:val="center"/>
              <w:ind w:right="177"/>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6"/>
        </w:trPr>
        <w:tc>
          <w:tcPr>
            <w:tcW w:w="776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20"/>
              <w:spacing w:after="0"/>
              <w:rPr>
                <w:sz w:val="20"/>
                <w:szCs w:val="20"/>
                <w:color w:val="auto"/>
              </w:rPr>
            </w:pPr>
            <w:r>
              <w:rPr>
                <w:rFonts w:ascii="Arial" w:cs="Arial" w:eastAsia="Arial" w:hAnsi="Arial"/>
                <w:sz w:val="18"/>
                <w:szCs w:val="18"/>
                <w:i w:val="1"/>
                <w:iCs w:val="1"/>
                <w:color w:val="auto"/>
              </w:rPr>
              <w:t>Cash Flow Hedges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accrued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60"/>
        <w:spacing w:after="0" w:line="261" w:lineRule="auto"/>
        <w:rPr>
          <w:sz w:val="20"/>
          <w:szCs w:val="20"/>
          <w:color w:val="auto"/>
        </w:rPr>
      </w:pPr>
      <w:r>
        <w:rPr>
          <w:rFonts w:ascii="Arial" w:cs="Arial" w:eastAsia="Arial" w:hAnsi="Arial"/>
          <w:sz w:val="18"/>
          <w:szCs w:val="18"/>
          <w:color w:val="auto"/>
        </w:rPr>
        <w:t>The fair value of our long-term debt, due in 2023, designated as a net investment hedge was $598 million and $640 million as of September 30, 2021 and December 31, 2020,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Accrued and Other Current Liabilities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accrued and other current liabilities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40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9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5"/>
        </w:trPr>
        <w:tc>
          <w:tcPr>
            <w:tcW w:w="81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other employee-benefits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Customer-related liabilities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taxes</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warranty costs</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accrued liabilities</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10. Credit Facilities and Debt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8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spacing w:after="0"/>
              <w:rPr>
                <w:sz w:val="20"/>
                <w:szCs w:val="20"/>
                <w:color w:val="auto"/>
              </w:rPr>
            </w:pPr>
            <w:r>
              <w:rPr>
                <w:rFonts w:ascii="Arial" w:cs="Arial" w:eastAsia="Arial" w:hAnsi="Arial"/>
                <w:sz w:val="18"/>
                <w:szCs w:val="18"/>
                <w:color w:val="auto"/>
              </w:rPr>
              <w:t>Total debt outstanding is summarized as follows: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1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17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5"/>
        </w:trPr>
        <w:tc>
          <w:tcPr>
            <w:tcW w:w="81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4.875% Senior Notes due 2021 (a)</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2.250% Senior Notes due 2023 (a)</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580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3.250% Senior Notes due 2026 (a)</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1.950% Senior Notes due 2028 (a)</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2.250% Senior Notes due 2031 (a)</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4.375% Senior Notes due 2046 (a)</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 and unamortized discount (b)</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short-term borrowings and current maturities of long-term debt</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Arial" w:cs="Arial" w:eastAsia="Arial" w:hAnsi="Arial"/>
                <w:sz w:val="18"/>
                <w:szCs w:val="18"/>
                <w:color w:val="auto"/>
              </w:rPr>
              <w:t>Total long-term debt</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340" w:right="20" w:hanging="332"/>
        <w:spacing w:after="0" w:line="250" w:lineRule="auto"/>
        <w:tabs>
          <w:tab w:leader="none" w:pos="33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2021 was $0 million and $620 million as of September 30, 2021 and December 31, 2020, respectively. The fair value of our Senior Notes due 2023 was $598 million and $640 million as of September 30, 2021 and December 31, 2020, respectively. The fair value of our Senior Notes due 2026 was $545 million and $563 million as of September 30, 2021 and December 31, 2020 respectively. The fair value of our Senior Notes due 2028 was $505 million and $529 million as of September 30, 2021 and December 31, 2020,</w:t>
      </w:r>
    </w:p>
    <w:p>
      <w:pPr>
        <w:sectPr>
          <w:pgSz w:w="11900" w:h="16838" w:orient="portrait"/>
          <w:cols w:equalWidth="0" w:num="1">
            <w:col w:w="11240"/>
          </w:cols>
          <w:pgMar w:left="320" w:top="12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type w:val="continuous"/>
        </w:sectPr>
      </w:pPr>
    </w:p>
    <w:bookmarkStart w:id="18" w:name="page19"/>
    <w:bookmarkEnd w:id="18"/>
    <w:p>
      <w:pPr>
        <w:jc w:val="both"/>
        <w:ind w:left="340" w:right="600"/>
        <w:spacing w:after="0" w:line="253" w:lineRule="auto"/>
        <w:rPr>
          <w:sz w:val="20"/>
          <w:szCs w:val="20"/>
          <w:color w:val="auto"/>
        </w:rPr>
      </w:pPr>
      <w:r>
        <w:rPr>
          <w:rFonts w:ascii="Arial" w:cs="Arial" w:eastAsia="Arial" w:hAnsi="Arial"/>
          <w:sz w:val="16"/>
          <w:szCs w:val="16"/>
          <w:color w:val="auto"/>
        </w:rPr>
        <w:t>respectively. The fair value of our Senior Notes due 2031 was $503 million and $527 million as of September 30, 2021 and December 31, 2020, respectively. The fair value of our Senior Notes due 2046 was $481 million and $496 million as of September 30, 2021 and December 31, 2020, respectively.</w:t>
      </w:r>
    </w:p>
    <w:p>
      <w:pPr>
        <w:spacing w:after="0" w:line="93" w:lineRule="exact"/>
        <w:rPr>
          <w:sz w:val="20"/>
          <w:szCs w:val="20"/>
          <w:color w:val="auto"/>
        </w:rPr>
      </w:pPr>
    </w:p>
    <w:p>
      <w:pPr>
        <w:ind w:left="340" w:right="460" w:hanging="332"/>
        <w:spacing w:after="0" w:line="253" w:lineRule="auto"/>
        <w:tabs>
          <w:tab w:leader="none" w:pos="33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debt issuance costs and unamortized discount are recognized as a reduction in the carrying value of the Senior Notes in the Condensed Consolidated Balance Sheets and are being amortized to interest expense in our Condensed Consolidated Income Statements over the expected remaining terms of the Senior Notes.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3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w:t>
      </w:r>
    </w:p>
    <w:p>
      <w:pPr>
        <w:spacing w:after="0" w:line="9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If a change of control triggering event (as defined in the applicable Green Bond indenture) occurs, we will be required to make an offer to purchase the notes at a price equal to 101% of their principal amount plus accrued and unpaid interest to the date of repurchase.</w:t>
      </w:r>
    </w:p>
    <w:p>
      <w:pPr>
        <w:spacing w:after="0" w:line="9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Interest on the Green Bond is payable on January 30 and July 30 of each year. As of September 30, 2021, we are in compliance with all covenants for the Green Bond.</w:t>
      </w:r>
    </w:p>
    <w:p>
      <w:pPr>
        <w:spacing w:after="0" w:line="9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September 20, 2011, we issued 4.875% Senior Notes of $600 million aggregate principal amount due October 2021 (the "Senior Notes due 2021"). On March 11, 2016, we issued 2.250% Senior Notes of €500 million aggregate principal amount due March 2023 (the "Senior Notes due 2023"). 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2021, the Senior Notes due 2023 and the Senior Notes due 2026, the “Senior Notes”).</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Senior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Senior Notes, as applicable, in whole or in part, at any time at a redemption price equal to the principal amount of the Senior Notes to be redeemed, plus a make-whole premium. We may also redeem the Senior Notes in certain other circumstances, as set forth in the applicable Senior Notes indenture.</w:t>
      </w:r>
    </w:p>
    <w:p>
      <w:pPr>
        <w:spacing w:after="0" w:line="9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If a change of control triggering event (as defined in the applicable Senior Notes indenture) occurs, we will be required to make an offer to purchase the Senior Notes at a price equal to 101% of their principal amount plus accrued and unpaid interest to the date of repurchase.</w:t>
      </w:r>
    </w:p>
    <w:p>
      <w:pPr>
        <w:spacing w:after="0" w:line="9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Interest on the Senior Notes due 2021 is payable on April 1 and October 1 of each year. Interest on the Senior Notes due 2023 is payable on March 11 of each year. Interest on the Senior Notes due 2026 and the Senior Notes due 2046 is payable on May 1 and November 1 of each year. As of September 30, 2021, we are in compliance with all covenants for the Senior Notes.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On October 1st, 2021 our Senior Notes due 2021 were settled with cash on hand for a total of $600 million.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Five-Year Revolving Credit Facility</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March 5, 2019, Xylem entered into a Five-Year Revolving Credit Facility (the “2019 Credit Facility”) with Citibank, N.A., as Administrative Agent, and a syndicate of lenders. The 2019 Credit Facility provides for an aggregate principal amount of up to $800 million (available in U.S. Dollars and in Euros), with increases of up to $200 million for a maximum aggregate principal amount of $1 billion at the request of Xylem and with the consent of the institutions providing such increased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1" w:right="359" w:bottom="1440" w:gutter="0" w:footer="0" w:header="0"/>
        </w:sectPr>
      </w:pPr>
    </w:p>
    <w:bookmarkStart w:id="19" w:name="page20"/>
    <w:bookmarkEnd w:id="19"/>
    <w:p>
      <w:pPr>
        <w:ind w:right="80"/>
        <w:spacing w:after="0" w:line="251" w:lineRule="auto"/>
        <w:rPr>
          <w:sz w:val="20"/>
          <w:szCs w:val="20"/>
          <w:color w:val="auto"/>
        </w:rPr>
      </w:pPr>
      <w:r>
        <w:rPr>
          <w:rFonts w:ascii="Arial" w:cs="Arial" w:eastAsia="Arial" w:hAnsi="Arial"/>
          <w:sz w:val="18"/>
          <w:szCs w:val="18"/>
          <w:color w:val="auto"/>
        </w:rPr>
        <w:t>Interest on all loans under the 2019 Credit Facility is payable either quarterly or at the expiration of any LIBOR or EURIBOR interest period applicable thereto. Borrowings accrue interest at a rate equal to, at Xylem's election, a base rate or an adjusted LIBOR or EURIBOR rate plus an applicable margin. The 2019 Credit Facility includes customary provisions for implementation of replacement rates for LIBOR-based and EURIBOR-based loans. The 2019 Credit Facility also includes a pricing grid that determines the applicable margin based on Xylem's credit rating, with a further adjustment depending on Xylem's annual Sustainalytics Environmental, Social and Governance ("ESG") score, determined based on the methodology in effect as of March 5, 2019. Xylem will also pay quarterly fees to each lender for such lender’s commitment to lend accruing on such commitment at a rate based on our credit rating, whether such commitment is used or unused, as well as a quarterly letter of credit fee accruing on the letter of credit exposure of such lender during the preceding quarter at a rate based on the credit rating of Xylem (as adjusted for the ESG score).</w:t>
      </w:r>
    </w:p>
    <w:p>
      <w:pPr>
        <w:spacing w:after="0" w:line="104"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The 2019 Credit Facility requires that Xylem maintain a consolidated total debt to consolidated EBITDA ratio (or maximum leverage ratio), which will be based on the last four fiscal quarters; and in addition contains a number of customary covenants, including limitations on the incurrence of secured debt and debt of subsidiaries, liens, sale and lease-back transactions, mergers, consolidations, liquidations, dissolutions and sales of assets. The 2019 Credit Facility also contains customary events of default. Finally, Xylem has the ability to designate subsidiaries that can borrow under the 2019 Credit Facility, subject to certain requirements and conditions set forth in the 2019 Credit Facility.</w:t>
      </w: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June 22, 2020, Xylem entered into Amendment No. 1 to the 2019 Credit Facility (the "Amendment") which modified the financial covenant from a test based on the maximum leverage ratio (defined as consolidated total debt to consolidated EBITDA) to a test based on the net leverage ratio (defined as consolidated total debt less unrestricted cash and cash equivalents to consolidated EBITDA). This modification is effective through the quarter ending September 30, 2021, after which the covenant will revert back to the prior maximum leverage ratio test. The Amendment also restricted stock repurchases until March 31, 2021, except for shares of common stock in an amount not to exceed the number of shares issued after the date of the Amendment, subject to customary exceptions. As of September 30, 2021, the 2019 Credit Facility was undrawn and we are in compliance with all revolver covenants.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 Commercial Paper Program</w:t>
      </w:r>
    </w:p>
    <w:p>
      <w:pPr>
        <w:spacing w:after="0" w:line="1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U.S. Dollar commercial paper program generally serves as a means of short-term funding with a $600 million maximum issuing balance and a combined limit of $800 million inclusive of the 2019 Credit Facility. As of September 30, 2021 and December 31, 2020, none of the Company's $600 million U.S. Dollar commercial paper program was outstanding. We have the ability to continue borrowing under this program going forward in future periods.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Commercial Paper Program</w:t>
      </w:r>
    </w:p>
    <w:p>
      <w:pPr>
        <w:spacing w:after="0" w:line="13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On June 3, 2019, Xylem entered into a Euro commercial paper program with ING Bank N.V., as administrative agent, and a syndicate of dealers. The Euro commercial paper program provides for a maximum issuing balance of up to €500 million (approximately $580 million) which may be denominated in a variety of currencies. The maximum issuing balance may be increased in accordance with the Dealer Agreement. As of September 30, 2021 and December 31, 2020, none of the Company's Euro commercial paper program was outstanding. We have the ability to continue borrowing under this program going forward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11. Post-retirement Benefit Plans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our defined benefit pension plans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8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2"/>
        </w:trPr>
        <w:tc>
          <w:tcPr>
            <w:tcW w:w="55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2020</w:t>
            </w:r>
          </w:p>
        </w:tc>
      </w:tr>
      <w:tr>
        <w:trPr>
          <w:trHeight w:val="210"/>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Amortization of net actuarial loss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Amortization of net actuarial loss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5540" w:type="dxa"/>
            <w:vAlign w:val="bottom"/>
          </w:tcPr>
          <w:p>
            <w:pPr>
              <w:ind w:left="140"/>
              <w:spacing w:after="0"/>
              <w:rPr>
                <w:sz w:val="20"/>
                <w:szCs w:val="20"/>
                <w:color w:val="auto"/>
              </w:rPr>
            </w:pPr>
            <w:r>
              <w:rPr>
                <w:rFonts w:ascii="Arial" w:cs="Arial" w:eastAsia="Arial" w:hAnsi="Arial"/>
                <w:sz w:val="18"/>
                <w:szCs w:val="18"/>
                <w:b w:val="1"/>
                <w:bCs w:val="1"/>
                <w:color w:val="auto"/>
              </w:rPr>
              <w:t>Total net periodic benefit cost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1"/>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the line item "Other non-operating expense, net" in the Condensed Consolidated Income Statements.</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total net periodic benefit cost for other post-retirement employee benefit plans was less than $1 million, including net credits recognized into other comprehensive income of less than $1 million, for both the three and nine months ended September 30, 2021 and 2020, respectively.</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contributed $16 million and $19 million to our defined benefit plans during the nine months ended September 30, 2021 and 2020, respectively. Additional contributions ranging between approximately $4 million and $8 million are expected to be made during the remainder of 2021.</w:t>
      </w:r>
    </w:p>
    <w:p>
      <w:pPr>
        <w:spacing w:after="0" w:line="9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During the first quarter of 2020, the Company purchased a bulk annuity policy with an insurance company for its largest defined benefit plan in the U.K., as a plan asset, to facilitate the termination and buy-out of the plan. The bulk annuity fully insures the benefits payable to the participants of the plan until a full buy-out of the plan can be executed, which is expected to occur in 2022. Included in the Company's nine months ended September 30, 2020 contributions is $5 million paid to meet the shortfall between the cost of the bulk annuity policy and the plan assets. Subsequent to the end of the quarter, we made a payment of approximately $6 million related to the previously disclosed buy-out of the UK pension plan. The remaining payments will be completed in Q4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12. Equity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stockholders' equity for the nine months ended September 30, 2021: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6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84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Excess of</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Controlling</w:t>
            </w:r>
          </w:p>
        </w:tc>
        <w:tc>
          <w:tcPr>
            <w:tcW w:w="180" w:type="dxa"/>
            <w:vAlign w:val="bottom"/>
          </w:tcPr>
          <w:p>
            <w:pPr>
              <w:spacing w:after="0"/>
              <w:rPr>
                <w:sz w:val="14"/>
                <w:szCs w:val="14"/>
                <w:color w:val="auto"/>
              </w:rPr>
            </w:pPr>
          </w:p>
        </w:tc>
        <w:tc>
          <w:tcPr>
            <w:tcW w:w="700" w:type="dxa"/>
            <w:vAlign w:val="bottom"/>
            <w:vMerge w:val="restart"/>
          </w:tcPr>
          <w:p>
            <w:pPr>
              <w:jc w:val="right"/>
              <w:ind w:right="17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6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rPr>
              <w:t>Comprehensive Loss</w:t>
            </w:r>
          </w:p>
        </w:tc>
        <w:tc>
          <w:tcPr>
            <w:tcW w:w="1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1,930</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2,976</w:t>
            </w: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Other comprehensive loss, net</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188"/>
        </w:trPr>
        <w:tc>
          <w:tcPr>
            <w:tcW w:w="26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Dividends declared ($0.28 per</w:t>
            </w:r>
          </w:p>
        </w:tc>
        <w:tc>
          <w:tcPr>
            <w:tcW w:w="14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2,049</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1,967</w:t>
            </w:r>
          </w:p>
        </w:tc>
        <w:tc>
          <w:tcPr>
            <w:tcW w:w="100" w:type="dxa"/>
            <w:vAlign w:val="bottom"/>
          </w:tcPr>
          <w:p>
            <w:pPr>
              <w:spacing w:after="0"/>
              <w:rPr>
                <w:sz w:val="19"/>
                <w:szCs w:val="19"/>
                <w:color w:val="auto"/>
              </w:rPr>
            </w:pP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(426)</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2,946</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188"/>
        </w:trPr>
        <w:tc>
          <w:tcPr>
            <w:tcW w:w="2660" w:type="dxa"/>
            <w:vAlign w:val="bottom"/>
          </w:tcPr>
          <w:p>
            <w:pPr>
              <w:ind w:left="140"/>
              <w:spacing w:after="0" w:line="189" w:lineRule="exact"/>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6"/>
                <w:szCs w:val="16"/>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6"/>
                <w:szCs w:val="16"/>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17"/>
        </w:trPr>
        <w:tc>
          <w:tcPr>
            <w:tcW w:w="2660" w:type="dxa"/>
            <w:vAlign w:val="bottom"/>
          </w:tcPr>
          <w:p>
            <w:pPr>
              <w:ind w:left="14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6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Dividends declared ($0.28 per</w:t>
            </w:r>
          </w:p>
        </w:tc>
        <w:tc>
          <w:tcPr>
            <w:tcW w:w="14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2,029</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3,049</w:t>
            </w: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188"/>
        </w:trPr>
        <w:tc>
          <w:tcPr>
            <w:tcW w:w="2660" w:type="dxa"/>
            <w:vAlign w:val="bottom"/>
          </w:tcPr>
          <w:p>
            <w:pPr>
              <w:ind w:left="140"/>
              <w:spacing w:after="0" w:line="189" w:lineRule="exact"/>
              <w:rPr>
                <w:sz w:val="20"/>
                <w:szCs w:val="20"/>
                <w:color w:val="auto"/>
              </w:rPr>
            </w:pPr>
            <w:r>
              <w:rPr>
                <w:rFonts w:ascii="Arial" w:cs="Arial" w:eastAsia="Arial" w:hAnsi="Arial"/>
                <w:sz w:val="18"/>
                <w:szCs w:val="18"/>
                <w:color w:val="auto"/>
              </w:rPr>
              <w:t>Dividends declared ($0.28 per</w:t>
            </w:r>
          </w:p>
        </w:tc>
        <w:tc>
          <w:tcPr>
            <w:tcW w:w="140" w:type="dxa"/>
            <w:vAlign w:val="bottom"/>
          </w:tcPr>
          <w:p>
            <w:pPr>
              <w:spacing w:after="0"/>
              <w:rPr>
                <w:sz w:val="16"/>
                <w:szCs w:val="16"/>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6"/>
                <w:szCs w:val="16"/>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6"/>
                <w:szCs w:val="16"/>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17"/>
        </w:trPr>
        <w:tc>
          <w:tcPr>
            <w:tcW w:w="2660" w:type="dxa"/>
            <w:vAlign w:val="bottom"/>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155"/>
        </w:trPr>
        <w:tc>
          <w:tcPr>
            <w:tcW w:w="26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at September 30,</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2,077</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2,092</w:t>
            </w:r>
          </w:p>
        </w:tc>
        <w:tc>
          <w:tcPr>
            <w:tcW w:w="100" w:type="dxa"/>
            <w:vAlign w:val="bottom"/>
          </w:tcPr>
          <w:p>
            <w:pPr>
              <w:spacing w:after="0"/>
              <w:rPr>
                <w:sz w:val="13"/>
                <w:szCs w:val="13"/>
                <w:color w:val="auto"/>
              </w:rPr>
            </w:pPr>
          </w:p>
        </w:tc>
        <w:tc>
          <w:tcPr>
            <w:tcW w:w="7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(422)</w:t>
            </w:r>
          </w:p>
        </w:tc>
        <w:tc>
          <w:tcPr>
            <w:tcW w:w="12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(656)</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3,102</w:t>
            </w:r>
          </w:p>
        </w:tc>
        <w:tc>
          <w:tcPr>
            <w:tcW w:w="0" w:type="dxa"/>
            <w:vAlign w:val="bottom"/>
          </w:tcPr>
          <w:p>
            <w:pPr>
              <w:spacing w:after="0"/>
              <w:rPr>
                <w:sz w:val="1"/>
                <w:szCs w:val="1"/>
                <w:color w:val="auto"/>
              </w:rPr>
            </w:pPr>
          </w:p>
        </w:tc>
      </w:tr>
      <w:tr>
        <w:trPr>
          <w:trHeight w:val="208"/>
        </w:trPr>
        <w:tc>
          <w:tcPr>
            <w:tcW w:w="26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following table shows the changes in stockholders' equity for the nine months ended September 30, 2020: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6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84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Excess of</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Controlling</w:t>
            </w:r>
          </w:p>
        </w:tc>
        <w:tc>
          <w:tcPr>
            <w:tcW w:w="180" w:type="dxa"/>
            <w:vAlign w:val="bottom"/>
          </w:tcPr>
          <w:p>
            <w:pPr>
              <w:spacing w:after="0"/>
              <w:rPr>
                <w:sz w:val="14"/>
                <w:szCs w:val="14"/>
                <w:color w:val="auto"/>
              </w:rPr>
            </w:pPr>
          </w:p>
        </w:tc>
        <w:tc>
          <w:tcPr>
            <w:tcW w:w="700" w:type="dxa"/>
            <w:vAlign w:val="bottom"/>
            <w:vMerge w:val="restart"/>
          </w:tcPr>
          <w:p>
            <w:pPr>
              <w:jc w:val="right"/>
              <w:ind w:right="17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6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rPr>
              <w:t>Comprehensive Loss</w:t>
            </w:r>
          </w:p>
        </w:tc>
        <w:tc>
          <w:tcPr>
            <w:tcW w:w="1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188"/>
        </w:trPr>
        <w:tc>
          <w:tcPr>
            <w:tcW w:w="2660" w:type="dxa"/>
            <w:vAlign w:val="bottom"/>
          </w:tcPr>
          <w:p>
            <w:pPr>
              <w:ind w:left="140"/>
              <w:spacing w:after="0" w:line="189" w:lineRule="exact"/>
              <w:rPr>
                <w:sz w:val="20"/>
                <w:szCs w:val="20"/>
                <w:color w:val="auto"/>
              </w:rPr>
            </w:pPr>
            <w:r>
              <w:rPr>
                <w:rFonts w:ascii="Arial" w:cs="Arial" w:eastAsia="Arial" w:hAnsi="Arial"/>
                <w:sz w:val="18"/>
                <w:szCs w:val="18"/>
                <w:color w:val="auto"/>
              </w:rPr>
              <w:t>Cumulative effect of change in</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60" w:type="dxa"/>
            <w:vAlign w:val="bottom"/>
          </w:tcPr>
          <w:p>
            <w:pPr>
              <w:ind w:left="140"/>
              <w:spacing w:after="0"/>
              <w:rPr>
                <w:sz w:val="20"/>
                <w:szCs w:val="20"/>
                <w:color w:val="auto"/>
              </w:rPr>
            </w:pPr>
            <w:r>
              <w:rPr>
                <w:rFonts w:ascii="Arial" w:cs="Arial" w:eastAsia="Arial" w:hAnsi="Arial"/>
                <w:sz w:val="18"/>
                <w:szCs w:val="18"/>
                <w:color w:val="auto"/>
              </w:rPr>
              <w:t>accounting principle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Other comprehensive loss, net</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8"/>
        </w:trPr>
        <w:tc>
          <w:tcPr>
            <w:tcW w:w="26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Dividends declared ($0.26 per</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9"/>
                <w:szCs w:val="19"/>
                <w:color w:val="auto"/>
              </w:rPr>
            </w:pP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8"/>
        </w:trPr>
        <w:tc>
          <w:tcPr>
            <w:tcW w:w="2660" w:type="dxa"/>
            <w:vAlign w:val="bottom"/>
          </w:tcPr>
          <w:p>
            <w:pPr>
              <w:ind w:left="140"/>
              <w:spacing w:after="0" w:line="189" w:lineRule="exact"/>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60" w:type="dxa"/>
            <w:vAlign w:val="bottom"/>
          </w:tcPr>
          <w:p>
            <w:pPr>
              <w:ind w:left="14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88"/>
        </w:trPr>
        <w:tc>
          <w:tcPr>
            <w:tcW w:w="26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Dividends declared ($0.26 per</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8"/>
        </w:trPr>
        <w:tc>
          <w:tcPr>
            <w:tcW w:w="26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8"/>
        </w:trPr>
        <w:tc>
          <w:tcPr>
            <w:tcW w:w="2660" w:type="dxa"/>
            <w:vAlign w:val="bottom"/>
          </w:tcPr>
          <w:p>
            <w:pPr>
              <w:ind w:left="140"/>
              <w:spacing w:after="0" w:line="189" w:lineRule="exact"/>
              <w:rPr>
                <w:sz w:val="20"/>
                <w:szCs w:val="20"/>
                <w:color w:val="auto"/>
              </w:rPr>
            </w:pPr>
            <w:r>
              <w:rPr>
                <w:rFonts w:ascii="Arial" w:cs="Arial" w:eastAsia="Arial" w:hAnsi="Arial"/>
                <w:sz w:val="18"/>
                <w:szCs w:val="18"/>
                <w:color w:val="auto"/>
              </w:rPr>
              <w:t>Distribution to minority</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60" w:type="dxa"/>
            <w:vAlign w:val="bottom"/>
          </w:tcPr>
          <w:p>
            <w:pPr>
              <w:ind w:left="140"/>
              <w:spacing w:after="0"/>
              <w:rPr>
                <w:sz w:val="20"/>
                <w:szCs w:val="20"/>
                <w:color w:val="auto"/>
              </w:rPr>
            </w:pPr>
            <w:r>
              <w:rPr>
                <w:rFonts w:ascii="Arial" w:cs="Arial" w:eastAsia="Arial" w:hAnsi="Arial"/>
                <w:sz w:val="18"/>
                <w:szCs w:val="18"/>
                <w:color w:val="auto"/>
              </w:rPr>
              <w:t>stockholders</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8"/>
        </w:trPr>
        <w:tc>
          <w:tcPr>
            <w:tcW w:w="26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Dividends declared ($0.26 per</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55"/>
        </w:trPr>
        <w:tc>
          <w:tcPr>
            <w:tcW w:w="26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 September 30,</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13. Share-Based Compensation Plans</w:t>
      </w:r>
    </w:p>
    <w:p>
      <w:pPr>
        <w:spacing w:after="0" w:line="139"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Share-based compensation expense was $ 8 million and $25 million during the three and nine months ended September 30, 2021, respectively, and $3 million and $19 million during the three and nine months ended September 30, 2020, respectively. The unrecognized compensation expense related to our stock options, restricted stock units and performance share units was $8 million, $27 million and $15 million, respectively, at September 30, 2021 and is expected to be recognized over a weighted average period of 1.9, 1.9 and 2.6 years, respectively. The amount of cash received from the exercise of stock options was $15 million and $10 million for the nine months ended September 30, 2021 and 2020,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stock options for the nine months ended September 30, 2021</w:t>
      </w:r>
      <w:r>
        <w:rPr>
          <w:rFonts w:ascii="Arial" w:cs="Arial" w:eastAsia="Arial" w:hAnsi="Arial"/>
          <w:sz w:val="16"/>
          <w:szCs w:val="16"/>
          <w:color w:val="auto"/>
        </w:rPr>
        <w: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 Average</w:t>
            </w:r>
          </w:p>
        </w:tc>
        <w:tc>
          <w:tcPr>
            <w:tcW w:w="160" w:type="dxa"/>
            <w:vAlign w:val="bottom"/>
          </w:tcPr>
          <w:p>
            <w:pPr>
              <w:spacing w:after="0"/>
              <w:rPr>
                <w:sz w:val="14"/>
                <w:szCs w:val="14"/>
                <w:color w:val="auto"/>
              </w:rPr>
            </w:pPr>
          </w:p>
        </w:tc>
        <w:tc>
          <w:tcPr>
            <w:tcW w:w="102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600" w:type="dxa"/>
            <w:vAlign w:val="bottom"/>
          </w:tcPr>
          <w:p>
            <w:pPr>
              <w:spacing w:after="0"/>
              <w:rPr>
                <w:sz w:val="11"/>
                <w:szCs w:val="11"/>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Average</w:t>
            </w: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0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Exercise</w:t>
            </w: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Contractual</w:t>
            </w:r>
          </w:p>
        </w:tc>
        <w:tc>
          <w:tcPr>
            <w:tcW w:w="11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5"/>
        </w:trPr>
        <w:tc>
          <w:tcPr>
            <w:tcW w:w="56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Price / Share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(Years)</w:t>
            </w:r>
          </w:p>
        </w:tc>
        <w:tc>
          <w:tcPr>
            <w:tcW w:w="160" w:type="dxa"/>
            <w:vAlign w:val="bottom"/>
          </w:tcPr>
          <w:p>
            <w:pPr>
              <w:spacing w:after="0"/>
              <w:rPr>
                <w:sz w:val="15"/>
                <w:szCs w:val="15"/>
                <w:color w:val="auto"/>
              </w:rPr>
            </w:pPr>
          </w:p>
        </w:tc>
        <w:tc>
          <w:tcPr>
            <w:tcW w:w="1020" w:type="dxa"/>
            <w:vAlign w:val="bottom"/>
          </w:tcPr>
          <w:p>
            <w:pPr>
              <w:jc w:val="center"/>
              <w:ind w:right="97"/>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3"/>
        </w:trPr>
        <w:tc>
          <w:tcPr>
            <w:tcW w:w="56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2021</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102.61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 and expired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84.39</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September 30,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62.63</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Options exercisable at September 30, 2021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51.49</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Vested and expected to vest as of September 30,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61.89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total intrinsic value of options exercised (which is the amount by which the stock price exceeded the exercise price of the options on the date of exercise) during the nine months ended September 30, 2021 was $17.1 million.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Fair Value</w:t>
      </w:r>
    </w:p>
    <w:p>
      <w:pPr>
        <w:spacing w:after="0" w:line="13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fair value of each option grant was estimated on the date of grant using the binomial lattice pricing model which incorporates multiple and variable assumptions over time, including assumptions such as employee exercise patterns, stock price volatility and changes in dividends. The following are weighted-average assumptions for 2021 grants: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3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0.86</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yield</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6500" w:type="dxa"/>
            <w:vAlign w:val="bottom"/>
          </w:tcPr>
          <w:p>
            <w:pPr>
              <w:ind w:left="140"/>
              <w:spacing w:after="0"/>
              <w:rPr>
                <w:sz w:val="20"/>
                <w:szCs w:val="20"/>
                <w:color w:val="auto"/>
              </w:rPr>
            </w:pPr>
            <w:r>
              <w:rPr>
                <w:rFonts w:ascii="Arial" w:cs="Arial" w:eastAsia="Arial" w:hAnsi="Arial"/>
                <w:sz w:val="18"/>
                <w:szCs w:val="18"/>
                <w:color w:val="auto"/>
              </w:rPr>
              <w:t>Expected term (in years)</w:t>
            </w:r>
          </w:p>
        </w:tc>
        <w:tc>
          <w:tcPr>
            <w:tcW w:w="3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300" w:type="dxa"/>
            <w:vAlign w:val="bottom"/>
          </w:tcPr>
          <w:p>
            <w:pPr>
              <w:spacing w:after="0"/>
              <w:rPr>
                <w:sz w:val="19"/>
                <w:szCs w:val="19"/>
                <w:color w:val="auto"/>
              </w:rPr>
            </w:pPr>
          </w:p>
        </w:tc>
      </w:t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fair value / share</w:t>
            </w:r>
          </w:p>
        </w:tc>
        <w:tc>
          <w:tcPr>
            <w:tcW w:w="3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23.26</w:t>
            </w:r>
          </w:p>
        </w:tc>
        <w:tc>
          <w:tcPr>
            <w:tcW w:w="300" w:type="dxa"/>
            <w:vAlign w:val="bottom"/>
            <w:shd w:val="clear" w:color="auto" w:fill="CCEEFF"/>
          </w:tcPr>
          <w:p>
            <w:pPr>
              <w:spacing w:after="0"/>
              <w:rPr>
                <w:sz w:val="19"/>
                <w:szCs w:val="19"/>
                <w:color w:val="auto"/>
              </w:rPr>
            </w:pPr>
          </w:p>
        </w:tc>
      </w:tr>
    </w:tbl>
    <w:p>
      <w:pPr>
        <w:spacing w:after="0" w:line="188"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Expected volatility is calculated based on an analysis of historic volatility measures for Xylem. We use historical data to estimate option exercise and employee termination behavior within the valuation model. Employee groups and option characteristics are considered separately for valuation purposes. The expected term represents an estimate of the period of time options are expected to remain outstanding. The risk-free rate is based on the U.S. Treasury yield curve in effect at the time of option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3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is a summary of restricted stock unit activity for the nine months ended September 30, 2021</w:t>
      </w:r>
      <w:r>
        <w:rPr>
          <w:rFonts w:ascii="Arial" w:cs="Arial" w:eastAsia="Arial" w:hAnsi="Arial"/>
          <w:sz w:val="16"/>
          <w:szCs w:val="16"/>
          <w:color w:val="auto"/>
        </w:rPr>
        <w:t>.</w:t>
      </w:r>
      <w:r>
        <w:rPr>
          <w:rFonts w:ascii="Arial" w:cs="Arial" w:eastAsia="Arial" w:hAnsi="Arial"/>
          <w:sz w:val="18"/>
          <w:szCs w:val="18"/>
          <w:color w:val="auto"/>
        </w:rPr>
        <w:t xml:space="preserve"> The fair value of the restricted share unit awards is determined using the closing price of our common stock on date of grant:</w:t>
      </w:r>
    </w:p>
    <w:tbl>
      <w:tblPr>
        <w:tblLayout w:type="fixed"/>
        <w:tblInd w:w="0" w:type="dxa"/>
        <w:tblCellMar>
          <w:top w:w="0" w:type="dxa"/>
          <w:left w:w="0" w:type="dxa"/>
          <w:bottom w:w="0" w:type="dxa"/>
          <w:right w:w="0" w:type="dxa"/>
        </w:tblCellMar>
      </w:tblPr>
      <w:tr>
        <w:trPr>
          <w:trHeight w:val="158"/>
        </w:trPr>
        <w:tc>
          <w:tcPr>
            <w:tcW w:w="78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center"/>
              <w:ind w:right="98"/>
              <w:spacing w:after="0" w:line="158"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1"/>
                <w:szCs w:val="11"/>
                <w:color w:val="auto"/>
              </w:rPr>
            </w:pPr>
          </w:p>
        </w:tc>
        <w:tc>
          <w:tcPr>
            <w:tcW w:w="150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6"/>
        </w:trPr>
        <w:tc>
          <w:tcPr>
            <w:tcW w:w="7800" w:type="dxa"/>
            <w:vAlign w:val="bottom"/>
          </w:tcPr>
          <w:p>
            <w:pPr>
              <w:spacing w:after="0"/>
              <w:rPr>
                <w:sz w:val="15"/>
                <w:szCs w:val="15"/>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5"/>
                <w:szCs w:val="15"/>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2021</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0" w:type="dxa"/>
            <w:vAlign w:val="bottom"/>
          </w:tcPr>
          <w:p>
            <w:pPr>
              <w:spacing w:after="0"/>
              <w:rPr>
                <w:sz w:val="1"/>
                <w:szCs w:val="1"/>
                <w:color w:val="auto"/>
              </w:rPr>
            </w:pP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105.77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87.02</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September 30, 2021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88.42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ROIC Performance Share Unit Grants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Return on Invested Capital ("ROIC") performance share unit grants for the nine months ended September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2021. The fair value of the ROIC performance share units is equal to the closing share price on the date of the grant: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1"/>
                <w:szCs w:val="11"/>
                <w:color w:val="auto"/>
              </w:rPr>
            </w:pPr>
          </w:p>
        </w:tc>
        <w:tc>
          <w:tcPr>
            <w:tcW w:w="150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79"/>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5"/>
        </w:trPr>
        <w:tc>
          <w:tcPr>
            <w:tcW w:w="7800" w:type="dxa"/>
            <w:vAlign w:val="bottom"/>
          </w:tcPr>
          <w:p>
            <w:pPr>
              <w:spacing w:after="0"/>
              <w:rPr>
                <w:sz w:val="15"/>
                <w:szCs w:val="15"/>
                <w:color w:val="auto"/>
              </w:rPr>
            </w:pPr>
          </w:p>
        </w:tc>
        <w:tc>
          <w:tcPr>
            <w:tcW w:w="1760" w:type="dxa"/>
            <w:vAlign w:val="bottom"/>
            <w:gridSpan w:val="2"/>
          </w:tcPr>
          <w:p>
            <w:pPr>
              <w:jc w:val="center"/>
              <w:ind w:right="6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5"/>
                <w:szCs w:val="15"/>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2021</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102.69</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 (a)</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76.13</w:t>
            </w:r>
          </w:p>
        </w:tc>
        <w:tc>
          <w:tcPr>
            <w:tcW w:w="0" w:type="dxa"/>
            <w:vAlign w:val="bottom"/>
          </w:tcPr>
          <w:p>
            <w:pPr>
              <w:spacing w:after="0"/>
              <w:rPr>
                <w:sz w:val="1"/>
                <w:szCs w:val="1"/>
                <w:color w:val="auto"/>
              </w:rPr>
            </w:pP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b w:val="1"/>
                <w:bCs w:val="1"/>
                <w:color w:val="auto"/>
              </w:rPr>
              <w:t>Outstanding at September 30, 2021</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84.85</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ROIC performance share unit awards forfeited during the period as a result of the final performance condition not being achieved on vest date.</w:t>
      </w:r>
    </w:p>
    <w:p>
      <w:pPr>
        <w:spacing w:after="0" w:line="8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TSR Performance Share Unit Grants</w:t>
      </w:r>
    </w:p>
    <w:p>
      <w:pPr>
        <w:spacing w:after="0" w:line="13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is a summary of our Total Shareholder Return ("TSR") performance share unit grants for the nine months ended September 30, 2021:</w:t>
      </w:r>
    </w:p>
    <w:tbl>
      <w:tblPr>
        <w:tblLayout w:type="fixed"/>
        <w:tblInd w:w="0" w:type="dxa"/>
        <w:tblCellMar>
          <w:top w:w="0" w:type="dxa"/>
          <w:left w:w="0" w:type="dxa"/>
          <w:bottom w:w="0" w:type="dxa"/>
          <w:right w:w="0" w:type="dxa"/>
        </w:tblCellMar>
      </w:tblPr>
      <w:tr>
        <w:trPr>
          <w:trHeight w:val="158"/>
        </w:trPr>
        <w:tc>
          <w:tcPr>
            <w:tcW w:w="78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center"/>
              <w:ind w:right="97"/>
              <w:spacing w:after="0" w:line="158"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1"/>
                <w:szCs w:val="11"/>
                <w:color w:val="auto"/>
              </w:rPr>
            </w:pPr>
          </w:p>
        </w:tc>
        <w:tc>
          <w:tcPr>
            <w:tcW w:w="150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5"/>
        </w:trPr>
        <w:tc>
          <w:tcPr>
            <w:tcW w:w="7800" w:type="dxa"/>
            <w:vAlign w:val="bottom"/>
          </w:tcPr>
          <w:p>
            <w:pPr>
              <w:spacing w:after="0"/>
              <w:rPr>
                <w:sz w:val="15"/>
                <w:szCs w:val="15"/>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5"/>
                <w:szCs w:val="15"/>
                <w:color w:val="auto"/>
              </w:rPr>
            </w:pPr>
          </w:p>
        </w:tc>
        <w:tc>
          <w:tcPr>
            <w:tcW w:w="1500" w:type="dxa"/>
            <w:vAlign w:val="bottom"/>
          </w:tcPr>
          <w:p>
            <w:pPr>
              <w:jc w:val="center"/>
              <w:ind w:right="97"/>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2021</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117.56</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 for Market Condition Achieved (a)</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0" w:type="dxa"/>
            <w:vAlign w:val="bottom"/>
          </w:tcPr>
          <w:p>
            <w:pPr>
              <w:spacing w:after="0"/>
              <w:rPr>
                <w:sz w:val="1"/>
                <w:szCs w:val="1"/>
                <w:color w:val="auto"/>
              </w:rPr>
            </w:pP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98.79</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103.10</w:t>
            </w:r>
          </w:p>
        </w:tc>
        <w:tc>
          <w:tcPr>
            <w:tcW w:w="0" w:type="dxa"/>
            <w:vAlign w:val="bottom"/>
          </w:tcPr>
          <w:p>
            <w:pPr>
              <w:spacing w:after="0"/>
              <w:rPr>
                <w:sz w:val="1"/>
                <w:szCs w:val="1"/>
                <w:color w:val="auto"/>
              </w:rPr>
            </w:pP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b w:val="1"/>
                <w:bCs w:val="1"/>
                <w:color w:val="auto"/>
              </w:rPr>
              <w:t>Outstanding at September 30, 2021</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102.98</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200" w:firstLine="8"/>
        <w:spacing w:after="0" w:line="260" w:lineRule="auto"/>
        <w:tabs>
          <w:tab w:leader="none" w:pos="243"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an increase in the number of original TSR performance share units awarded based on the final market condition achievement at the end of the performance period of such awards.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fair value of TSR performance share units was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assumptions for 2021 grants: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4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r>
      <w:tr>
        <w:trPr>
          <w:trHeight w:val="239"/>
        </w:trPr>
        <w:tc>
          <w:tcPr>
            <w:tcW w:w="614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4660" w:type="dxa"/>
            <w:vAlign w:val="bottom"/>
          </w:tcPr>
          <w:p>
            <w:pPr>
              <w:jc w:val="right"/>
              <w:spacing w:after="0"/>
              <w:rPr>
                <w:sz w:val="20"/>
                <w:szCs w:val="20"/>
                <w:color w:val="auto"/>
              </w:rPr>
            </w:pPr>
            <w:r>
              <w:rPr>
                <w:rFonts w:ascii="Arial" w:cs="Arial" w:eastAsia="Arial" w:hAnsi="Arial"/>
                <w:sz w:val="18"/>
                <w:szCs w:val="18"/>
                <w:b w:val="1"/>
                <w:bCs w:val="1"/>
                <w:color w:val="auto"/>
              </w:rPr>
              <w:t>0.24</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ESG Performance Share Unit Grants</w:t>
      </w:r>
    </w:p>
    <w:p>
      <w:pPr>
        <w:spacing w:after="0" w:line="139"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During the first quarter of 2021, we issued a special grant of less than 0.1 million ESG performance share units. The shares will vest on March 1, 2026 based on our performance as of December 31, 2025 against certain of the Company's 2025 sustainability goals.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Capital Stock</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the three and nine months ended September 30, 2021, the Company repurchased less than 0.1 million shares of common stock for less than $1 million and approximately 0.7 million shares of common stock for $68 million, respectively. For the three and nine months ended September 30, 2020, the Company repurchased less than 0.1 million shares of common stock for approximately $1 million and approximately 0.8 million shares of common stock for $ 61 million, respectively. Repurchases include both share repurchase programs approved by the Board of Directors and repurchases in relation to settlement of employee tax withholding obligations due as a result of the vesting of restricted stock units. The details of repurchases by each program are as follows:</w:t>
      </w:r>
    </w:p>
    <w:p>
      <w:pPr>
        <w:spacing w:after="0" w:line="10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August 24, 2015, our Board of Directors authorized the repurchase of up to $500 million in shares with no expiration date. The program's objective is to deploy our capital in a manner that benefits our stockholders and maintains our focus on growth. There were no shares repurchased under the program for the three months ended September 30, 2021. For the nine months ended September 30, 2021, we repurchased approximately 0.6 million shares for $60 million. There were no shares repurchased under the program for the three months ended September 30, 2020. For the nine months ended September 30, 2020, we repurchased approximately 0.7 million shares for $50 million. There are up to $228 million in shares that may still be purchased under this plan as of September 30, 2021.</w:t>
      </w:r>
    </w:p>
    <w:p>
      <w:pPr>
        <w:spacing w:after="0" w:line="1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Aside from the aforementioned repurchase program, we repurchased less than 0.1 million shares and approximately 0.1 million shares for less than $1 million and $ 8 million for the three and nine months ended September 30, 2021, respectively, in relation to settlement of employee tax withholding obligations due as a result of the vesting of restricted stock units. Likewise, we repurchased less than 0.1 million shares and approximately 0.1 million shares for approximately $1 million and $11 million for the three and nine months ended September 30,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15. Accumulated Other Comprehensive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accumulated other comprehensive loss for the nine months ended September 30,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rPr>
              <w:t>Amortization of prior service cost and net actuarial loss on post-</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retirement benefit plans into other non-operating income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8"/>
                <w:szCs w:val="18"/>
                <w:color w:val="auto"/>
              </w:rPr>
              <w:t>(expense), net</w:t>
            </w:r>
          </w:p>
        </w:tc>
        <w:tc>
          <w:tcPr>
            <w:tcW w:w="2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Income tax benefit on unrealized loss on derivative hedge</w:t>
            </w:r>
          </w:p>
        </w:tc>
        <w:tc>
          <w:tcPr>
            <w:tcW w:w="22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w:t>
            </w:r>
          </w:p>
        </w:tc>
        <w:tc>
          <w:tcPr>
            <w:tcW w:w="2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tcPr>
          <w:p>
            <w:pPr>
              <w:spacing w:after="0"/>
              <w:rPr>
                <w:sz w:val="16"/>
                <w:szCs w:val="16"/>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6"/>
                <w:szCs w:val="16"/>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(326)</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Amortization of prior service cost and net actuarial loss on post-</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retirement benefit plans into other non-operating income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net</w:t>
            </w:r>
          </w:p>
        </w:tc>
        <w:tc>
          <w:tcPr>
            <w:tcW w:w="2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tcPr>
          <w:p>
            <w:pPr>
              <w:spacing w:after="0"/>
              <w:rPr>
                <w:sz w:val="16"/>
                <w:szCs w:val="16"/>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on derivative hedge agreements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tcPr>
          <w:p>
            <w:pPr>
              <w:spacing w:after="0"/>
              <w:rPr>
                <w:sz w:val="16"/>
                <w:szCs w:val="16"/>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6"/>
                <w:szCs w:val="16"/>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vMerge w:val="restart"/>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tcBorders>
              <w:top w:val="single" w:sz="8" w:color="CCEEFF"/>
            </w:tcBorders>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rPr>
              <w:t>Amortization of prior service cost and net actuarial loss on post-</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retirement benefit plans into other non-operating income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8"/>
                <w:szCs w:val="18"/>
                <w:color w:val="auto"/>
              </w:rPr>
              <w:t>(expense), net</w:t>
            </w:r>
          </w:p>
        </w:tc>
        <w:tc>
          <w:tcPr>
            <w:tcW w:w="2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Unrealized gain on derivative hedge agreements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provides the components of accumulated other comprehensive loss for the nine months ended September 30,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rPr>
              <w:t>Amortization of prior service cost and net actuarial loss on post-</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retirement benefit plans into other non-operating income</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8"/>
                <w:szCs w:val="18"/>
                <w:color w:val="auto"/>
              </w:rPr>
              <w:t>(expense), net</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rPr>
              <w:t>Amortization of prior service cost and net actuarial loss on post-</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retirement benefit plans into other non-operating income</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8"/>
                <w:szCs w:val="18"/>
                <w:color w:val="auto"/>
              </w:rPr>
              <w:t>(expense), net</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Unrealized gain on derivative hedge agreements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Income tax benefit on unrealized gain on derivative hedge</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shd w:val="clear" w:color="auto" w:fill="CCEEFF"/>
          </w:tcPr>
          <w:p>
            <w:pPr>
              <w:ind w:left="140"/>
              <w:spacing w:after="0" w:line="197" w:lineRule="exact"/>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Amortization of prior service cost and net actuarial loss on post-</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retirement benefit plans into other non-operating income</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net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on derivative hedge agreements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28" w:name="page29"/>
    <w:bookmarkEnd w:id="28"/>
    <w:p>
      <w:pPr>
        <w:ind w:right="580"/>
        <w:spacing w:after="0" w:line="261" w:lineRule="auto"/>
        <w:rPr>
          <w:sz w:val="20"/>
          <w:szCs w:val="20"/>
          <w:color w:val="auto"/>
        </w:rPr>
      </w:pPr>
      <w:r>
        <w:rPr>
          <w:rFonts w:ascii="Arial" w:cs="Arial" w:eastAsia="Arial" w:hAnsi="Arial"/>
          <w:sz w:val="18"/>
          <w:szCs w:val="18"/>
          <w:color w:val="auto"/>
        </w:rPr>
        <w:t>property damage, personal injury, privacy, employment, labor and pension, government contract issues and commercial or contractual disputes.</w:t>
      </w:r>
    </w:p>
    <w:p>
      <w:pPr>
        <w:spacing w:after="0" w:line="9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From time to time, claims may be asserted against Xylem alleging injury caused by any of our products resulting from asbestos exposure. We believe there are numerous legal defenses available for such claims and would defend ourselves vigorously. Pursuant to the Distribution Agreement among ITT Corporation (now ITT LLC; acquired by Delticus HoldCo, L.P., a portfolio company of Warburg Pincus LLC, on July 1, 2021), Exelis (acquired by Harris Corporation, now L3Harris Technologies, Inc.) and Xylem, ITT LLC has an obligation to indemnify, defend and hold Xylem harmless for asbestos product liability matters, including settlements, judgments, and legal defense costs associated with all pending and future claims that may arise from past sales of ITT’s legacy products. We believe ITT LLC remains a substantial entity with sufficient financial resources to honor its obligations to 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See Note 4, "Income Taxes", of our condensed consolidated financial statements for a description of a pending tax litigation matter.</w:t>
      </w:r>
    </w:p>
    <w:p>
      <w:pPr>
        <w:spacing w:after="0" w:line="11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adverse effect on our results of operations, or financial condition. We have estimated and accrued $5 million and $6 million as of September 30, 2021 and December 31, 2020, respectively, for these general legal matters.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part of our 2011 spin-off from our former parent, ITT Corporation (now ITT LLC; acquired by Delticus HoldCo, L.P., a portfolio company of Warburg Pincus LLC, on July 1, 2021), Exelis Inc. (acquired by Harris Corporation, now L3Harris Technologies, Inc.) and Xylem will indemnify, defend and hold harmless each of the other parties with respect to such parties’ assumed or retained liabilities under the Distribution Agreement and breaches of the Distribution Agreement or related spin agreements. ITT LLC's indemnification obligations include asserted and unasserted asbestos and silica liability claims that relate to the presence or alleged presence of asbestos or silica in products manufactured, repaired or sold prior to October 31, 2011, the Distribution Date, subject to limited exceptions with respect to certain employee claims, or in the structure or material of any building or facility, subject to exceptions with respect to employee claims relating to Xylem buildings or facilities. The indemnification associated with pending and future asbestos claims does not expire. Xylem has not recorded a liability for material matters for which we expect to be indemnified by the former parent or Exelis Inc. through the Distribution Agreement and we are not aware of any claims or other circumstances that would give rise to material payments from us under such indemnifications.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obtain certain stand-by letters of credit, bank guarantees, surety bonds and insurance letters of credit from third-party financial institutions in the ordinary course of business when required under contracts or to satisfy insurance-related requirements. As of September 30, 2021 and December 31, 2020, the amount of surety bonds, bank guarantees, insurance letters of credit and stand-by letters of credit was $417 million and $378 million,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ordinary course of business, we are subject to federal, state, local, and foreign environmental laws and regulations. We are responsible, or are alleged to be responsible, for ongoing environmental investigation and remediation of sites in various countries. These sites are in various stages of investigation and/or remediation and in many of these proceedings our liability is considered de minimis. We have received notification from the U.S. Environmental Protection Agency, and from similar state and foreign environmental agencies, that a number of sites formerly or currently owned and/or operated by Xylem or for which we are responsible under the Distribution Agreement, and other properties or water supplies that may be or have been impacted from those operations, contain disposed or recycled materials or wastes and require environmental investigation and/or remediation. These sites include instances where we have been identified as a potentially responsible party under federal and state environmental laws and regulations.</w:t>
      </w:r>
    </w:p>
    <w:p>
      <w:pPr>
        <w:spacing w:after="0" w:line="9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Accruals for environmental matters are recorded on a site-by-site basis when it is probable that a liability has been incurred and the amount of the liability can be reasonably estimated, based on current law and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9" w:name="page30"/>
    <w:bookmarkEnd w:id="29"/>
    <w:p>
      <w:pPr>
        <w:spacing w:after="0" w:line="253" w:lineRule="auto"/>
        <w:rPr>
          <w:sz w:val="20"/>
          <w:szCs w:val="20"/>
          <w:color w:val="auto"/>
        </w:rPr>
      </w:pPr>
      <w:r>
        <w:rPr>
          <w:rFonts w:ascii="Arial" w:cs="Arial" w:eastAsia="Arial" w:hAnsi="Arial"/>
          <w:sz w:val="18"/>
          <w:szCs w:val="18"/>
          <w:color w:val="auto"/>
        </w:rPr>
        <w:t>technologies. Our accrued liabilities for these environmental matters represent our best estimates related to the investigation and remediation of environmental media such as water, soil, soil vapor, air and structures, as well as related legal fees. These estimates, and related accruals, are reviewed quarterly and updated for progress of investigation and remediation efforts and changes in facts and legal circumstances. Liabilities for these environmental expenditures are recorded on an undiscounted basis. We have estimated and accrued $3 million and $3 million as of September 30, 2021 and December 31, 2020 for environmental matters.</w:t>
      </w:r>
    </w:p>
    <w:p>
      <w:pPr>
        <w:spacing w:after="0" w:line="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It is difficult to estimate the final costs of investigation and remediation due to various factors, including incomplete information regarding particular sites and other potentially responsible parties, uncertainty regarding the extent of investigation or remediation and our share, if any, of liability for such conditions, the selection of alternative remedial approaches, and changes in environmental standards and regulatory requirements. We believe the total amount accrued is reasonable based on existing facts and circumstances.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39" w:lineRule="exact"/>
        <w:rPr>
          <w:sz w:val="20"/>
          <w:szCs w:val="20"/>
          <w:color w:val="auto"/>
        </w:rPr>
      </w:pPr>
    </w:p>
    <w:p>
      <w:pPr>
        <w:ind w:right="600"/>
        <w:spacing w:after="0" w:line="282" w:lineRule="auto"/>
        <w:rPr>
          <w:sz w:val="20"/>
          <w:szCs w:val="20"/>
          <w:color w:val="auto"/>
        </w:rPr>
      </w:pPr>
      <w:r>
        <w:rPr>
          <w:rFonts w:ascii="Arial" w:cs="Arial" w:eastAsia="Arial" w:hAnsi="Arial"/>
          <w:sz w:val="17"/>
          <w:szCs w:val="17"/>
          <w:color w:val="auto"/>
        </w:rPr>
        <w:t>We warrant numerous products, the terms of which vary widely. In general, we warrant products against defect and specific non-performance. The table below provides changes in the combined current and non-current product warranty accruals over each period: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2020</w:t>
            </w: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Warranty accrual –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Net charges for product warranties in the period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of warranty claims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Warranty accrual - September 30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Information</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business has three reportable segments: Water Infrastructure, Applied Water and Measurement &amp; Control Solutions. The Water Infrastructure segment focuses on the transportation and treatment of water, offering a range of products including water, wastewater and storm water pumps, treatment equipment, and controls and systems. The Applied Water segment serves many of the primary uses of water and focuses on the residential, commercial and industrial markets. The Applied Water segment's major products include pumps, valves, heat exchangers, controls and dispensing equipment. The Measurement &amp; Control Solutions segment focuses on developing advanced technology solutions that enable intelligent use and conservation of critical water and energy resources as well as analytical instrumentation used in the testing of water. The Measurement &amp; Control Solutions segment's major products include smart metering, networked communications, measurement and control technologies, critical infrastructure technologies, software and services including cloud-based analytics, remote monitoring and data management, leak detection and pressure monitoring solutions and testing equipment.</w:t>
      </w:r>
    </w:p>
    <w:p>
      <w:pPr>
        <w:spacing w:after="0" w:line="10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Additionally, we have Regional selling locations, which consist primarily of selling and marketing organizations and related support services, that offer products and services across our reportable segments. Corporate and other consists of corporate office expenses including compensation, benefits, occupancy, depreciation, and other administrative costs, as well as charges related to certain matters, such as environmental matters, that are managed at a corporate level and are not included in the business segments in evaluating performance or allocating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0" w:name="page31"/>
    <w:bookmarkEnd w:id="30"/>
    <w:p>
      <w:pPr>
        <w:ind w:right="40"/>
        <w:spacing w:after="0" w:line="261" w:lineRule="auto"/>
        <w:rPr>
          <w:sz w:val="20"/>
          <w:szCs w:val="20"/>
          <w:color w:val="auto"/>
        </w:rPr>
      </w:pPr>
      <w:r>
        <w:rPr>
          <w:rFonts w:ascii="Arial" w:cs="Arial" w:eastAsia="Arial" w:hAnsi="Arial"/>
          <w:sz w:val="18"/>
          <w:szCs w:val="18"/>
          <w:color w:val="auto"/>
        </w:rPr>
        <w:t>The accounting policies of each segment are the same as those described in the Summary of Significant Accounting Policies section of Note 1 in the 2020 Annual Report. The following table contains financial information for each reportable segment: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72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0"/>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&amp; Control Solutions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265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Arial" w:cs="Arial" w:eastAsia="Arial" w:hAnsi="Arial"/>
                <w:sz w:val="18"/>
                <w:szCs w:val="18"/>
                <w:color w:val="auto"/>
              </w:rPr>
              <w:t>Measurement &amp; Control Solutions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color w:val="auto"/>
              </w:rPr>
              <w:t>Total operating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shd w:val="clear" w:color="auto" w:fill="CCEEFF"/>
          </w:tcPr>
          <w:p>
            <w:pPr>
              <w:ind w:left="140"/>
              <w:spacing w:after="0" w:line="197" w:lineRule="exact"/>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Other non-operating income (expense),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from sale of business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color w:val="auto"/>
              </w:rPr>
              <w:t>Income before taxes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Measurement &amp; Control Solutions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selling locations (a)</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&amp; Control Solutions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Regional selling locations (b)</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340" w:right="60" w:hanging="332"/>
        <w:spacing w:after="0" w:line="253" w:lineRule="auto"/>
        <w:tabs>
          <w:tab w:leader="none" w:pos="3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Depreciation and amortization expense incurred by the Regional selling locations was included in an overall allocation of Regional selling location costs to the segments; however, a certain portion of that expense was not specifically identified to a segment. That expense is captured in this Regional selling location line.</w:t>
      </w:r>
    </w:p>
    <w:p>
      <w:pPr>
        <w:spacing w:after="0" w:line="93" w:lineRule="exact"/>
        <w:rPr>
          <w:rFonts w:ascii="Arial" w:cs="Arial" w:eastAsia="Arial" w:hAnsi="Arial"/>
          <w:sz w:val="16"/>
          <w:szCs w:val="16"/>
          <w:color w:val="auto"/>
        </w:rPr>
      </w:pPr>
    </w:p>
    <w:p>
      <w:pPr>
        <w:ind w:left="320" w:hanging="312"/>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capital expenditures incurred by the Regional selling locations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31" w:name="page32"/>
    <w:bookmarkEnd w:id="31"/>
    <w:p>
      <w:pPr>
        <w:ind w:left="1560" w:right="1640" w:hanging="1538"/>
        <w:spacing w:after="0"/>
        <w:tabs>
          <w:tab w:leader="none" w:pos="15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8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The following discussion should be read in conjunction with the condensed consolidated financial statements, including the notes, included elsewhere in this report on Form 10-Q (this "Report").</w:t>
      </w:r>
    </w:p>
    <w:p>
      <w:pPr>
        <w:spacing w:after="0" w:line="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This Report contains “forward-looking statements" within the meaning of Section 27A of the Securities Act of 1933, as amended, and Section 21E of the Securities Exchange Act of 1934, as amended. Generally, the words “anticipate,” “estimate,” “expect,” “project,” “intend,” “plan,” "contemplate," "predict," “forecast,” “likely,” “believe,” “target,” "goal,"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or address possible or future results of operations or financial performance, including statements relating to orders, revenues, operating margins and earnings per share growth.</w:t>
      </w:r>
    </w:p>
    <w:p>
      <w:pPr>
        <w:spacing w:after="0" w:line="81"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Additionally, many of these risks and uncertainties are, and may continue to be, amplified by the ongoing coronavirus (“COVID-19”) pandemic. Important factors that could cause our actual results, performance and achievements, or industry results to differ materially from estimates or projections contained in or implied by our forward-looking statements include, among others, the following: overall industry and economic conditions, including industrial, governmental and private sector spending and the strength of the residential and commercial real estate markets; geopolitical, regulatory, economic and other risks associated with international operations; continued uncertainty around the COVID-19 pandemic’s magnitude, duration and impacts on our business, operations, growth, and financial condition, as well as uncertainty around approved vaccines and the pace of recovery when the pandemic subsides; actual or potential other epidemics, pandemics or global health crises; availability, shortage or delays in receiving products, parts, electronic components and raw materials from our supply chain; manufacturing and operating cost increases due to inflation, prevailing price changes, tariffs and other factors; fluctuations in foreign currency exchange rates; disruption, competition and pricing pressures in the markets we serve; cybersecurity incidents or other disruptions of information technology systems on which we rely, or involving our products; disruptions in operations at our facilities or that of third parties upon which we rely; availability, regulation and interference with radio spectrum used by some of our products; our ability to retain and attract senior management and other key talent; uncertainty related to restructuring and realignment actions and related charges and savings; our ability to continue strategic investments for growth; our ability to successfully identify, execute and integrate acquisitions; risks relating to products, including defects, security, warranty and liability claims, and recalls; difficulty predicting our financial results, including uncertainties due to the nature of our short- and long-cycle businesses; volatility in our results due to weather conditions, including the effects of climate change; our ability to borrow or refinance our existing indebtedness and the availability of liquidity sufficient to meet our needs; risk of future impairments to goodwill and other intangible assets; failure to comply with, or changes in, laws or regulations, including those pertaining to anti-corruption, data privacy and security, export and import, competition, and the environment and climate change; changes in our effective tax rates or tax expenses; legal, governmental or regulatory claims, investigations or proceedings and associated contingent liabilities; and other factors set forth under “Item 1A. Risk Factors” in our Annual Report on Form 10-K for the year ended December 31, 2020 ("2020 Annual Report") and in subsequent filings we make with the Securities and Exchange Commission (“SEC”).</w:t>
      </w:r>
    </w:p>
    <w:p>
      <w:pPr>
        <w:spacing w:after="0" w:line="9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All forward-looking statements made herein are based on information currently available to us as of the date of this Report. We undertake no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three reportable segments that are aligned around the critical market applications they provide: Water Infrastructure, Applied Water and Measurement &amp; Control Solutions.</w:t>
      </w:r>
    </w:p>
    <w:p>
      <w:pPr>
        <w:spacing w:after="0" w:line="82" w:lineRule="exact"/>
        <w:rPr>
          <w:sz w:val="20"/>
          <w:szCs w:val="20"/>
          <w:color w:val="auto"/>
        </w:rPr>
      </w:pPr>
    </w:p>
    <w:p>
      <w:pPr>
        <w:ind w:left="660" w:right="40" w:hanging="328"/>
        <w:spacing w:after="0" w:line="25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Water Infrastructure </w:t>
      </w:r>
      <w:r>
        <w:rPr>
          <w:rFonts w:ascii="Arial" w:cs="Arial" w:eastAsia="Arial" w:hAnsi="Arial"/>
          <w:sz w:val="18"/>
          <w:szCs w:val="18"/>
          <w:color w:val="auto"/>
        </w:rPr>
        <w:t>serves the water infrastructure sector with pump systems that transport water from aquifers, lakes, rivers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We also provide sales and rental of specialty dewatering pumps and related equipment and services.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In the Water Infrastructure segment, we provide the majority of our sales directly to customers along with strong applications expertise, while the remaining amount is through distribution partners.</w:t>
      </w:r>
    </w:p>
    <w:p>
      <w:pPr>
        <w:spacing w:after="0" w:line="76"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Applied Water </w:t>
      </w:r>
      <w:r>
        <w:rPr>
          <w:rFonts w:ascii="Arial" w:cs="Arial" w:eastAsia="Arial" w:hAnsi="Arial"/>
          <w:sz w:val="18"/>
          <w:szCs w:val="18"/>
          <w:color w:val="auto"/>
        </w:rPr>
        <w:t>serves the water usage applications sector with water pressure boosting systems for heating, ventilation and air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conditioning, and for fire protection systems to the residential and commercial building services markets. In addition, our pumps, heat exchangers and controls provide cooling to power plants and manufacturing facilities, circulation for food and beverage processing, as well as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spacing w:after="0" w:line="79"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Measurement &amp; Control Solutions </w:t>
      </w:r>
      <w:r>
        <w:rPr>
          <w:rFonts w:ascii="Arial" w:cs="Arial" w:eastAsia="Arial" w:hAnsi="Arial"/>
          <w:sz w:val="18"/>
          <w:szCs w:val="18"/>
          <w:color w:val="auto"/>
        </w:rPr>
        <w:t>primarily serves the utility infrastructure solutions and services sector by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smart metering, measurement and control technologies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surface water and coastal environments. Additionally, we offer software and services including cloud-based analytics, remote monitoring and data management, leak detection, condition assessment, asset management and pressure monitoring solutions. In the Measurement &amp;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Update</w:t>
      </w:r>
    </w:p>
    <w:p>
      <w:pPr>
        <w:spacing w:after="0" w:line="13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Depending on the severity, magnitude and duration of the COVID-19 pandemic and its economic consequences, we anticipate that it will become more difficult to distinguish specific aspects of our operational and financial performance that are most directly related to the pandemic from those more broadly influenced by ongoing macroeconomic, market and industry dynamics that may be, to varying degrees, related to the pandemic and its consequences.</w:t>
      </w:r>
    </w:p>
    <w:p>
      <w:pPr>
        <w:spacing w:after="0" w:line="136"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COVID-19 pandemic, as well as broader global market supply and demand dynamics, have adversely affected, and are expected to continue to adversely affect, our supply chains. We have experienced, and expect to continue to experience, shortages in the supply of components, including electronics, parts and raw materials. We have also experienced, and continue to experience, increased freight and logistics costs, including delivery delays related to port congestion and other related logistics challenges. To help mitigate the effects of these challenges and increase the resilience of our supply chain, we continue to enhance and augment our risk management activities, including supplier pulsing and redundancy. Additionally, we have in the past, and may continue to in the future, take measures with respect to buffer stock, the use of alternative suppliers or redesign of certain products to mitigate the impacts of freight and logistics delays and bolster our access to raw materials, parts and components. If these shortages and interruptions continue, or if additional interruptions occur,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could have a negative impact on our results of operations. Our current overall operating capacity approximates normal levels globally.</w:t>
      </w:r>
    </w:p>
    <w:p>
      <w:pPr>
        <w:spacing w:after="0" w:line="15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Xylem Watermark, our corporate social responsibility program, continues to support our communities in addressing the challenges posed by this global pandemic by strengthening access to Water, Sanitation and Hygiene (WASH) facilities in schools and health centers through its partnership with Americares and UNICEF, as well as the Partner Community Grants program and matching donations program for employees and partners, and other philanthropic commitments.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Xylem continues to focus on the health and safety of our employees, working with our customers to help them minimize potential disruptions and positively impact our communities. Our support pay program for employees impacted by COVID-19 will remain in place into the fourth quarter of 2021, and we will continue to evaluate it for continuation, as necessary.</w:t>
      </w:r>
    </w:p>
    <w:p>
      <w:pPr>
        <w:spacing w:after="0" w:line="9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Many of our offices globally remain in a substantially remote work from home status and our COVID-19 Response Team applies a set of Xylem "Return to Workplace" health and safety guidelines for remote workers to return to our facilities.</w:t>
      </w:r>
    </w:p>
    <w:p>
      <w:pPr>
        <w:spacing w:after="0" w:line="90"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We continue to assess the evolving nature of the pandemic and its possible implications to our business, employees, supply chain, customers and communities, and to take actions in an effort to mitigate adverse consequences.</w:t>
      </w:r>
    </w:p>
    <w:p>
      <w:pPr>
        <w:spacing w:after="0" w:line="90"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Risk related to the impact of COVID-19 as well as our supply chain are described in further detail under "Item 1A. Risk Factors" in the Company's 2020 Annual Report.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Xylem reported revenue for the third quarter of 2021 of $1,265 million, an increase of 3.7% compared to $1,220 million reported in the third quarter of 2020. On a constant currency basis, revenue increased by $25 million, or 2.0%, driven by organic revenue growth in the Water Infrastructure and Applied Water segments, partially offset by Measurement &amp; Control Solutions. These results were driven by growth in the industrial and commercial end markets, offset by declines in the utilities end market.</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generated operating income of $152 million (margin of 12.0%) during the third quarter of 2021, as compared to $73 million (margin of 6.0%) in 2020. Operating income in the third quarter of 2021 benefited from a decrease in restructuring and realignment costs of $13 million as compared to the third quarter of 2020 and a decrease in special charges of $69 million. Excluding the impact of these items, adjusted operating income was $155 million (adjusted margin of 12.3%) during the third quarter of 2021 as compared to $158 million (adjusted margin of 13.0%) in 2020. The decrease in adjusted operating margin was primarily due to cost inflation, increased spending on strategic investments, increased logistics costs and unfavorable mix. These impacts were partially offset by cost reductions from our productivity, restructuring and other cost saving initiatives, price realization, favorable volume, and other lesser impacts.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highlights for the quarter ended September 30, 2021 include the following:</w:t>
      </w:r>
    </w:p>
    <w:p>
      <w:pPr>
        <w:spacing w:after="0" w:line="117"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Orders of $1,518 million, up 21.8% from $1,246 million in the prior year, and up 20.1% on an organic basis.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per share of $0.63, up 215.0% when compared to the prior year ($0.63, up 1.6% on an adjusted basis).</w:t>
      </w:r>
    </w:p>
    <w:p>
      <w:pPr>
        <w:spacing w:after="0" w:line="117" w:lineRule="exact"/>
        <w:rPr>
          <w:rFonts w:ascii="Arial" w:cs="Arial" w:eastAsia="Arial" w:hAnsi="Arial"/>
          <w:sz w:val="18"/>
          <w:szCs w:val="18"/>
          <w:color w:val="auto"/>
        </w:rPr>
      </w:pPr>
    </w:p>
    <w:p>
      <w:pPr>
        <w:ind w:left="340" w:right="160" w:hanging="332"/>
        <w:spacing w:after="0" w:line="261"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income as a percent of revenue of 9.0%, up 600 basis points compared to 3.0% in the prior year. EBITDA margin of 17.0%, up 610 basis points when compared to 10.9% in the prior year (17.9%, down 30 basis points on an adjusted basis)</w:t>
      </w:r>
    </w:p>
    <w:p>
      <w:pPr>
        <w:spacing w:after="0" w:line="89" w:lineRule="exact"/>
        <w:rPr>
          <w:rFonts w:ascii="Arial" w:cs="Arial" w:eastAsia="Arial" w:hAnsi="Arial"/>
          <w:sz w:val="18"/>
          <w:szCs w:val="18"/>
          <w:color w:val="auto"/>
        </w:rPr>
      </w:pPr>
    </w:p>
    <w:p>
      <w:pPr>
        <w:ind w:left="340" w:right="40" w:hanging="332"/>
        <w:spacing w:after="0" w:line="261"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cash flow provided by operating activities of $318 million for the nine months ended September 30, 2021, a decrease of $136 million from cash provided in the same period of the prior year. Free cash flow was $191 million, down $127 million from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9"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Key Performance Indicators and Non-GAAP Measures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Management reviews key performance indicators including revenue, gross margins, segment operating income and operating income margins,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items to represent the non-GAAP measures we consider to be key performance indicators, as well as the related reconciling items to the most directly comparable measure calculated and presented in accordance with GAAP. The non-GAAP measures may not be comparable to similarly-titled measures reported by other companies.</w:t>
      </w:r>
    </w:p>
    <w:p>
      <w:pPr>
        <w:spacing w:after="0" w:line="102" w:lineRule="exact"/>
        <w:rPr>
          <w:sz w:val="20"/>
          <w:szCs w:val="20"/>
          <w:color w:val="auto"/>
        </w:rPr>
      </w:pPr>
    </w:p>
    <w:p>
      <w:pPr>
        <w:ind w:left="660" w:right="20" w:hanging="328"/>
        <w:spacing w:after="0" w:line="25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"organic revenue" and "organic orders" defined as revenue and orders, respectively, excluding the impact of fluctuations in foreign currency translation 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spacing w:after="0" w:line="97" w:lineRule="exact"/>
        <w:rPr>
          <w:rFonts w:ascii="Arial" w:cs="Arial" w:eastAsia="Arial" w:hAnsi="Arial"/>
          <w:sz w:val="18"/>
          <w:szCs w:val="18"/>
          <w:color w:val="auto"/>
        </w:rPr>
      </w:pPr>
    </w:p>
    <w:p>
      <w:pPr>
        <w:ind w:left="660" w:right="280" w:hanging="328"/>
        <w:spacing w:after="0" w:line="25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"constant currency" defined as financial results adjusted for foreign currency translation impacts by translating current period and prior period activity using the same currency conversion rate. This approach is used for countries whose functional currency is not the U.S. Dollar.</w:t>
      </w:r>
    </w:p>
    <w:p>
      <w:pPr>
        <w:spacing w:after="0" w:line="93" w:lineRule="exact"/>
        <w:rPr>
          <w:rFonts w:ascii="Arial" w:cs="Arial" w:eastAsia="Arial" w:hAnsi="Arial"/>
          <w:sz w:val="18"/>
          <w:szCs w:val="18"/>
          <w:color w:val="auto"/>
        </w:rPr>
      </w:pPr>
    </w:p>
    <w:p>
      <w:pPr>
        <w:ind w:left="660" w:right="160" w:hanging="328"/>
        <w:spacing w:after="0" w:line="25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net income" and "adjusted earnings per share" defined as net income and earnings per share, respectively, adjusted to exclude restructuring and realignment costs, special charges, gain or loss from sale of businesses and tax-related special items, as applicable. A reconciliation of adjusted net income and adjusted earnings per share is provided below.</w:t>
      </w:r>
    </w:p>
    <w:p>
      <w:pPr>
        <w:spacing w:after="0" w:line="14"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4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left="1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00" w:type="dxa"/>
            <w:vAlign w:val="bottom"/>
          </w:tcPr>
          <w:p>
            <w:pPr>
              <w:spacing w:after="0"/>
              <w:rPr>
                <w:sz w:val="20"/>
                <w:szCs w:val="20"/>
                <w:color w:val="auto"/>
              </w:rPr>
            </w:pPr>
            <w:r>
              <w:rPr>
                <w:rFonts w:ascii="Arial" w:cs="Arial" w:eastAsia="Arial" w:hAnsi="Arial"/>
                <w:sz w:val="14"/>
                <w:szCs w:val="14"/>
                <w:color w:val="auto"/>
              </w:rPr>
              <w:t>(In millions, except for per share data)</w:t>
            </w:r>
          </w:p>
        </w:tc>
        <w:tc>
          <w:tcPr>
            <w:tcW w:w="380" w:type="dxa"/>
            <w:vAlign w:val="bottom"/>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2020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2020</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120"/>
              <w:spacing w:after="0"/>
              <w:rPr>
                <w:sz w:val="20"/>
                <w:szCs w:val="20"/>
                <w:color w:val="auto"/>
              </w:rPr>
            </w:pPr>
            <w:r>
              <w:rPr>
                <w:rFonts w:ascii="Arial" w:cs="Arial" w:eastAsia="Arial" w:hAnsi="Arial"/>
                <w:sz w:val="18"/>
                <w:szCs w:val="18"/>
                <w:b w:val="1"/>
                <w:bCs w:val="1"/>
                <w:color w:val="auto"/>
              </w:rPr>
              <w:t>Net income &amp; Earnings per share</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0.63</w:t>
            </w: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0.20</w:t>
            </w: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314$</w:t>
            </w:r>
          </w:p>
        </w:tc>
        <w:tc>
          <w:tcPr>
            <w:tcW w:w="780" w:type="dxa"/>
            <w:vAlign w:val="bottom"/>
            <w:gridSpan w:val="2"/>
          </w:tcPr>
          <w:p>
            <w:pPr>
              <w:jc w:val="center"/>
              <w:ind w:left="213"/>
              <w:spacing w:after="0"/>
              <w:rPr>
                <w:sz w:val="20"/>
                <w:szCs w:val="20"/>
                <w:color w:val="auto"/>
              </w:rPr>
            </w:pPr>
            <w:r>
              <w:rPr>
                <w:rFonts w:ascii="Arial" w:cs="Arial" w:eastAsia="Arial" w:hAnsi="Arial"/>
                <w:sz w:val="18"/>
                <w:szCs w:val="18"/>
                <w:b w:val="1"/>
                <w:bCs w:val="1"/>
                <w:color w:val="auto"/>
                <w:w w:val="79"/>
              </w:rPr>
              <w:t>1.73</w:t>
            </w: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73"/>
              </w:rPr>
              <w:t>106$</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188"/>
        </w:trPr>
        <w:tc>
          <w:tcPr>
            <w:tcW w:w="448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Restructuring and realignment, net of tax of $1 and $4</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6"/>
                <w:szCs w:val="16"/>
                <w:color w:val="auto"/>
              </w:rPr>
            </w:pPr>
          </w:p>
        </w:tc>
        <w:tc>
          <w:tcPr>
            <w:tcW w:w="1160" w:type="dxa"/>
            <w:vAlign w:val="bottom"/>
            <w:gridSpan w:val="3"/>
            <w:vMerge w:val="restart"/>
          </w:tcPr>
          <w:p>
            <w:pPr>
              <w:jc w:val="right"/>
              <w:ind w:right="5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w:t>
            </w:r>
          </w:p>
        </w:tc>
        <w:tc>
          <w:tcPr>
            <w:tcW w:w="780" w:type="dxa"/>
            <w:vAlign w:val="bottom"/>
            <w:gridSpan w:val="2"/>
            <w:vMerge w:val="restart"/>
          </w:tcPr>
          <w:p>
            <w:pPr>
              <w:jc w:val="center"/>
              <w:ind w:left="213"/>
              <w:spacing w:after="0"/>
              <w:rPr>
                <w:sz w:val="20"/>
                <w:szCs w:val="20"/>
                <w:color w:val="auto"/>
              </w:rPr>
            </w:pPr>
            <w:r>
              <w:rPr>
                <w:rFonts w:ascii="Arial" w:cs="Arial" w:eastAsia="Arial" w:hAnsi="Arial"/>
                <w:sz w:val="18"/>
                <w:szCs w:val="18"/>
                <w:b w:val="1"/>
                <w:bCs w:val="1"/>
                <w:color w:val="auto"/>
              </w:rPr>
              <w:t>0.07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00" w:type="dxa"/>
            <w:vAlign w:val="bottom"/>
          </w:tcPr>
          <w:p>
            <w:pPr>
              <w:ind w:left="440"/>
              <w:spacing w:after="0"/>
              <w:rPr>
                <w:sz w:val="20"/>
                <w:szCs w:val="20"/>
                <w:color w:val="auto"/>
              </w:rPr>
            </w:pPr>
            <w:r>
              <w:rPr>
                <w:rFonts w:ascii="Arial" w:cs="Arial" w:eastAsia="Arial" w:hAnsi="Arial"/>
                <w:sz w:val="18"/>
                <w:szCs w:val="18"/>
                <w:color w:val="auto"/>
              </w:rPr>
              <w:t>for 2021 and $3 and $15 for 2020</w:t>
            </w:r>
          </w:p>
        </w:tc>
        <w:tc>
          <w:tcPr>
            <w:tcW w:w="3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188"/>
        </w:trPr>
        <w:tc>
          <w:tcPr>
            <w:tcW w:w="448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Special charges, net of tax of $0 and $1 for 2021 and</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0.01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780" w:type="dxa"/>
            <w:vAlign w:val="bottom"/>
            <w:gridSpan w:val="2"/>
            <w:vMerge w:val="restart"/>
          </w:tcPr>
          <w:p>
            <w:pPr>
              <w:jc w:val="center"/>
              <w:ind w:left="213"/>
              <w:spacing w:after="0"/>
              <w:rPr>
                <w:sz w:val="20"/>
                <w:szCs w:val="20"/>
                <w:color w:val="auto"/>
              </w:rPr>
            </w:pPr>
            <w:r>
              <w:rPr>
                <w:rFonts w:ascii="Arial" w:cs="Arial" w:eastAsia="Arial" w:hAnsi="Arial"/>
                <w:sz w:val="18"/>
                <w:szCs w:val="18"/>
                <w:b w:val="1"/>
                <w:bCs w:val="1"/>
                <w:color w:val="auto"/>
              </w:rPr>
              <w:t>0.04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00" w:type="dxa"/>
            <w:vAlign w:val="bottom"/>
          </w:tcPr>
          <w:p>
            <w:pPr>
              <w:ind w:left="440"/>
              <w:spacing w:after="0"/>
              <w:rPr>
                <w:sz w:val="20"/>
                <w:szCs w:val="20"/>
                <w:color w:val="auto"/>
              </w:rPr>
            </w:pPr>
            <w:r>
              <w:rPr>
                <w:rFonts w:ascii="Arial" w:cs="Arial" w:eastAsia="Arial" w:hAnsi="Arial"/>
                <w:sz w:val="18"/>
                <w:szCs w:val="18"/>
                <w:color w:val="auto"/>
              </w:rPr>
              <w:t>$6 and $9 for 2020</w:t>
            </w:r>
          </w:p>
        </w:tc>
        <w:tc>
          <w:tcPr>
            <w:tcW w:w="3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29"/>
        </w:trPr>
        <w:tc>
          <w:tcPr>
            <w:tcW w:w="4100" w:type="dxa"/>
            <w:vAlign w:val="bottom"/>
          </w:tcPr>
          <w:p>
            <w:pPr>
              <w:ind w:left="120"/>
              <w:spacing w:after="0"/>
              <w:rPr>
                <w:sz w:val="20"/>
                <w:szCs w:val="20"/>
                <w:color w:val="auto"/>
              </w:rPr>
            </w:pPr>
            <w:r>
              <w:rPr>
                <w:rFonts w:ascii="Arial" w:cs="Arial" w:eastAsia="Arial" w:hAnsi="Arial"/>
                <w:sz w:val="18"/>
                <w:szCs w:val="18"/>
                <w:color w:val="auto"/>
              </w:rPr>
              <w:t>Tax-related special items</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(0.01)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780" w:type="dxa"/>
            <w:vAlign w:val="bottom"/>
            <w:gridSpan w:val="2"/>
          </w:tcPr>
          <w:p>
            <w:pPr>
              <w:jc w:val="center"/>
              <w:ind w:left="213"/>
              <w:spacing w:after="0"/>
              <w:rPr>
                <w:sz w:val="20"/>
                <w:szCs w:val="20"/>
                <w:color w:val="auto"/>
              </w:rPr>
            </w:pPr>
            <w:r>
              <w:rPr>
                <w:rFonts w:ascii="Arial" w:cs="Arial" w:eastAsia="Arial" w:hAnsi="Arial"/>
                <w:sz w:val="18"/>
                <w:szCs w:val="18"/>
                <w:b w:val="1"/>
                <w:bCs w:val="1"/>
                <w:color w:val="auto"/>
              </w:rPr>
              <w:t>0.03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4480" w:type="dxa"/>
            <w:vAlign w:val="bottom"/>
            <w:gridSpan w:val="2"/>
          </w:tcPr>
          <w:p>
            <w:pPr>
              <w:ind w:left="120"/>
              <w:spacing w:after="0"/>
              <w:rPr>
                <w:sz w:val="20"/>
                <w:szCs w:val="20"/>
                <w:color w:val="auto"/>
              </w:rPr>
            </w:pPr>
            <w:r>
              <w:rPr>
                <w:rFonts w:ascii="Arial" w:cs="Arial" w:eastAsia="Arial" w:hAnsi="Arial"/>
                <w:sz w:val="18"/>
                <w:szCs w:val="18"/>
                <w:color w:val="auto"/>
              </w:rPr>
              <w:t>Gain from sale of business, net of tax of $0 for 2021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center"/>
              <w:ind w:left="79"/>
              <w:spacing w:after="0"/>
              <w:rPr>
                <w:sz w:val="20"/>
                <w:szCs w:val="20"/>
                <w:color w:val="auto"/>
              </w:rPr>
            </w:pPr>
            <w:r>
              <w:rPr>
                <w:rFonts w:ascii="Arial" w:cs="Arial" w:eastAsia="Arial" w:hAnsi="Arial"/>
                <w:sz w:val="18"/>
                <w:szCs w:val="18"/>
                <w:b w:val="1"/>
                <w:bCs w:val="1"/>
                <w:color w:val="auto"/>
                <w:w w:val="97"/>
              </w:rPr>
              <w:t>(0.01)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4100" w:type="dxa"/>
            <w:vAlign w:val="bottom"/>
          </w:tcPr>
          <w:p>
            <w:pPr>
              <w:ind w:left="120"/>
              <w:spacing w:after="0" w:line="156" w:lineRule="exact"/>
              <w:rPr>
                <w:sz w:val="20"/>
                <w:szCs w:val="20"/>
                <w:color w:val="auto"/>
              </w:rPr>
            </w:pPr>
            <w:r>
              <w:rPr>
                <w:rFonts w:ascii="Arial" w:cs="Arial" w:eastAsia="Arial" w:hAnsi="Arial"/>
                <w:sz w:val="18"/>
                <w:szCs w:val="18"/>
                <w:b w:val="1"/>
                <w:bCs w:val="1"/>
                <w:color w:val="auto"/>
              </w:rPr>
              <w:t>Adjusted net income &amp; Adjusted earnings per</w:t>
            </w:r>
          </w:p>
        </w:tc>
        <w:tc>
          <w:tcPr>
            <w:tcW w:w="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116$</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0.63</w:t>
            </w: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79"/>
              </w:rPr>
              <w:t>114$</w:t>
            </w: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0.62</w:t>
            </w:r>
            <w:r>
              <w:rPr>
                <w:rFonts w:ascii="Arial" w:cs="Arial" w:eastAsia="Arial" w:hAnsi="Arial"/>
                <w:sz w:val="18"/>
                <w:szCs w:val="18"/>
                <w:b w:val="1"/>
                <w:bCs w:val="1"/>
                <w:color w:val="auto"/>
              </w:rPr>
              <w:t>$</w:t>
            </w: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337$</w:t>
            </w:r>
          </w:p>
        </w:tc>
        <w:tc>
          <w:tcPr>
            <w:tcW w:w="780" w:type="dxa"/>
            <w:vAlign w:val="bottom"/>
            <w:gridSpan w:val="2"/>
            <w:vMerge w:val="restart"/>
          </w:tcPr>
          <w:p>
            <w:pPr>
              <w:jc w:val="center"/>
              <w:ind w:left="213"/>
              <w:spacing w:after="0"/>
              <w:rPr>
                <w:sz w:val="20"/>
                <w:szCs w:val="20"/>
                <w:color w:val="auto"/>
              </w:rPr>
            </w:pPr>
            <w:r>
              <w:rPr>
                <w:rFonts w:ascii="Arial" w:cs="Arial" w:eastAsia="Arial" w:hAnsi="Arial"/>
                <w:sz w:val="18"/>
                <w:szCs w:val="18"/>
                <w:b w:val="1"/>
                <w:bCs w:val="1"/>
                <w:color w:val="auto"/>
                <w:w w:val="79"/>
              </w:rPr>
              <w:t>1.86</w:t>
            </w:r>
            <w:r>
              <w:rPr>
                <w:rFonts w:ascii="Arial" w:cs="Arial" w:eastAsia="Arial" w:hAnsi="Arial"/>
                <w:sz w:val="18"/>
                <w:szCs w:val="18"/>
                <w:color w:val="auto"/>
                <w:w w:val="79"/>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Arial" w:cs="Arial" w:eastAsia="Arial" w:hAnsi="Arial"/>
                <w:sz w:val="17"/>
                <w:szCs w:val="17"/>
                <w:color w:val="auto"/>
                <w:w w:val="73"/>
              </w:rPr>
              <w:t>229$</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3"/>
        </w:trPr>
        <w:tc>
          <w:tcPr>
            <w:tcW w:w="4100" w:type="dxa"/>
            <w:vAlign w:val="bottom"/>
          </w:tcPr>
          <w:p>
            <w:pPr>
              <w:ind w:left="440"/>
              <w:spacing w:after="0" w:line="202" w:lineRule="exact"/>
              <w:rPr>
                <w:sz w:val="20"/>
                <w:szCs w:val="20"/>
                <w:color w:val="auto"/>
              </w:rPr>
            </w:pPr>
            <w:r>
              <w:rPr>
                <w:rFonts w:ascii="Arial" w:cs="Arial" w:eastAsia="Arial" w:hAnsi="Arial"/>
                <w:sz w:val="18"/>
                <w:szCs w:val="18"/>
                <w:b w:val="1"/>
                <w:bCs w:val="1"/>
                <w:color w:val="auto"/>
              </w:rPr>
              <w:t>share</w:t>
            </w:r>
          </w:p>
        </w:tc>
        <w:tc>
          <w:tcPr>
            <w:tcW w:w="3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-1233805</wp:posOffset>
            </wp:positionV>
            <wp:extent cx="672084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20840" cy="15430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-822325</wp:posOffset>
            </wp:positionV>
            <wp:extent cx="6720840" cy="2571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20840" cy="25717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-419735</wp:posOffset>
            </wp:positionV>
            <wp:extent cx="672084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20840"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660" w:right="24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operating expenses" defined as operating expenses adjusted to exclude restructuring and realignment costs and special charges.</w:t>
      </w:r>
    </w:p>
    <w:p>
      <w:pPr>
        <w:spacing w:after="0" w:line="89" w:lineRule="exact"/>
        <w:rPr>
          <w:rFonts w:ascii="Arial" w:cs="Arial" w:eastAsia="Arial" w:hAnsi="Arial"/>
          <w:sz w:val="18"/>
          <w:szCs w:val="18"/>
          <w:color w:val="auto"/>
        </w:rPr>
      </w:pPr>
    </w:p>
    <w:p>
      <w:pPr>
        <w:ind w:left="660" w:right="5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operating income" defined as operating income, adjusted to exclude restructuring and realignment costs and special charges, and "adjusted operating margin" defined as adjusted operating income divided by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p>
      <w:pPr>
        <w:ind w:left="328" w:right="220" w:hanging="328"/>
        <w:spacing w:after="0" w:line="254"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and amortization expense "EBITDA margin" defined as EBITDA divided by total revenue, "adjusted EBITDA" reflects the adjustment to EBITDA to exclude share-based compensation charges, restructuring and realignment costs, special charges and gain or loss from sale of businesses, and "adjusted EBITDA margin" defined as adjusted EBITDA divided by total revenue.</w:t>
      </w:r>
    </w:p>
    <w:p>
      <w:pPr>
        <w:spacing w:after="0" w:line="16" w:lineRule="exact"/>
        <w:rPr>
          <w:sz w:val="20"/>
          <w:szCs w:val="20"/>
          <w:color w:val="auto"/>
        </w:rPr>
      </w:pPr>
    </w:p>
    <w:tbl>
      <w:tblPr>
        <w:tblLayout w:type="fixed"/>
        <w:tblInd w:w="28" w:type="dxa"/>
        <w:tblCellMar>
          <w:top w:w="0" w:type="dxa"/>
          <w:left w:w="0" w:type="dxa"/>
          <w:bottom w:w="0" w:type="dxa"/>
          <w:right w:w="0" w:type="dxa"/>
        </w:tblCellMar>
      </w:tblPr>
      <w:tr>
        <w:trPr>
          <w:trHeight w:val="189"/>
        </w:trPr>
        <w:tc>
          <w:tcPr>
            <w:tcW w:w="3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4"/>
          </w:tcPr>
          <w:p>
            <w:pPr>
              <w:jc w:val="center"/>
              <w:ind w:left="128"/>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6"/>
                <w:szCs w:val="16"/>
                <w:color w:val="auto"/>
              </w:rPr>
            </w:pPr>
          </w:p>
        </w:tc>
      </w:tr>
      <w:tr>
        <w:trPr>
          <w:trHeight w:val="189"/>
        </w:trPr>
        <w:tc>
          <w:tcPr>
            <w:tcW w:w="3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r>
      <w:tr>
        <w:trPr>
          <w:trHeight w:val="183"/>
        </w:trPr>
        <w:tc>
          <w:tcPr>
            <w:tcW w:w="33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400" w:type="dxa"/>
            <w:vAlign w:val="bottom"/>
            <w:gridSpan w:val="3"/>
          </w:tcPr>
          <w:p>
            <w:pPr>
              <w:jc w:val="right"/>
              <w:ind w:right="100"/>
              <w:spacing w:after="0"/>
              <w:rPr>
                <w:sz w:val="20"/>
                <w:szCs w:val="20"/>
                <w:color w:val="auto"/>
              </w:rPr>
            </w:pPr>
            <w:r>
              <w:rPr>
                <w:rFonts w:ascii="Arial" w:cs="Arial" w:eastAsia="Arial" w:hAnsi="Arial"/>
                <w:sz w:val="14"/>
                <w:szCs w:val="14"/>
                <w:color w:val="auto"/>
              </w:rPr>
              <w:t>2020</w:t>
            </w: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400" w:type="dxa"/>
            <w:vAlign w:val="bottom"/>
            <w:gridSpan w:val="3"/>
          </w:tcPr>
          <w:p>
            <w:pPr>
              <w:jc w:val="right"/>
              <w:ind w:right="80"/>
              <w:spacing w:after="0"/>
              <w:rPr>
                <w:sz w:val="20"/>
                <w:szCs w:val="20"/>
                <w:color w:val="auto"/>
              </w:rPr>
            </w:pPr>
            <w:r>
              <w:rPr>
                <w:rFonts w:ascii="Arial" w:cs="Arial" w:eastAsia="Arial" w:hAnsi="Arial"/>
                <w:sz w:val="14"/>
                <w:szCs w:val="14"/>
                <w:color w:val="auto"/>
              </w:rPr>
              <w:t>2020</w:t>
            </w:r>
          </w:p>
        </w:tc>
        <w:tc>
          <w:tcPr>
            <w:tcW w:w="520" w:type="dxa"/>
            <w:vAlign w:val="bottom"/>
          </w:tcPr>
          <w:p>
            <w:pPr>
              <w:spacing w:after="0"/>
              <w:rPr>
                <w:sz w:val="15"/>
                <w:szCs w:val="15"/>
                <w:color w:val="auto"/>
              </w:rPr>
            </w:pPr>
          </w:p>
        </w:tc>
      </w:tr>
      <w:tr>
        <w:trPr>
          <w:trHeight w:val="223"/>
        </w:trPr>
        <w:tc>
          <w:tcPr>
            <w:tcW w:w="336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 Income</w:t>
            </w:r>
          </w:p>
        </w:tc>
        <w:tc>
          <w:tcPr>
            <w:tcW w:w="1080" w:type="dxa"/>
            <w:vAlign w:val="bottom"/>
          </w:tcPr>
          <w:p>
            <w:pPr>
              <w:jc w:val="right"/>
              <w:ind w:right="114"/>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114</w:t>
            </w: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314</w:t>
            </w: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3360" w:type="dxa"/>
            <w:vAlign w:val="bottom"/>
            <w:gridSpan w:val="2"/>
          </w:tcPr>
          <w:p>
            <w:pPr>
              <w:ind w:left="200"/>
              <w:spacing w:after="0"/>
              <w:rPr>
                <w:sz w:val="20"/>
                <w:szCs w:val="20"/>
                <w:color w:val="auto"/>
              </w:rPr>
            </w:pPr>
            <w:r>
              <w:rPr>
                <w:rFonts w:ascii="Arial" w:cs="Arial" w:eastAsia="Arial" w:hAnsi="Arial"/>
                <w:sz w:val="18"/>
                <w:szCs w:val="18"/>
                <w:color w:val="auto"/>
              </w:rPr>
              <w:t>Income tax expense</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30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336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30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3360" w:type="dxa"/>
            <w:vAlign w:val="bottom"/>
            <w:gridSpan w:val="2"/>
          </w:tcPr>
          <w:p>
            <w:pPr>
              <w:ind w:left="120"/>
              <w:spacing w:after="0"/>
              <w:rPr>
                <w:sz w:val="20"/>
                <w:szCs w:val="20"/>
                <w:color w:val="auto"/>
              </w:rPr>
            </w:pPr>
            <w:r>
              <w:rPr>
                <w:rFonts w:ascii="Arial" w:cs="Arial" w:eastAsia="Arial" w:hAnsi="Arial"/>
                <w:sz w:val="18"/>
                <w:szCs w:val="18"/>
                <w:b w:val="1"/>
                <w:bCs w:val="1"/>
                <w:color w:val="auto"/>
              </w:rPr>
              <w:t>EBITDA</w:t>
            </w:r>
          </w:p>
        </w:tc>
        <w:tc>
          <w:tcPr>
            <w:tcW w:w="1080" w:type="dxa"/>
            <w:vAlign w:val="bottom"/>
          </w:tcPr>
          <w:p>
            <w:pPr>
              <w:jc w:val="right"/>
              <w:ind w:right="114"/>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w:t>
            </w: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629</w:t>
            </w: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r>
      <w:tr>
        <w:trPr>
          <w:trHeight w:val="223"/>
        </w:trPr>
        <w:tc>
          <w:tcPr>
            <w:tcW w:w="3360" w:type="dxa"/>
            <w:vAlign w:val="bottom"/>
            <w:gridSpan w:val="2"/>
          </w:tcPr>
          <w:p>
            <w:pPr>
              <w:ind w:left="120"/>
              <w:spacing w:after="0"/>
              <w:rPr>
                <w:sz w:val="20"/>
                <w:szCs w:val="20"/>
                <w:color w:val="auto"/>
              </w:rPr>
            </w:pPr>
            <w:r>
              <w:rPr>
                <w:rFonts w:ascii="Arial" w:cs="Arial" w:eastAsia="Arial" w:hAnsi="Arial"/>
                <w:sz w:val="18"/>
                <w:szCs w:val="18"/>
                <w:b w:val="1"/>
                <w:bCs w:val="1"/>
                <w:color w:val="auto"/>
              </w:rPr>
              <w:t>EBITDA Margin</w:t>
            </w:r>
          </w:p>
        </w:tc>
        <w:tc>
          <w:tcPr>
            <w:tcW w:w="10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w:t>
            </w:r>
          </w:p>
        </w:tc>
        <w:tc>
          <w:tcPr>
            <w:tcW w:w="1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10.%9</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w:t>
            </w:r>
          </w:p>
        </w:tc>
        <w:tc>
          <w:tcPr>
            <w:tcW w:w="1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10.%5</w:t>
            </w:r>
          </w:p>
        </w:tc>
      </w:tr>
      <w:tr>
        <w:trPr>
          <w:trHeight w:val="223"/>
        </w:trPr>
        <w:tc>
          <w:tcPr>
            <w:tcW w:w="3360" w:type="dxa"/>
            <w:vAlign w:val="bottom"/>
            <w:gridSpan w:val="2"/>
          </w:tcPr>
          <w:p>
            <w:pPr>
              <w:ind w:left="200"/>
              <w:spacing w:after="0"/>
              <w:rPr>
                <w:sz w:val="20"/>
                <w:szCs w:val="20"/>
                <w:color w:val="auto"/>
              </w:rPr>
            </w:pPr>
            <w:r>
              <w:rPr>
                <w:rFonts w:ascii="Arial" w:cs="Arial" w:eastAsia="Arial" w:hAnsi="Arial"/>
                <w:sz w:val="18"/>
                <w:szCs w:val="18"/>
                <w:color w:val="auto"/>
              </w:rPr>
              <w:t>Share-based compensation</w:t>
            </w:r>
          </w:p>
        </w:tc>
        <w:tc>
          <w:tcPr>
            <w:tcW w:w="1080" w:type="dxa"/>
            <w:vAlign w:val="bottom"/>
          </w:tcPr>
          <w:p>
            <w:pPr>
              <w:jc w:val="right"/>
              <w:ind w:right="114"/>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25</w:t>
            </w: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30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realignment</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3360" w:type="dxa"/>
            <w:vAlign w:val="bottom"/>
            <w:gridSpan w:val="2"/>
          </w:tcPr>
          <w:p>
            <w:pPr>
              <w:ind w:left="200"/>
              <w:spacing w:after="0"/>
              <w:rPr>
                <w:sz w:val="20"/>
                <w:szCs w:val="20"/>
                <w:color w:val="auto"/>
              </w:rPr>
            </w:pPr>
            <w:r>
              <w:rPr>
                <w:rFonts w:ascii="Arial" w:cs="Arial" w:eastAsia="Arial" w:hAnsi="Arial"/>
                <w:sz w:val="18"/>
                <w:szCs w:val="18"/>
                <w:color w:val="auto"/>
              </w:rPr>
              <w:t>Special charges</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3360" w:type="dxa"/>
            <w:vAlign w:val="bottom"/>
            <w:gridSpan w:val="2"/>
          </w:tcPr>
          <w:p>
            <w:pPr>
              <w:ind w:left="200"/>
              <w:spacing w:after="0"/>
              <w:rPr>
                <w:sz w:val="20"/>
                <w:szCs w:val="20"/>
                <w:color w:val="auto"/>
              </w:rPr>
            </w:pPr>
            <w:r>
              <w:rPr>
                <w:rFonts w:ascii="Arial" w:cs="Arial" w:eastAsia="Arial" w:hAnsi="Arial"/>
                <w:sz w:val="18"/>
                <w:szCs w:val="18"/>
                <w:color w:val="auto"/>
              </w:rPr>
              <w:t>Gain from sale of business</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0" w:type="dxa"/>
            <w:vAlign w:val="bottom"/>
            <w:gridSpan w:val="3"/>
          </w:tcPr>
          <w:p>
            <w:pPr>
              <w:jc w:val="right"/>
              <w:ind w:right="8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tcPr>
          <w:p>
            <w:pPr>
              <w:jc w:val="right"/>
              <w:ind w:right="70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360" w:type="dxa"/>
            <w:vAlign w:val="bottom"/>
            <w:gridSpan w:val="2"/>
          </w:tcPr>
          <w:p>
            <w:pPr>
              <w:ind w:left="120"/>
              <w:spacing w:after="0"/>
              <w:rPr>
                <w:sz w:val="20"/>
                <w:szCs w:val="20"/>
                <w:color w:val="auto"/>
              </w:rPr>
            </w:pPr>
            <w:r>
              <w:rPr>
                <w:rFonts w:ascii="Arial" w:cs="Arial" w:eastAsia="Arial" w:hAnsi="Arial"/>
                <w:sz w:val="18"/>
                <w:szCs w:val="18"/>
                <w:b w:val="1"/>
                <w:bCs w:val="1"/>
                <w:color w:val="auto"/>
              </w:rPr>
              <w:t>Adjusted EBITDA</w:t>
            </w:r>
          </w:p>
        </w:tc>
        <w:tc>
          <w:tcPr>
            <w:tcW w:w="1080" w:type="dxa"/>
            <w:vAlign w:val="bottom"/>
          </w:tcPr>
          <w:p>
            <w:pPr>
              <w:jc w:val="right"/>
              <w:ind w:right="114"/>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227</w:t>
            </w: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676</w:t>
            </w: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w:t>
            </w:r>
          </w:p>
        </w:tc>
      </w:tr>
      <w:tr>
        <w:trPr>
          <w:trHeight w:val="248"/>
        </w:trPr>
        <w:tc>
          <w:tcPr>
            <w:tcW w:w="300" w:type="dxa"/>
            <w:vAlign w:val="bottom"/>
          </w:tcPr>
          <w:p>
            <w:pPr>
              <w:spacing w:after="0"/>
              <w:rPr>
                <w:sz w:val="21"/>
                <w:szCs w:val="21"/>
                <w:color w:val="auto"/>
              </w:rPr>
            </w:pPr>
          </w:p>
        </w:tc>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15.%3</w:t>
            </w:r>
          </w:p>
        </w:tc>
      </w:tr>
      <w:tr>
        <w:trPr>
          <w:trHeight w:val="20"/>
        </w:trPr>
        <w:tc>
          <w:tcPr>
            <w:tcW w:w="30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-1979295</wp:posOffset>
            </wp:positionV>
            <wp:extent cx="589788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97880" cy="15430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-1087755</wp:posOffset>
            </wp:positionV>
            <wp:extent cx="589788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97880" cy="15430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-487680</wp:posOffset>
            </wp:positionV>
            <wp:extent cx="589788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97880" cy="14541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28" w:right="320" w:hanging="328"/>
        <w:spacing w:after="0" w:line="261" w:lineRule="auto"/>
        <w:tabs>
          <w:tab w:leader="none" w:pos="3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“realignment costs” defined as costs not included in restructuring costs that are incurred as part of actions taken to reposition our business, including items such as professional fees, severance, relocation, travel, facility set-up and other costs.</w:t>
      </w:r>
    </w:p>
    <w:p>
      <w:pPr>
        <w:spacing w:after="0" w:line="89" w:lineRule="exact"/>
        <w:rPr>
          <w:rFonts w:ascii="Arial" w:cs="Arial" w:eastAsia="Arial" w:hAnsi="Arial"/>
          <w:sz w:val="18"/>
          <w:szCs w:val="18"/>
          <w:color w:val="auto"/>
        </w:rPr>
      </w:pPr>
    </w:p>
    <w:p>
      <w:pPr>
        <w:ind w:left="328" w:right="60" w:hanging="328"/>
        <w:spacing w:after="0" w:line="261" w:lineRule="auto"/>
        <w:tabs>
          <w:tab w:leader="none" w:pos="3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“special charges" defined as costs incurred by the Company, such as acquisition and integration related costs, non-cash impairment charges and both operating and non-operating adjustments for pension costs.</w:t>
      </w:r>
    </w:p>
    <w:p>
      <w:pPr>
        <w:spacing w:after="0" w:line="89" w:lineRule="exact"/>
        <w:rPr>
          <w:rFonts w:ascii="Arial" w:cs="Arial" w:eastAsia="Arial" w:hAnsi="Arial"/>
          <w:sz w:val="18"/>
          <w:szCs w:val="18"/>
          <w:color w:val="auto"/>
        </w:rPr>
      </w:pPr>
    </w:p>
    <w:p>
      <w:pPr>
        <w:ind w:left="328" w:right="480" w:hanging="328"/>
        <w:spacing w:after="0" w:line="261" w:lineRule="auto"/>
        <w:tabs>
          <w:tab w:leader="none" w:pos="3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"tax-related special items" defined as tax items, such as tax return versus tax provision adjustments, tax exam impacts, tax law change impacts, excess tax benefits/losses and other discrete tax adjustments.</w:t>
      </w:r>
    </w:p>
    <w:p>
      <w:pPr>
        <w:spacing w:after="0" w:line="103" w:lineRule="exact"/>
        <w:rPr>
          <w:rFonts w:ascii="Arial" w:cs="Arial" w:eastAsia="Arial" w:hAnsi="Arial"/>
          <w:sz w:val="18"/>
          <w:szCs w:val="18"/>
          <w:color w:val="auto"/>
        </w:rPr>
      </w:pPr>
    </w:p>
    <w:p>
      <w:pPr>
        <w:ind w:left="328" w:hanging="328"/>
        <w:spacing w:after="0" w:line="242" w:lineRule="auto"/>
        <w:tabs>
          <w:tab w:leader="none" w:pos="316" w:val="left"/>
        </w:tabs>
        <w:numPr>
          <w:ilvl w:val="0"/>
          <w:numId w:val="16"/>
        </w:numPr>
        <w:rPr>
          <w:rFonts w:ascii="Arial" w:cs="Arial" w:eastAsia="Arial" w:hAnsi="Arial"/>
          <w:sz w:val="20"/>
          <w:szCs w:val="20"/>
          <w:color w:val="auto"/>
        </w:rPr>
      </w:pPr>
      <w:r>
        <w:rPr>
          <w:rFonts w:ascii="Arial" w:cs="Arial" w:eastAsia="Arial" w:hAnsi="Arial"/>
          <w:sz w:val="18"/>
          <w:szCs w:val="18"/>
          <w:color w:val="auto"/>
        </w:rPr>
        <w:t>"free cash flow" defined as net cash from operating activities, as reported in the Condensed Consolidated Statement of Cash Flows, less capital expenditures. Our definition of "free cash flow" does not consider certain non-discretionary cash payments, such as debt. The following table provides a reconciliation of free cash flow.</w:t>
      </w:r>
    </w:p>
    <w:p>
      <w:pPr>
        <w:spacing w:after="0" w:line="27" w:lineRule="exact"/>
        <w:rPr>
          <w:sz w:val="20"/>
          <w:szCs w:val="20"/>
          <w:color w:val="auto"/>
        </w:rPr>
      </w:pPr>
    </w:p>
    <w:tbl>
      <w:tblPr>
        <w:tblLayout w:type="fixed"/>
        <w:tblInd w:w="28" w:type="dxa"/>
        <w:tblCellMar>
          <w:top w:w="0" w:type="dxa"/>
          <w:left w:w="0" w:type="dxa"/>
          <w:bottom w:w="0" w:type="dxa"/>
          <w:right w:w="0" w:type="dxa"/>
        </w:tblCellMar>
      </w:tblPr>
      <w:tr>
        <w:trPr>
          <w:trHeight w:val="189"/>
        </w:trPr>
        <w:tc>
          <w:tcPr>
            <w:tcW w:w="3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4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637"/>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440" w:type="dxa"/>
            <w:vAlign w:val="bottom"/>
          </w:tcPr>
          <w:p>
            <w:pPr>
              <w:spacing w:after="0"/>
              <w:rPr>
                <w:sz w:val="15"/>
                <w:szCs w:val="15"/>
                <w:color w:val="auto"/>
              </w:rPr>
            </w:pPr>
          </w:p>
        </w:tc>
        <w:tc>
          <w:tcPr>
            <w:tcW w:w="13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3"/>
        </w:trPr>
        <w:tc>
          <w:tcPr>
            <w:tcW w:w="534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 cash provided by operating activities</w:t>
            </w: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center"/>
              <w:ind w:left="817"/>
              <w:spacing w:after="0"/>
              <w:rPr>
                <w:sz w:val="20"/>
                <w:szCs w:val="20"/>
                <w:color w:val="auto"/>
              </w:rPr>
            </w:pPr>
            <w:r>
              <w:rPr>
                <w:rFonts w:ascii="Arial" w:cs="Arial" w:eastAsia="Arial" w:hAnsi="Arial"/>
                <w:sz w:val="18"/>
                <w:szCs w:val="18"/>
                <w:b w:val="1"/>
                <w:bCs w:val="1"/>
                <w:color w:val="auto"/>
                <w:w w:val="74"/>
              </w:rPr>
              <w:t>318</w:t>
            </w:r>
            <w:r>
              <w:rPr>
                <w:rFonts w:ascii="Arial" w:cs="Arial" w:eastAsia="Arial" w:hAnsi="Arial"/>
                <w:sz w:val="18"/>
                <w:szCs w:val="18"/>
                <w:color w:val="auto"/>
                <w:w w:val="74"/>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center"/>
              <w:ind w:left="513"/>
              <w:spacing w:after="0"/>
              <w:rPr>
                <w:sz w:val="20"/>
                <w:szCs w:val="20"/>
                <w:color w:val="auto"/>
              </w:rPr>
            </w:pPr>
            <w:r>
              <w:rPr>
                <w:rFonts w:ascii="Arial" w:cs="Arial" w:eastAsia="Arial" w:hAnsi="Arial"/>
                <w:sz w:val="18"/>
                <w:szCs w:val="18"/>
                <w:color w:val="auto"/>
                <w:w w:val="99"/>
              </w:rPr>
              <w:t>454</w:t>
            </w:r>
          </w:p>
        </w:tc>
        <w:tc>
          <w:tcPr>
            <w:tcW w:w="0" w:type="dxa"/>
            <w:vAlign w:val="bottom"/>
          </w:tcPr>
          <w:p>
            <w:pPr>
              <w:spacing w:after="0"/>
              <w:rPr>
                <w:sz w:val="1"/>
                <w:szCs w:val="1"/>
                <w:color w:val="auto"/>
              </w:rPr>
            </w:pPr>
          </w:p>
        </w:tc>
      </w:tr>
      <w:tr>
        <w:trPr>
          <w:trHeight w:val="229"/>
        </w:trPr>
        <w:tc>
          <w:tcPr>
            <w:tcW w:w="5340" w:type="dxa"/>
            <w:vAlign w:val="bottom"/>
            <w:gridSpan w:val="2"/>
          </w:tcPr>
          <w:p>
            <w:pPr>
              <w:ind w:left="120"/>
              <w:spacing w:after="0"/>
              <w:rPr>
                <w:sz w:val="20"/>
                <w:szCs w:val="20"/>
                <w:color w:val="auto"/>
              </w:rPr>
            </w:pPr>
            <w:r>
              <w:rPr>
                <w:rFonts w:ascii="Arial" w:cs="Arial" w:eastAsia="Arial" w:hAnsi="Arial"/>
                <w:sz w:val="18"/>
                <w:szCs w:val="18"/>
                <w:color w:val="auto"/>
              </w:rPr>
              <w:t>Capital expenditures</w:t>
            </w:r>
          </w:p>
        </w:tc>
        <w:tc>
          <w:tcPr>
            <w:tcW w:w="1440" w:type="dxa"/>
            <w:vAlign w:val="bottom"/>
          </w:tcPr>
          <w:p>
            <w:pPr>
              <w:spacing w:after="0"/>
              <w:rPr>
                <w:sz w:val="19"/>
                <w:szCs w:val="19"/>
                <w:color w:val="auto"/>
              </w:rPr>
            </w:pPr>
          </w:p>
        </w:tc>
        <w:tc>
          <w:tcPr>
            <w:tcW w:w="1360" w:type="dxa"/>
            <w:vAlign w:val="bottom"/>
          </w:tcPr>
          <w:p>
            <w:pPr>
              <w:jc w:val="center"/>
              <w:ind w:left="817"/>
              <w:spacing w:after="0"/>
              <w:rPr>
                <w:sz w:val="20"/>
                <w:szCs w:val="20"/>
                <w:color w:val="auto"/>
              </w:rPr>
            </w:pPr>
            <w:r>
              <w:rPr>
                <w:rFonts w:ascii="Arial" w:cs="Arial" w:eastAsia="Arial" w:hAnsi="Arial"/>
                <w:sz w:val="18"/>
                <w:szCs w:val="18"/>
                <w:b w:val="1"/>
                <w:bCs w:val="1"/>
                <w:color w:val="auto"/>
                <w:w w:val="99"/>
              </w:rPr>
              <w:t>(127)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center"/>
              <w:ind w:left="473"/>
              <w:spacing w:after="0"/>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w:t>
            </w:r>
          </w:p>
        </w:tc>
        <w:tc>
          <w:tcPr>
            <w:tcW w:w="144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center"/>
              <w:ind w:left="817"/>
              <w:spacing w:after="0"/>
              <w:rPr>
                <w:sz w:val="20"/>
                <w:szCs w:val="20"/>
                <w:color w:val="auto"/>
              </w:rPr>
            </w:pPr>
            <w:r>
              <w:rPr>
                <w:rFonts w:ascii="Arial" w:cs="Arial" w:eastAsia="Arial" w:hAnsi="Arial"/>
                <w:sz w:val="18"/>
                <w:szCs w:val="18"/>
                <w:b w:val="1"/>
                <w:bCs w:val="1"/>
                <w:color w:val="auto"/>
                <w:w w:val="74"/>
              </w:rPr>
              <w:t>191</w:t>
            </w: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center"/>
              <w:ind w:left="513"/>
              <w:spacing w:after="0"/>
              <w:rPr>
                <w:sz w:val="20"/>
                <w:szCs w:val="20"/>
                <w:color w:val="auto"/>
              </w:rPr>
            </w:pPr>
            <w:r>
              <w:rPr>
                <w:rFonts w:ascii="Arial" w:cs="Arial" w:eastAsia="Arial" w:hAnsi="Arial"/>
                <w:sz w:val="18"/>
                <w:szCs w:val="18"/>
                <w:color w:val="auto"/>
                <w:w w:val="99"/>
              </w:rPr>
              <w:t>318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Net cash used by investing activities</w:t>
            </w:r>
          </w:p>
        </w:tc>
        <w:tc>
          <w:tcPr>
            <w:tcW w:w="14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gridSpan w:val="2"/>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360" w:type="dxa"/>
            <w:vAlign w:val="bottom"/>
          </w:tcPr>
          <w:p>
            <w:pPr>
              <w:jc w:val="center"/>
              <w:ind w:left="817"/>
              <w:spacing w:after="0" w:line="203" w:lineRule="exact"/>
              <w:rPr>
                <w:sz w:val="20"/>
                <w:szCs w:val="20"/>
                <w:color w:val="auto"/>
              </w:rPr>
            </w:pPr>
            <w:r>
              <w:rPr>
                <w:rFonts w:ascii="Arial" w:cs="Arial" w:eastAsia="Arial" w:hAnsi="Arial"/>
                <w:sz w:val="18"/>
                <w:szCs w:val="18"/>
                <w:b w:val="1"/>
                <w:bCs w:val="1"/>
                <w:color w:val="auto"/>
                <w:w w:val="80"/>
              </w:rPr>
              <w:t>(113)</w:t>
            </w:r>
            <w:r>
              <w:rPr>
                <w:rFonts w:ascii="Arial" w:cs="Arial" w:eastAsia="Arial" w:hAnsi="Arial"/>
                <w:sz w:val="18"/>
                <w:szCs w:val="18"/>
                <w:color w:val="auto"/>
                <w:w w:val="80"/>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center"/>
              <w:ind w:left="473"/>
              <w:spacing w:after="0" w:line="203" w:lineRule="exact"/>
              <w:rPr>
                <w:sz w:val="20"/>
                <w:szCs w:val="20"/>
                <w:color w:val="auto"/>
              </w:rPr>
            </w:pPr>
            <w:r>
              <w:rPr>
                <w:rFonts w:ascii="Arial" w:cs="Arial" w:eastAsia="Arial" w:hAnsi="Arial"/>
                <w:sz w:val="18"/>
                <w:szCs w:val="18"/>
                <w:color w:val="auto"/>
                <w:w w:val="99"/>
              </w:rPr>
              <w:t>(326)</w:t>
            </w:r>
          </w:p>
        </w:tc>
        <w:tc>
          <w:tcPr>
            <w:tcW w:w="0" w:type="dxa"/>
            <w:vAlign w:val="bottom"/>
          </w:tcPr>
          <w:p>
            <w:pPr>
              <w:spacing w:after="0"/>
              <w:rPr>
                <w:sz w:val="1"/>
                <w:szCs w:val="1"/>
                <w:color w:val="auto"/>
              </w:rPr>
            </w:pPr>
          </w:p>
        </w:tc>
      </w:tr>
      <w:tr>
        <w:trPr>
          <w:trHeight w:val="230"/>
        </w:trPr>
        <w:tc>
          <w:tcPr>
            <w:tcW w:w="534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 cash (used) provided by financing activities</w:t>
            </w: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center"/>
              <w:ind w:left="817"/>
              <w:spacing w:after="0"/>
              <w:rPr>
                <w:sz w:val="20"/>
                <w:szCs w:val="20"/>
                <w:color w:val="auto"/>
              </w:rPr>
            </w:pPr>
            <w:r>
              <w:rPr>
                <w:rFonts w:ascii="Arial" w:cs="Arial" w:eastAsia="Arial" w:hAnsi="Arial"/>
                <w:sz w:val="18"/>
                <w:szCs w:val="18"/>
                <w:b w:val="1"/>
                <w:bCs w:val="1"/>
                <w:color w:val="auto"/>
                <w:w w:val="80"/>
              </w:rPr>
              <w:t>(806)</w:t>
            </w:r>
            <w:r>
              <w:rPr>
                <w:rFonts w:ascii="Arial" w:cs="Arial" w:eastAsia="Arial" w:hAnsi="Arial"/>
                <w:sz w:val="18"/>
                <w:szCs w:val="18"/>
                <w:color w:val="auto"/>
                <w:w w:val="80"/>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center"/>
              <w:ind w:left="513"/>
              <w:spacing w:after="0"/>
              <w:rPr>
                <w:sz w:val="20"/>
                <w:szCs w:val="20"/>
                <w:color w:val="auto"/>
              </w:rPr>
            </w:pPr>
            <w:r>
              <w:rPr>
                <w:rFonts w:ascii="Arial" w:cs="Arial" w:eastAsia="Arial" w:hAnsi="Arial"/>
                <w:sz w:val="18"/>
                <w:szCs w:val="18"/>
                <w:color w:val="auto"/>
                <w:w w:val="99"/>
              </w:rPr>
              <w:t>550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-779145</wp:posOffset>
            </wp:positionV>
            <wp:extent cx="591502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15025" cy="15430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-145415</wp:posOffset>
            </wp:positionV>
            <wp:extent cx="591502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150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72"/>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57785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1111"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2021 Outlook</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are updating our anticipated total revenue growth to be in the range of 5% to 7% in 2021, with organic revenue growth anticipated to be in the range of 3% to 4%, including negative impacts due to the challenging supply chain environment. The following is a summary of our organic revenue outlook by end markets:</w:t>
      </w:r>
    </w:p>
    <w:p>
      <w:pPr>
        <w:spacing w:after="0" w:line="94" w:lineRule="exact"/>
        <w:rPr>
          <w:sz w:val="20"/>
          <w:szCs w:val="20"/>
          <w:color w:val="auto"/>
        </w:rPr>
      </w:pPr>
    </w:p>
    <w:p>
      <w:pPr>
        <w:ind w:left="660" w:right="20" w:hanging="328"/>
        <w:spacing w:after="0" w:line="252"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Utilities revenue increased by approximately 1% organically through the third quarter driven by strength in western Europe and the emerging markets, partially offset by weakness in North America. For 2021, we expect organic revenue to be essentially flat with continued resilience on the wastewater side, as utilities remain focused on mission-critical applications and anticipate modest growth on a global basis through the year. The timing of large clean water utility project deployments has been impacted by the global shortage of electronic components, which we expect to continue throughout the remainder of 2021. We anticipate that these deployments will ramp up when supply constraints ease based on our strong backlog position and orders momentum. Additionally, we expect healthy momentum in the test and treatment markets globally and increased demand for our smart water solution and digital offerings.</w:t>
      </w:r>
    </w:p>
    <w:p>
      <w:pPr>
        <w:spacing w:after="0" w:line="97" w:lineRule="exact"/>
        <w:rPr>
          <w:rFonts w:ascii="Arial" w:cs="Arial" w:eastAsia="Arial" w:hAnsi="Arial"/>
          <w:sz w:val="18"/>
          <w:szCs w:val="18"/>
          <w:color w:val="auto"/>
        </w:rPr>
      </w:pPr>
    </w:p>
    <w:p>
      <w:pPr>
        <w:ind w:left="660" w:hanging="328"/>
        <w:spacing w:after="0" w:line="25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Industrial revenue increased by approximately 14% organically through the third quarter driven by strong across all major geographic regions. For 2021, we expect organic revenue growth in the high-single-digit range as activity across all segments rebounds globally and our dewatering business continues to recover, especially in the emerging markets, as demand increases and site access restrictions continue to ease. We anticipate growth to continue in the remainder of the year led by the emerging markets and western Europe with North America modest lagging growth.</w:t>
      </w:r>
    </w:p>
    <w:p>
      <w:pPr>
        <w:spacing w:after="0" w:line="97" w:lineRule="exact"/>
        <w:rPr>
          <w:rFonts w:ascii="Arial" w:cs="Arial" w:eastAsia="Arial" w:hAnsi="Arial"/>
          <w:sz w:val="18"/>
          <w:szCs w:val="18"/>
          <w:color w:val="auto"/>
        </w:rPr>
      </w:pPr>
    </w:p>
    <w:p>
      <w:pPr>
        <w:ind w:left="660" w:right="260" w:hanging="328"/>
        <w:spacing w:after="0" w:line="25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commercial markets, organic revenue growth was approximately 9% through the third quarter driven by strength in the U.S. and the emerging markets. For 2021, we expect organic revenue growth in the mid to high-single-digit range. We expect replacement business in the U.S. to be solid during the year and anticipate continued healthy activity in Europe. We expect new construction activity in North America strengthening, through the year.</w:t>
      </w:r>
    </w:p>
    <w:p>
      <w:pPr>
        <w:spacing w:after="0" w:line="95" w:lineRule="exact"/>
        <w:rPr>
          <w:rFonts w:ascii="Arial" w:cs="Arial" w:eastAsia="Arial" w:hAnsi="Arial"/>
          <w:sz w:val="18"/>
          <w:szCs w:val="18"/>
          <w:color w:val="auto"/>
        </w:rPr>
      </w:pPr>
    </w:p>
    <w:p>
      <w:pPr>
        <w:ind w:left="660" w:right="20" w:hanging="328"/>
        <w:spacing w:after="0" w:line="25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residential markets, organic revenue growth was approximately 20% through the third quarter driven by strength in the emerging markets, North America and western Europe. This market is primarily driven by replacement revenue serviced through our distribution network. For 2021, we expect organic revenue growth in the low-teens, driven by healthy demand activity from increased residential users in the U.S. and western Europe. Additionally, we anticipate strong demand in China for secondary water supply product applications.</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will continue to strategically execute restructuring and realignment actions in an effort to optimize our cost structure, improve our operational efficiency and effectiveness, strengthen our competitive positioning and better serve our customers. During 2021, we expect to incur approximately $20 million in restructuring and realignment costs. We expect to realize approximately $35 million of net savings in 2021, consisting of approximately $33 million of incremental net savings from restructuring and realignment actions initiated in 2020, and approximately $2 million of net savings from the restructuring, realignment and other structural cost actions initiated during this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Results of Operations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4"/>
          </w:tcPr>
          <w:p>
            <w:pPr>
              <w:ind w:left="20"/>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1,265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3,872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3,503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b w:val="1"/>
                <w:bCs w:val="1"/>
                <w:color w:val="auto"/>
              </w:rPr>
              <w:t>472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1,482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Gross margin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 bp</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bp</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b w:val="1"/>
                <w:bCs w:val="1"/>
                <w:color w:val="auto"/>
              </w:rPr>
              <w:t>320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(17.5)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1,037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(650) bp</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(510) bp</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Restructuring and realignment costs</w:t>
            </w:r>
          </w:p>
        </w:tc>
        <w:tc>
          <w:tcPr>
            <w:tcW w:w="28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(86.7)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(76.1) %</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 charges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(98.6)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(96.3) %</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Adjusted operating expenses</w:t>
            </w:r>
          </w:p>
        </w:tc>
        <w:tc>
          <w:tcPr>
            <w:tcW w:w="28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b w:val="1"/>
                <w:bCs w:val="1"/>
                <w:color w:val="auto"/>
              </w:rPr>
              <w:t>317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1,018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75"/>
        </w:trPr>
        <w:tc>
          <w:tcPr>
            <w:tcW w:w="30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i w:val="1"/>
                <w:iCs w:val="1"/>
                <w:color w:val="auto"/>
              </w:rPr>
              <w:t>Adjusted operating expenses to</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25.1 %</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26.3 %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revenue ratio</w:t>
            </w: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bp</w:t>
            </w: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(130) bp</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b w:val="1"/>
                <w:bCs w:val="1"/>
                <w:color w:val="auto"/>
              </w:rPr>
              <w:t>152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108.2</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445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136.7</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Operating margin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bp</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bp</w:t>
            </w:r>
          </w:p>
        </w:tc>
        <w:tc>
          <w:tcPr>
            <w:tcW w:w="0" w:type="dxa"/>
            <w:vAlign w:val="bottom"/>
          </w:tcPr>
          <w:p>
            <w:pPr>
              <w:spacing w:after="0"/>
              <w:rPr>
                <w:sz w:val="1"/>
                <w:szCs w:val="1"/>
                <w:color w:val="auto"/>
              </w:rPr>
            </w:pPr>
          </w:p>
        </w:tc>
      </w:tr>
      <w:tr>
        <w:trPr>
          <w:trHeight w:val="188"/>
        </w:trPr>
        <w:tc>
          <w:tcPr>
            <w:tcW w:w="3080" w:type="dxa"/>
            <w:vAlign w:val="bottom"/>
          </w:tcPr>
          <w:p>
            <w:pPr>
              <w:ind w:left="140"/>
              <w:spacing w:after="0" w:line="189" w:lineRule="exact"/>
              <w:rPr>
                <w:sz w:val="20"/>
                <w:szCs w:val="20"/>
                <w:color w:val="auto"/>
              </w:rPr>
            </w:pPr>
            <w:r>
              <w:rPr>
                <w:rFonts w:ascii="Arial" w:cs="Arial" w:eastAsia="Arial" w:hAnsi="Arial"/>
                <w:sz w:val="18"/>
                <w:szCs w:val="18"/>
                <w:color w:val="auto"/>
              </w:rPr>
              <w:t>Interest and other non-operating</w:t>
            </w:r>
          </w:p>
        </w:tc>
        <w:tc>
          <w:tcPr>
            <w:tcW w:w="280" w:type="dxa"/>
            <w:vAlign w:val="bottom"/>
          </w:tcPr>
          <w:p>
            <w:pPr>
              <w:spacing w:after="0"/>
              <w:rPr>
                <w:sz w:val="16"/>
                <w:szCs w:val="16"/>
                <w:color w:val="auto"/>
              </w:rPr>
            </w:pPr>
          </w:p>
        </w:tc>
        <w:tc>
          <w:tcPr>
            <w:tcW w:w="92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tcPr>
          <w:p>
            <w:pPr>
              <w:ind w:left="140"/>
              <w:spacing w:after="0"/>
              <w:rPr>
                <w:sz w:val="20"/>
                <w:szCs w:val="20"/>
                <w:color w:val="auto"/>
              </w:rPr>
            </w:pPr>
            <w:r>
              <w:rPr>
                <w:rFonts w:ascii="Arial" w:cs="Arial" w:eastAsia="Arial" w:hAnsi="Arial"/>
                <w:sz w:val="18"/>
                <w:szCs w:val="18"/>
                <w:color w:val="auto"/>
              </w:rPr>
              <w:t>expense, net</w:t>
            </w: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(17.4)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from sale of business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46.2</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238.1</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Tax rate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(1,230) bp</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bp</w:t>
            </w:r>
          </w:p>
        </w:tc>
        <w:tc>
          <w:tcPr>
            <w:tcW w:w="0" w:type="dxa"/>
            <w:vAlign w:val="bottom"/>
          </w:tcPr>
          <w:p>
            <w:pPr>
              <w:spacing w:after="0"/>
              <w:rPr>
                <w:sz w:val="1"/>
                <w:szCs w:val="1"/>
                <w:color w:val="auto"/>
              </w:rPr>
            </w:pPr>
          </w:p>
        </w:tc>
      </w:tr>
      <w:tr>
        <w:trPr>
          <w:trHeight w:val="239"/>
        </w:trPr>
        <w:tc>
          <w:tcPr>
            <w:tcW w:w="3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51"/>
              <w:spacing w:after="0"/>
              <w:rPr>
                <w:sz w:val="20"/>
                <w:szCs w:val="20"/>
                <w:color w:val="auto"/>
              </w:rPr>
            </w:pPr>
            <w:r>
              <w:rPr>
                <w:rFonts w:ascii="Arial" w:cs="Arial" w:eastAsia="Arial" w:hAnsi="Arial"/>
                <w:sz w:val="18"/>
                <w:szCs w:val="18"/>
                <w:b w:val="1"/>
                <w:bCs w:val="1"/>
                <w:color w:val="auto"/>
              </w:rPr>
              <w:t>114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314</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196.2</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change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Revenue generated during the three and nine months ended September 30, 2021 was $1,265 million and $3,872 million, reflecting increases of $45 million, or 3.7%, and $369 million, or 10.5%, respectively, compared to the same prior year periods. On a constant currency basis, revenue grew 2.0% and 6.8% for the three and nine months ended September 30, 2021. The increases on a constant currency basis were driven by organic revenue growth of $27 million and $246 million, respectively. During the quarter, we experienced strong organic growth across the emerging markets and in western Europe, partially offset by declines in the U.S. On a year-to-date basis, we saw organic growth across all major geographies, where we recovered nicely from the significant impacts of the COVID-19 pandemic in the prior year.</w:t>
      </w:r>
    </w:p>
    <w:p>
      <w:pPr>
        <w:spacing w:after="0" w:line="100"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following table illustrates the impact from organic growth, recent divestitures, and foreign currency translation in relation to revenue during the three and nine months ended September 30, 2021:</w:t>
      </w:r>
    </w:p>
    <w:tbl>
      <w:tblPr>
        <w:tblLayout w:type="fixed"/>
        <w:tblInd w:w="0" w:type="dxa"/>
        <w:tblCellMar>
          <w:top w:w="0" w:type="dxa"/>
          <w:left w:w="0" w:type="dxa"/>
          <w:bottom w:w="0" w:type="dxa"/>
          <w:right w:w="0" w:type="dxa"/>
        </w:tblCellMar>
      </w:tblPr>
      <w:tr>
        <w:trPr>
          <w:trHeight w:val="158"/>
        </w:trPr>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Water Infrastructure</w:t>
            </w:r>
          </w:p>
        </w:tc>
        <w:tc>
          <w:tcPr>
            <w:tcW w:w="260" w:type="dxa"/>
            <w:vAlign w:val="bottom"/>
          </w:tcPr>
          <w:p>
            <w:pPr>
              <w:spacing w:after="0"/>
              <w:rPr>
                <w:sz w:val="13"/>
                <w:szCs w:val="13"/>
                <w:color w:val="auto"/>
              </w:rPr>
            </w:pPr>
          </w:p>
        </w:tc>
        <w:tc>
          <w:tcPr>
            <w:tcW w:w="19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Applied Water</w:t>
            </w:r>
          </w:p>
        </w:tc>
        <w:tc>
          <w:tcPr>
            <w:tcW w:w="240" w:type="dxa"/>
            <w:vAlign w:val="bottom"/>
          </w:tcPr>
          <w:p>
            <w:pPr>
              <w:spacing w:after="0"/>
              <w:rPr>
                <w:sz w:val="13"/>
                <w:szCs w:val="13"/>
                <w:color w:val="auto"/>
              </w:rPr>
            </w:pPr>
          </w:p>
        </w:tc>
        <w:tc>
          <w:tcPr>
            <w:tcW w:w="1980" w:type="dxa"/>
            <w:vAlign w:val="bottom"/>
            <w:gridSpan w:val="3"/>
          </w:tcPr>
          <w:p>
            <w:pPr>
              <w:jc w:val="right"/>
              <w:ind w:right="360"/>
              <w:spacing w:after="0" w:line="158" w:lineRule="exact"/>
              <w:rPr>
                <w:sz w:val="20"/>
                <w:szCs w:val="20"/>
                <w:color w:val="auto"/>
              </w:rPr>
            </w:pPr>
            <w:r>
              <w:rPr>
                <w:rFonts w:ascii="Arial" w:cs="Arial" w:eastAsia="Arial" w:hAnsi="Arial"/>
                <w:sz w:val="14"/>
                <w:szCs w:val="14"/>
                <w:b w:val="1"/>
                <w:bCs w:val="1"/>
                <w:color w:val="auto"/>
              </w:rPr>
              <w:t>Measurement &amp; Control</w:t>
            </w:r>
          </w:p>
        </w:tc>
        <w:tc>
          <w:tcPr>
            <w:tcW w:w="260" w:type="dxa"/>
            <w:vAlign w:val="bottom"/>
          </w:tcPr>
          <w:p>
            <w:pPr>
              <w:spacing w:after="0"/>
              <w:rPr>
                <w:sz w:val="13"/>
                <w:szCs w:val="13"/>
                <w:color w:val="auto"/>
              </w:rPr>
            </w:pPr>
          </w:p>
        </w:tc>
        <w:tc>
          <w:tcPr>
            <w:tcW w:w="1900" w:type="dxa"/>
            <w:vAlign w:val="bottom"/>
            <w:gridSpan w:val="2"/>
            <w:vMerge w:val="restart"/>
          </w:tcPr>
          <w:p>
            <w:pPr>
              <w:jc w:val="right"/>
              <w:ind w:right="593"/>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ind w:left="480"/>
              <w:spacing w:after="0"/>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4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80" w:type="dxa"/>
            <w:vAlign w:val="bottom"/>
            <w:gridSpan w:val="2"/>
          </w:tcPr>
          <w:p>
            <w:pPr>
              <w:ind w:left="26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80" w:type="dxa"/>
            <w:vAlign w:val="bottom"/>
            <w:gridSpan w:val="2"/>
          </w:tcPr>
          <w:p>
            <w:pPr>
              <w:ind w:left="240"/>
              <w:spacing w:after="0"/>
              <w:rPr>
                <w:sz w:val="20"/>
                <w:szCs w:val="20"/>
                <w:color w:val="auto"/>
              </w:rPr>
            </w:pPr>
            <w:r>
              <w:rPr>
                <w:rFonts w:ascii="Arial" w:cs="Arial" w:eastAsia="Arial" w:hAnsi="Arial"/>
                <w:sz w:val="14"/>
                <w:szCs w:val="14"/>
                <w:color w:val="auto"/>
              </w:rPr>
              <w:t>% Change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5"/>
              <w:spacing w:after="0"/>
              <w:rPr>
                <w:sz w:val="20"/>
                <w:szCs w:val="20"/>
                <w:color w:val="auto"/>
              </w:rPr>
            </w:pPr>
            <w:r>
              <w:rPr>
                <w:rFonts w:ascii="Arial" w:cs="Arial" w:eastAsia="Arial" w:hAnsi="Arial"/>
                <w:sz w:val="14"/>
                <w:szCs w:val="14"/>
                <w:color w:val="auto"/>
              </w:rPr>
              <w:t>Change</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00" w:type="dxa"/>
            <w:vAlign w:val="bottom"/>
          </w:tcPr>
          <w:p>
            <w:pPr>
              <w:jc w:val="right"/>
              <w:ind w:right="17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2420" w:type="dxa"/>
            <w:vAlign w:val="bottom"/>
          </w:tcPr>
          <w:p>
            <w:pPr>
              <w:ind w:left="140"/>
              <w:spacing w:after="0"/>
              <w:rPr>
                <w:sz w:val="20"/>
                <w:szCs w:val="20"/>
                <w:color w:val="auto"/>
              </w:rPr>
            </w:pPr>
            <w:r>
              <w:rPr>
                <w:rFonts w:ascii="Arial" w:cs="Arial" w:eastAsia="Arial" w:hAnsi="Arial"/>
                <w:sz w:val="18"/>
                <w:szCs w:val="18"/>
                <w:color w:val="auto"/>
              </w:rPr>
              <w:t>2020 Revenue</w:t>
            </w: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9"/>
        </w:trPr>
        <w:tc>
          <w:tcPr>
            <w:tcW w:w="2420" w:type="dxa"/>
            <w:vAlign w:val="bottom"/>
          </w:tcPr>
          <w:p>
            <w:pPr>
              <w:ind w:left="360"/>
              <w:spacing w:after="0"/>
              <w:rPr>
                <w:sz w:val="20"/>
                <w:szCs w:val="20"/>
                <w:color w:val="auto"/>
              </w:rPr>
            </w:pPr>
            <w:r>
              <w:rPr>
                <w:rFonts w:ascii="Arial" w:cs="Arial" w:eastAsia="Arial" w:hAnsi="Arial"/>
                <w:sz w:val="18"/>
                <w:szCs w:val="18"/>
                <w:color w:val="auto"/>
              </w:rPr>
              <w:t>Divestitures</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1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Constant Currency</w:t>
            </w: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188"/>
        </w:trPr>
        <w:tc>
          <w:tcPr>
            <w:tcW w:w="2420" w:type="dxa"/>
            <w:vAlign w:val="bottom"/>
          </w:tcPr>
          <w:p>
            <w:pPr>
              <w:ind w:left="360"/>
              <w:spacing w:after="0" w:line="189" w:lineRule="exact"/>
              <w:rPr>
                <w:sz w:val="20"/>
                <w:szCs w:val="20"/>
                <w:color w:val="auto"/>
              </w:rPr>
            </w:pPr>
            <w:r>
              <w:rPr>
                <w:rFonts w:ascii="Arial" w:cs="Arial" w:eastAsia="Arial" w:hAnsi="Arial"/>
                <w:sz w:val="18"/>
                <w:szCs w:val="18"/>
                <w:color w:val="auto"/>
              </w:rPr>
              <w:t>Foreign currency</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translation (a)</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change in revenue</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3"/>
        </w:trPr>
        <w:tc>
          <w:tcPr>
            <w:tcW w:w="2420" w:type="dxa"/>
            <w:vAlign w:val="bottom"/>
          </w:tcPr>
          <w:p>
            <w:pPr>
              <w:ind w:left="140"/>
              <w:spacing w:after="0"/>
              <w:rPr>
                <w:sz w:val="20"/>
                <w:szCs w:val="20"/>
                <w:color w:val="auto"/>
              </w:rPr>
            </w:pPr>
            <w:r>
              <w:rPr>
                <w:rFonts w:ascii="Arial" w:cs="Arial" w:eastAsia="Arial" w:hAnsi="Arial"/>
                <w:sz w:val="18"/>
                <w:szCs w:val="18"/>
                <w:b w:val="1"/>
                <w:bCs w:val="1"/>
                <w:color w:val="auto"/>
              </w:rPr>
              <w:t>2021 Revenue</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547</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1,265</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340" w:right="160" w:hanging="332"/>
        <w:spacing w:after="0" w:line="260" w:lineRule="auto"/>
        <w:tabs>
          <w:tab w:leader="none" w:pos="3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strengthening in value of various currencies against the U.S. Dollar, the largest being the Chinese Yuan, the British Pound, the Canadian Dollar, the Euro and the South African 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Water Infrastructure</w:t>
            </w:r>
          </w:p>
        </w:tc>
        <w:tc>
          <w:tcPr>
            <w:tcW w:w="280" w:type="dxa"/>
            <w:vAlign w:val="bottom"/>
          </w:tcPr>
          <w:p>
            <w:pPr>
              <w:spacing w:after="0"/>
              <w:rPr>
                <w:sz w:val="14"/>
                <w:szCs w:val="14"/>
                <w:color w:val="auto"/>
              </w:rPr>
            </w:pPr>
          </w:p>
        </w:tc>
        <w:tc>
          <w:tcPr>
            <w:tcW w:w="19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Applied Water</w:t>
            </w:r>
          </w:p>
        </w:tc>
        <w:tc>
          <w:tcPr>
            <w:tcW w:w="240" w:type="dxa"/>
            <w:vAlign w:val="bottom"/>
          </w:tcPr>
          <w:p>
            <w:pPr>
              <w:spacing w:after="0"/>
              <w:rPr>
                <w:sz w:val="14"/>
                <w:szCs w:val="14"/>
                <w:color w:val="auto"/>
              </w:rPr>
            </w:pPr>
          </w:p>
        </w:tc>
        <w:tc>
          <w:tcPr>
            <w:tcW w:w="19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Measurement &amp; Control</w:t>
            </w:r>
          </w:p>
        </w:tc>
        <w:tc>
          <w:tcPr>
            <w:tcW w:w="260" w:type="dxa"/>
            <w:vAlign w:val="bottom"/>
          </w:tcPr>
          <w:p>
            <w:pPr>
              <w:spacing w:after="0"/>
              <w:rPr>
                <w:sz w:val="14"/>
                <w:szCs w:val="14"/>
                <w:color w:val="auto"/>
              </w:rPr>
            </w:pPr>
          </w:p>
        </w:tc>
        <w:tc>
          <w:tcPr>
            <w:tcW w:w="1900" w:type="dxa"/>
            <w:vAlign w:val="bottom"/>
            <w:gridSpan w:val="2"/>
            <w:vMerge w:val="restart"/>
          </w:tcPr>
          <w:p>
            <w:pPr>
              <w:jc w:val="right"/>
              <w:ind w:right="593"/>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ind w:left="480"/>
              <w:spacing w:after="0"/>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4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60" w:type="dxa"/>
            <w:vAlign w:val="bottom"/>
            <w:gridSpan w:val="2"/>
          </w:tcPr>
          <w:p>
            <w:pPr>
              <w:ind w:left="240"/>
              <w:spacing w:after="0"/>
              <w:rPr>
                <w:sz w:val="20"/>
                <w:szCs w:val="20"/>
                <w:color w:val="auto"/>
              </w:rPr>
            </w:pPr>
            <w:r>
              <w:rPr>
                <w:rFonts w:ascii="Arial" w:cs="Arial" w:eastAsia="Arial" w:hAnsi="Arial"/>
                <w:sz w:val="14"/>
                <w:szCs w:val="14"/>
                <w:color w:val="auto"/>
              </w:rPr>
              <w:t>% Change</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80" w:type="dxa"/>
            <w:vAlign w:val="bottom"/>
            <w:gridSpan w:val="2"/>
          </w:tcPr>
          <w:p>
            <w:pPr>
              <w:ind w:left="240"/>
              <w:spacing w:after="0"/>
              <w:rPr>
                <w:sz w:val="20"/>
                <w:szCs w:val="20"/>
                <w:color w:val="auto"/>
              </w:rPr>
            </w:pPr>
            <w:r>
              <w:rPr>
                <w:rFonts w:ascii="Arial" w:cs="Arial" w:eastAsia="Arial" w:hAnsi="Arial"/>
                <w:sz w:val="14"/>
                <w:szCs w:val="14"/>
                <w:color w:val="auto"/>
              </w:rPr>
              <w:t>% Change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5"/>
              <w:spacing w:after="0"/>
              <w:rPr>
                <w:sz w:val="20"/>
                <w:szCs w:val="20"/>
                <w:color w:val="auto"/>
              </w:rPr>
            </w:pPr>
            <w:r>
              <w:rPr>
                <w:rFonts w:ascii="Arial" w:cs="Arial" w:eastAsia="Arial" w:hAnsi="Arial"/>
                <w:sz w:val="14"/>
                <w:szCs w:val="14"/>
                <w:color w:val="auto"/>
              </w:rPr>
              <w:t>Change</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00" w:type="dxa"/>
            <w:vAlign w:val="bottom"/>
          </w:tcPr>
          <w:p>
            <w:pPr>
              <w:jc w:val="right"/>
              <w:ind w:right="17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2420" w:type="dxa"/>
            <w:vAlign w:val="bottom"/>
          </w:tcPr>
          <w:p>
            <w:pPr>
              <w:ind w:left="140"/>
              <w:spacing w:after="0"/>
              <w:rPr>
                <w:sz w:val="20"/>
                <w:szCs w:val="20"/>
                <w:color w:val="auto"/>
              </w:rPr>
            </w:pPr>
            <w:r>
              <w:rPr>
                <w:rFonts w:ascii="Arial" w:cs="Arial" w:eastAsia="Arial" w:hAnsi="Arial"/>
                <w:sz w:val="18"/>
                <w:szCs w:val="18"/>
                <w:color w:val="auto"/>
              </w:rPr>
              <w:t>2020 Revenue</w:t>
            </w:r>
          </w:p>
        </w:tc>
        <w:tc>
          <w:tcPr>
            <w:tcW w:w="2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3,503</w:t>
            </w: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29"/>
        </w:trPr>
        <w:tc>
          <w:tcPr>
            <w:tcW w:w="2420" w:type="dxa"/>
            <w:vAlign w:val="bottom"/>
          </w:tcPr>
          <w:p>
            <w:pPr>
              <w:ind w:left="360"/>
              <w:spacing w:after="0"/>
              <w:rPr>
                <w:sz w:val="20"/>
                <w:szCs w:val="20"/>
                <w:color w:val="auto"/>
              </w:rPr>
            </w:pPr>
            <w:r>
              <w:rPr>
                <w:rFonts w:ascii="Arial" w:cs="Arial" w:eastAsia="Arial" w:hAnsi="Arial"/>
                <w:sz w:val="18"/>
                <w:szCs w:val="18"/>
                <w:color w:val="auto"/>
              </w:rPr>
              <w:t>Divestitures</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Constant Currency</w:t>
            </w: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188"/>
        </w:trPr>
        <w:tc>
          <w:tcPr>
            <w:tcW w:w="2420" w:type="dxa"/>
            <w:vAlign w:val="bottom"/>
          </w:tcPr>
          <w:p>
            <w:pPr>
              <w:ind w:left="360"/>
              <w:spacing w:after="0" w:line="189" w:lineRule="exact"/>
              <w:rPr>
                <w:sz w:val="20"/>
                <w:szCs w:val="20"/>
                <w:color w:val="auto"/>
              </w:rPr>
            </w:pPr>
            <w:r>
              <w:rPr>
                <w:rFonts w:ascii="Arial" w:cs="Arial" w:eastAsia="Arial" w:hAnsi="Arial"/>
                <w:sz w:val="18"/>
                <w:szCs w:val="18"/>
                <w:color w:val="auto"/>
              </w:rPr>
              <w:t>Foreign currency</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translation (a)</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change in revenue</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23"/>
        </w:trPr>
        <w:tc>
          <w:tcPr>
            <w:tcW w:w="2420" w:type="dxa"/>
            <w:vAlign w:val="bottom"/>
          </w:tcPr>
          <w:p>
            <w:pPr>
              <w:ind w:left="140"/>
              <w:spacing w:after="0"/>
              <w:rPr>
                <w:sz w:val="20"/>
                <w:szCs w:val="20"/>
                <w:color w:val="auto"/>
              </w:rPr>
            </w:pPr>
            <w:r>
              <w:rPr>
                <w:rFonts w:ascii="Arial" w:cs="Arial" w:eastAsia="Arial" w:hAnsi="Arial"/>
                <w:sz w:val="18"/>
                <w:szCs w:val="18"/>
                <w:b w:val="1"/>
                <w:bCs w:val="1"/>
                <w:color w:val="auto"/>
              </w:rPr>
              <w:t>2021 Revenue</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1,625</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1,207</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1,040</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3,872</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340" w:right="160" w:hanging="332"/>
        <w:spacing w:after="0" w:line="260" w:lineRule="auto"/>
        <w:tabs>
          <w:tab w:leader="none" w:pos="3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strengthening in value of various currencies against the U.S. Dollar, the largest being the Euro, the Chinese Yuan, the British Pound, the Australian Dollar and the Canadian Dollar.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Water Infrastructure revenue increased $23 million, or 4.4%, for the third quarter of 2021 (2.5% increase on a constant currency basis) as compared to the prior year. Revenue benefited from $10 million of foreign currency translation, with the change at constant currency coming entirely from organic growth of $13 million. Organic growth for the quarter was driven by strength in the industrial end market, particularly across the emerging markets, as well as in western Europe. Organic growth for the quarter was partially offset by weakness in the utility end market, particularly in emerging markets driven by project revenue in India and China in the prior year that did not recur, as well as in the U.S., with weakness in the dewatering construction and municipal business due to project timing.</w:t>
      </w:r>
    </w:p>
    <w:p>
      <w:pPr>
        <w:spacing w:after="0" w:line="10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From an application perspective, organic revenue growth for the third quarter was driven by our transport applications. The transport applications had strong revenue growth in the emerging markets, where the dewatering business in Latin America and Africa benefited from strong market conditions in mining, as well as modest oil and gas recovery, during the quarter and in western Europe, driven by strong industrial and wastewater utility demand. This growth was partially offset by softness in the transport applications in the U.S. due to supply chain constraints. The treatment applications also had organic growth in the quarter, primarily in western Europe.</w:t>
      </w:r>
    </w:p>
    <w:p>
      <w:pPr>
        <w:spacing w:after="0" w:line="9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the nine months ended September 30, 2021, revenue increased $162 million, or 11.1% (6.3% increase on a constant currency basis) as compared to the prior year. Revenue benefited from $70 million of foreign currency translation during the nine month period, with the change at constant currency coming entirely from organic growth of $92 million. Organic growth during the year was driven by strength in both the industrial and utility end markets. Organic growth in the industrial end market was particularly strong across the emerging markets, which included recovery from prior year COVID-19 impacts, particularly in Asia, Africa and Latin America, and in western Europe with continued strength in general industrial. Strength in the utility end market was led by western Europe, where operation spending was strong in the first half of the year, and in the emerging markets, where China benefited from healthy order intake coming into the year. This utility growth was partially offset by weakness in the U.S.</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From an application perspective, organic revenue growth during the nine month period was primarily driven by our transport applications. The transport applications had strong revenue growth across the emerging markets, where we benefited from healthy order intake in China and Africa and a strong recovery in Latin America, particularly in the dewatering application, as well as growth in western Europe, where the COVID-19 pandemic had a significant impact in the first half of the prior year. Transport application growth in these regions was partially offset by weakness in the U.S. driven by our dewatering application. Organic revenue from our treatment applications also contributed to the segment's growth during the period, driven by project orders in China and Korea, as well as in western Europe and Australia, which were partially offset by the timing of project deliveries in North America.</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Applied Water revenue increased $36 million, or 9.9%, for the third quarter of 2021 (8.0% increase on a constant currency basis) as compared to the prior year. Revenue benefited from $7 million of foreign currency translation, with the change at constant currency coming entirely from organic growth of $29 million. Organic growth for the quarter was driven by strength in commercial building services, particularly in the U.S, as we continued to execute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39" w:name="page40"/>
    <w:bookmarkEnd w:id="39"/>
    <w:p>
      <w:pPr>
        <w:ind w:right="480"/>
        <w:spacing w:after="0" w:line="254" w:lineRule="auto"/>
        <w:rPr>
          <w:sz w:val="20"/>
          <w:szCs w:val="20"/>
          <w:color w:val="auto"/>
        </w:rPr>
      </w:pPr>
      <w:r>
        <w:rPr>
          <w:rFonts w:ascii="Arial" w:cs="Arial" w:eastAsia="Arial" w:hAnsi="Arial"/>
          <w:sz w:val="18"/>
          <w:szCs w:val="18"/>
          <w:color w:val="auto"/>
        </w:rPr>
        <w:t>on healthy backlog and order intake, and in the emerging markets, driven by recovery in China. The industrial water business also grew organically in the quarter across all of our major geographic regions, where we benefited from strong order intake and timing of price increases, as well as strength in the specialty flow control applications (marine and food &amp; beverage). The residential building services application had continued modest growth during the quarter.</w:t>
      </w:r>
    </w:p>
    <w:p>
      <w:pPr>
        <w:spacing w:after="0" w:line="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the nine months ended September 30, 2021, revenue increased $168 million, or 16.2% (12.7% increase on a constant currency basis) as compared to the prior year. Revenue benefited from $36 million of foreign currency translation during the nine month period, with the change at constant currency coming entirely from organic growth of $132 million. Organic growth during the period included growth across all three of the applications and end markets in the segment. The organic growth was led by strength in industrial, which was primarily driven by market recovery and good backlog execution in the emerging markets, particularly in China and India, as well as strong performance in western Europe, driven by market recovery from COVID-19 impacts and strength in specialty flow control applications. Commercial building services had strong organic growth in North America, as we executed on healthy backlog coming into the year. Residential building services had strong organic growth during the first half of the year, primarily driven by the emerging markets, where we experienced strong second water supply business and a favorable prior year comparison in China, as markets conditions recovered from the COVID-19 pandemic. Strength in North America also contributed to the growth in residential building services for the year-to-date, as we executed on healthy backlog coming into the year.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Measurement &amp; Control Solutions revenue decreased $ 14 million, or 4.2%, for the third quarter of 2021 (5.1% decrease on a constant currency basis) as compared to the prior year. Revenue benefited from $3 million of foreign currency translation, with the change at constant currency coming from an organic decline of $15 million and reduced revenue related to divestiture impacts of $2 million. Organic weakness in the quarter was driven by declines in the utility end market, primarily in North America, which more than offset modest strength in the industrial end market.</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order to simplify and focus the application discussion, beginning with the first quarter of 2021, we are aggregating the test application into the water application and the software as a service and other application into the water and energy applications, as applicable, as both of these sub-applications provide products and services to the broader, ultimate applications of water and energy. From an application perspective, organic revenue decline during the quarter was driven by declines in the electric business within the energy application in North America, marginally offset by increased revenue in the gas business. The water application also experienced a decrease, primarily due to supply chain constraints in North America in our metrology business, which were partially offset by growth in our test and assessment service businesses.</w:t>
      </w:r>
    </w:p>
    <w:p>
      <w:pPr>
        <w:spacing w:after="0" w:line="9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 the nine months ended September 30, 2021, revenue increased $39 million, or 3.9% (1.5% increase on a constant currency basis) as compared to the prior year. Revenue benefited from $24 million of foreign currency translation during the nine month period, with the change at constant currency driven by organic growth of $ 22 million which was partially offset by reduced revenue related to divestiture impacts of $7 million. Organic revenue growth during the period was driven by strength in the industrial end market across all of our major geographic regions. Organic growth in the industrial end market was marginally offset by weakness in the utility end market in North America.</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From an application perspective, organic revenue growth during the period was driven by the water application, with growth across all major geographic regions, driven by COVID-19 recovery, coupled with strong backlog execution. Growth in the water applications was largely attributable to our test business, as well as growth in our metrology business in the first half of the year. Organic revenue growth was partially offset by a decline in the energy application during the period driven by both the electric and gas businesses, primarily in the U.S. Declines in the electric business resulted from electronic component shortages while declines in the gas business reflect large project deployments in the U.S. during the prior year that did not repeat, as well as project delays during the year driven by the COVID-19 pandemic.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Orders / Backlog</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 Orders received during the third quarter of 2021 were $1,518 million,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0" w:name="page41"/>
    <w:bookmarkEnd w:id="40"/>
    <w:p>
      <w:pPr>
        <w:ind w:right="120"/>
        <w:spacing w:after="0" w:line="253" w:lineRule="auto"/>
        <w:rPr>
          <w:sz w:val="20"/>
          <w:szCs w:val="20"/>
          <w:color w:val="auto"/>
        </w:rPr>
      </w:pPr>
      <w:r>
        <w:rPr>
          <w:rFonts w:ascii="Arial" w:cs="Arial" w:eastAsia="Arial" w:hAnsi="Arial"/>
          <w:sz w:val="18"/>
          <w:szCs w:val="18"/>
          <w:color w:val="auto"/>
        </w:rPr>
        <w:t>increase of $272 million, or 21.8%, over the prior year (19.9% increase on a constant currency basis). Orders received during the nine months ended September 30, 2021 were $4,716 million, an increase of $977 million, or 26.1%, over the prior year (22.2% increase on a constant currency basis). Order intake benefited from $24 million and $147 million of foreign currency translation for the three and nine months ended September 30, 2021, respectively. The increase on a constant currency basis was primarily driven by organic order growth of $250 million and $840 million for the three and nine months ended September 30, 2021, respectively.</w:t>
      </w:r>
    </w:p>
    <w:p>
      <w:pPr>
        <w:spacing w:after="0" w:line="9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table illustrates the impact from organic growth, recent divestitures, and foreign currency translation in relation to orders during the three and nine months ended September 30, 2021:</w:t>
      </w:r>
    </w:p>
    <w:tbl>
      <w:tblPr>
        <w:tblLayout w:type="fixed"/>
        <w:tblInd w:w="0" w:type="dxa"/>
        <w:tblCellMar>
          <w:top w:w="0" w:type="dxa"/>
          <w:left w:w="0" w:type="dxa"/>
          <w:bottom w:w="0" w:type="dxa"/>
          <w:right w:w="0" w:type="dxa"/>
        </w:tblCellMar>
      </w:tblPr>
      <w:tr>
        <w:trPr>
          <w:trHeight w:val="172"/>
        </w:trPr>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vMerge w:val="restart"/>
          </w:tcPr>
          <w:p>
            <w:pPr>
              <w:jc w:val="right"/>
              <w:ind w:right="173"/>
              <w:spacing w:after="0"/>
              <w:rPr>
                <w:sz w:val="20"/>
                <w:szCs w:val="20"/>
                <w:color w:val="auto"/>
              </w:rPr>
            </w:pPr>
            <w:r>
              <w:rPr>
                <w:rFonts w:ascii="Arial" w:cs="Arial" w:eastAsia="Arial" w:hAnsi="Arial"/>
                <w:sz w:val="16"/>
                <w:szCs w:val="16"/>
                <w:b w:val="1"/>
                <w:bCs w:val="1"/>
                <w:color w:val="auto"/>
                <w:w w:val="99"/>
              </w:rPr>
              <w:t>Water Infrastructure</w:t>
            </w:r>
          </w:p>
        </w:tc>
        <w:tc>
          <w:tcPr>
            <w:tcW w:w="2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vMerge w:val="restart"/>
          </w:tcPr>
          <w:p>
            <w:pPr>
              <w:jc w:val="right"/>
              <w:ind w:right="413"/>
              <w:spacing w:after="0"/>
              <w:rPr>
                <w:sz w:val="20"/>
                <w:szCs w:val="20"/>
                <w:color w:val="auto"/>
              </w:rPr>
            </w:pPr>
            <w:r>
              <w:rPr>
                <w:rFonts w:ascii="Arial" w:cs="Arial" w:eastAsia="Arial" w:hAnsi="Arial"/>
                <w:sz w:val="16"/>
                <w:szCs w:val="16"/>
                <w:b w:val="1"/>
                <w:bCs w:val="1"/>
                <w:color w:val="auto"/>
              </w:rPr>
              <w:t>Applied Water</w:t>
            </w:r>
          </w:p>
        </w:tc>
        <w:tc>
          <w:tcPr>
            <w:tcW w:w="180" w:type="dxa"/>
            <w:vAlign w:val="bottom"/>
            <w:vMerge w:val="restart"/>
          </w:tcPr>
          <w:p>
            <w:pPr>
              <w:spacing w:after="0"/>
              <w:rPr>
                <w:sz w:val="14"/>
                <w:szCs w:val="14"/>
                <w:color w:val="auto"/>
              </w:rPr>
            </w:pPr>
          </w:p>
        </w:tc>
        <w:tc>
          <w:tcPr>
            <w:tcW w:w="2260" w:type="dxa"/>
            <w:vAlign w:val="bottom"/>
            <w:gridSpan w:val="4"/>
          </w:tcPr>
          <w:p>
            <w:pPr>
              <w:ind w:left="120"/>
              <w:spacing w:after="0" w:line="171" w:lineRule="exact"/>
              <w:rPr>
                <w:sz w:val="20"/>
                <w:szCs w:val="20"/>
                <w:color w:val="auto"/>
              </w:rPr>
            </w:pPr>
            <w:r>
              <w:rPr>
                <w:rFonts w:ascii="Arial" w:cs="Arial" w:eastAsia="Arial" w:hAnsi="Arial"/>
                <w:sz w:val="16"/>
                <w:szCs w:val="16"/>
                <w:b w:val="1"/>
                <w:bCs w:val="1"/>
                <w:color w:val="auto"/>
              </w:rPr>
              <w:t>Measurement &amp; Control</w:t>
            </w:r>
          </w:p>
        </w:tc>
        <w:tc>
          <w:tcPr>
            <w:tcW w:w="260" w:type="dxa"/>
            <w:vAlign w:val="bottom"/>
          </w:tcPr>
          <w:p>
            <w:pPr>
              <w:spacing w:after="0"/>
              <w:rPr>
                <w:sz w:val="14"/>
                <w:szCs w:val="14"/>
                <w:color w:val="auto"/>
              </w:rPr>
            </w:pPr>
          </w:p>
        </w:tc>
        <w:tc>
          <w:tcPr>
            <w:tcW w:w="1800" w:type="dxa"/>
            <w:vAlign w:val="bottom"/>
            <w:gridSpan w:val="2"/>
            <w:vMerge w:val="restart"/>
          </w:tcPr>
          <w:p>
            <w:pPr>
              <w:jc w:val="right"/>
              <w:ind w:right="493"/>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573"/>
              <w:spacing w:after="0"/>
              <w:rPr>
                <w:sz w:val="20"/>
                <w:szCs w:val="20"/>
                <w:color w:val="auto"/>
              </w:rPr>
            </w:pPr>
            <w:r>
              <w:rPr>
                <w:rFonts w:ascii="Arial" w:cs="Arial" w:eastAsia="Arial" w:hAnsi="Arial"/>
                <w:sz w:val="16"/>
                <w:szCs w:val="16"/>
                <w:b w:val="1"/>
                <w:bCs w:val="1"/>
                <w:color w:val="auto"/>
              </w:rPr>
              <w:t>Solutions</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120" w:type="dxa"/>
            <w:vAlign w:val="bottom"/>
          </w:tcPr>
          <w:p>
            <w:pPr>
              <w:jc w:val="right"/>
              <w:ind w:right="13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Arial" w:cs="Arial" w:eastAsia="Arial" w:hAnsi="Arial"/>
                <w:sz w:val="18"/>
                <w:szCs w:val="18"/>
                <w:color w:val="auto"/>
              </w:rPr>
              <w:t>2020 Orders</w:t>
            </w: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1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Organic Growth</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20.1 %</w:t>
            </w:r>
          </w:p>
        </w:tc>
        <w:tc>
          <w:tcPr>
            <w:tcW w:w="0" w:type="dxa"/>
            <w:vAlign w:val="bottom"/>
          </w:tcPr>
          <w:p>
            <w:pPr>
              <w:spacing w:after="0"/>
              <w:rPr>
                <w:sz w:val="1"/>
                <w:szCs w:val="1"/>
                <w:color w:val="auto"/>
              </w:rPr>
            </w:pPr>
          </w:p>
        </w:tc>
      </w:tr>
      <w:tr>
        <w:trPr>
          <w:trHeight w:val="229"/>
        </w:trPr>
        <w:tc>
          <w:tcPr>
            <w:tcW w:w="2420" w:type="dxa"/>
            <w:vAlign w:val="bottom"/>
          </w:tcPr>
          <w:p>
            <w:pPr>
              <w:ind w:left="140"/>
              <w:spacing w:after="0"/>
              <w:rPr>
                <w:sz w:val="20"/>
                <w:szCs w:val="20"/>
                <w:color w:val="auto"/>
              </w:rPr>
            </w:pPr>
            <w:r>
              <w:rPr>
                <w:rFonts w:ascii="Arial" w:cs="Arial" w:eastAsia="Arial" w:hAnsi="Arial"/>
                <w:sz w:val="18"/>
                <w:szCs w:val="18"/>
                <w:color w:val="auto"/>
              </w:rPr>
              <w:t>Divestitures</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Constant Currency</w:t>
            </w:r>
          </w:p>
        </w:tc>
        <w:tc>
          <w:tcPr>
            <w:tcW w:w="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41.9 %</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188"/>
        </w:trPr>
        <w:tc>
          <w:tcPr>
            <w:tcW w:w="2420" w:type="dxa"/>
            <w:vAlign w:val="bottom"/>
          </w:tcPr>
          <w:p>
            <w:pPr>
              <w:ind w:left="140"/>
              <w:spacing w:after="0" w:line="189" w:lineRule="exact"/>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change in orders</w:t>
            </w: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43.5 %</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2021 Orders</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623</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340" w:right="160" w:hanging="332"/>
        <w:spacing w:after="0" w:line="260"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strengthening in value of various currencies against the U.S. Dollar, the largest being the Chinese Yuan, the British Pound, the Canadian Dollar, the Euro and the South African Rand.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vMerge w:val="restart"/>
          </w:tcPr>
          <w:p>
            <w:pPr>
              <w:jc w:val="right"/>
              <w:ind w:right="153"/>
              <w:spacing w:after="0"/>
              <w:rPr>
                <w:sz w:val="20"/>
                <w:szCs w:val="20"/>
                <w:color w:val="auto"/>
              </w:rPr>
            </w:pPr>
            <w:r>
              <w:rPr>
                <w:rFonts w:ascii="Arial" w:cs="Arial" w:eastAsia="Arial" w:hAnsi="Arial"/>
                <w:sz w:val="16"/>
                <w:szCs w:val="16"/>
                <w:b w:val="1"/>
                <w:bCs w:val="1"/>
                <w:color w:val="auto"/>
              </w:rPr>
              <w:t>Water Infrastructure</w:t>
            </w:r>
          </w:p>
        </w:tc>
        <w:tc>
          <w:tcPr>
            <w:tcW w:w="20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vMerge w:val="restart"/>
          </w:tcPr>
          <w:p>
            <w:pPr>
              <w:jc w:val="right"/>
              <w:ind w:right="413"/>
              <w:spacing w:after="0"/>
              <w:rPr>
                <w:sz w:val="20"/>
                <w:szCs w:val="20"/>
                <w:color w:val="auto"/>
              </w:rPr>
            </w:pPr>
            <w:r>
              <w:rPr>
                <w:rFonts w:ascii="Arial" w:cs="Arial" w:eastAsia="Arial" w:hAnsi="Arial"/>
                <w:sz w:val="16"/>
                <w:szCs w:val="16"/>
                <w:b w:val="1"/>
                <w:bCs w:val="1"/>
                <w:color w:val="auto"/>
              </w:rPr>
              <w:t>Applied Water</w:t>
            </w:r>
          </w:p>
        </w:tc>
        <w:tc>
          <w:tcPr>
            <w:tcW w:w="180" w:type="dxa"/>
            <w:vAlign w:val="bottom"/>
            <w:vMerge w:val="restart"/>
          </w:tcPr>
          <w:p>
            <w:pPr>
              <w:spacing w:after="0"/>
              <w:rPr>
                <w:sz w:val="16"/>
                <w:szCs w:val="16"/>
                <w:color w:val="auto"/>
              </w:rPr>
            </w:pPr>
          </w:p>
        </w:tc>
        <w:tc>
          <w:tcPr>
            <w:tcW w:w="2260" w:type="dxa"/>
            <w:vAlign w:val="bottom"/>
            <w:gridSpan w:val="4"/>
          </w:tcPr>
          <w:p>
            <w:pPr>
              <w:ind w:left="120"/>
              <w:spacing w:after="0"/>
              <w:rPr>
                <w:sz w:val="20"/>
                <w:szCs w:val="20"/>
                <w:color w:val="auto"/>
              </w:rPr>
            </w:pPr>
            <w:r>
              <w:rPr>
                <w:rFonts w:ascii="Arial" w:cs="Arial" w:eastAsia="Arial" w:hAnsi="Arial"/>
                <w:sz w:val="16"/>
                <w:szCs w:val="16"/>
                <w:b w:val="1"/>
                <w:bCs w:val="1"/>
                <w:color w:val="auto"/>
              </w:rPr>
              <w:t>Measurement &amp; Control</w:t>
            </w:r>
          </w:p>
        </w:tc>
        <w:tc>
          <w:tcPr>
            <w:tcW w:w="260" w:type="dxa"/>
            <w:vAlign w:val="bottom"/>
          </w:tcPr>
          <w:p>
            <w:pPr>
              <w:spacing w:after="0"/>
              <w:rPr>
                <w:sz w:val="16"/>
                <w:szCs w:val="16"/>
                <w:color w:val="auto"/>
              </w:rPr>
            </w:pPr>
          </w:p>
        </w:tc>
        <w:tc>
          <w:tcPr>
            <w:tcW w:w="1800" w:type="dxa"/>
            <w:vAlign w:val="bottom"/>
            <w:gridSpan w:val="2"/>
            <w:vMerge w:val="restart"/>
          </w:tcPr>
          <w:p>
            <w:pPr>
              <w:jc w:val="right"/>
              <w:ind w:right="493"/>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5"/>
        </w:trPr>
        <w:tc>
          <w:tcPr>
            <w:tcW w:w="2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573"/>
              <w:spacing w:after="0"/>
              <w:rPr>
                <w:sz w:val="20"/>
                <w:szCs w:val="20"/>
                <w:color w:val="auto"/>
              </w:rPr>
            </w:pPr>
            <w:r>
              <w:rPr>
                <w:rFonts w:ascii="Arial" w:cs="Arial" w:eastAsia="Arial" w:hAnsi="Arial"/>
                <w:sz w:val="16"/>
                <w:szCs w:val="16"/>
                <w:b w:val="1"/>
                <w:bCs w:val="1"/>
                <w:color w:val="auto"/>
              </w:rPr>
              <w:t>Solutions</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120" w:type="dxa"/>
            <w:vAlign w:val="bottom"/>
          </w:tcPr>
          <w:p>
            <w:pPr>
              <w:jc w:val="right"/>
              <w:ind w:right="13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2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Orders</w:t>
            </w: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Organic Growth</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w:t>
            </w:r>
          </w:p>
        </w:tc>
        <w:tc>
          <w:tcPr>
            <w:tcW w:w="1100" w:type="dxa"/>
            <w:vAlign w:val="bottom"/>
          </w:tcPr>
          <w:p>
            <w:pPr>
              <w:jc w:val="right"/>
              <w:spacing w:after="0"/>
              <w:rPr>
                <w:sz w:val="20"/>
                <w:szCs w:val="20"/>
                <w:color w:val="auto"/>
              </w:rPr>
            </w:pPr>
            <w:r>
              <w:rPr>
                <w:rFonts w:ascii="Arial" w:cs="Arial" w:eastAsia="Arial" w:hAnsi="Arial"/>
                <w:sz w:val="18"/>
                <w:szCs w:val="18"/>
                <w:color w:val="auto"/>
              </w:rPr>
              <w:t>7.4 %</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296</w:t>
            </w:r>
          </w:p>
        </w:tc>
        <w:tc>
          <w:tcPr>
            <w:tcW w:w="1120" w:type="dxa"/>
            <w:vAlign w:val="bottom"/>
          </w:tcPr>
          <w:p>
            <w:pPr>
              <w:jc w:val="right"/>
              <w:spacing w:after="0"/>
              <w:rPr>
                <w:sz w:val="20"/>
                <w:szCs w:val="20"/>
                <w:color w:val="auto"/>
              </w:rPr>
            </w:pPr>
            <w:r>
              <w:rPr>
                <w:rFonts w:ascii="Arial" w:cs="Arial" w:eastAsia="Arial" w:hAnsi="Arial"/>
                <w:sz w:val="18"/>
                <w:szCs w:val="18"/>
                <w:color w:val="auto"/>
              </w:rPr>
              <w:t>27.6 %</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w:t>
            </w:r>
          </w:p>
        </w:tc>
        <w:tc>
          <w:tcPr>
            <w:tcW w:w="1100" w:type="dxa"/>
            <w:vAlign w:val="bottom"/>
          </w:tcPr>
          <w:p>
            <w:pPr>
              <w:jc w:val="right"/>
              <w:spacing w:after="0"/>
              <w:rPr>
                <w:sz w:val="20"/>
                <w:szCs w:val="20"/>
                <w:color w:val="auto"/>
              </w:rPr>
            </w:pPr>
            <w:r>
              <w:rPr>
                <w:rFonts w:ascii="Arial" w:cs="Arial" w:eastAsia="Arial" w:hAnsi="Arial"/>
                <w:sz w:val="18"/>
                <w:szCs w:val="18"/>
                <w:color w:val="auto"/>
              </w:rPr>
              <w:t>42.3 %</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840</w:t>
            </w:r>
          </w:p>
        </w:tc>
        <w:tc>
          <w:tcPr>
            <w:tcW w:w="1120" w:type="dxa"/>
            <w:vAlign w:val="bottom"/>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Divestitures</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440" w:type="dxa"/>
            <w:vAlign w:val="bottom"/>
          </w:tcPr>
          <w:p>
            <w:pPr>
              <w:ind w:left="220"/>
              <w:spacing w:after="0"/>
              <w:rPr>
                <w:sz w:val="20"/>
                <w:szCs w:val="20"/>
                <w:color w:val="auto"/>
              </w:rPr>
            </w:pPr>
            <w:r>
              <w:rPr>
                <w:rFonts w:ascii="Arial" w:cs="Arial" w:eastAsia="Arial" w:hAnsi="Arial"/>
                <w:sz w:val="18"/>
                <w:szCs w:val="18"/>
                <w:color w:val="auto"/>
              </w:rPr>
              <w:t>Constant Currency</w:t>
            </w: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7.4 %</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27.6 %</w:t>
            </w: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41.3 %</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188"/>
        </w:trPr>
        <w:tc>
          <w:tcPr>
            <w:tcW w:w="24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Foreign currency translation</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w:t>
            </w: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3"/>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change in orders</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12.2 %</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31.3 %</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44.0 %</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26.1 %</w:t>
            </w:r>
          </w:p>
        </w:tc>
        <w:tc>
          <w:tcPr>
            <w:tcW w:w="0" w:type="dxa"/>
            <w:vAlign w:val="bottom"/>
          </w:tcPr>
          <w:p>
            <w:pPr>
              <w:spacing w:after="0"/>
              <w:rPr>
                <w:sz w:val="1"/>
                <w:szCs w:val="1"/>
                <w:color w:val="auto"/>
              </w:rPr>
            </w:pPr>
          </w:p>
        </w:tc>
      </w:tr>
      <w:tr>
        <w:trPr>
          <w:trHeight w:val="248"/>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2021 Orders</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1,873</w:t>
            </w: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1,409</w:t>
            </w: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1,434</w:t>
            </w: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4,716</w:t>
            </w: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40" w:right="160" w:hanging="332"/>
        <w:spacing w:after="0" w:line="260" w:lineRule="auto"/>
        <w:tabs>
          <w:tab w:leader="none" w:pos="3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strengthening in value of various currencies against the U.S. Dollar, the largest being the Euro, the Chinese Yuan, the British Pound, the Australian Dollar and the Canadian Dollar.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Water Infrastructure segment orders increased $65 million, or 11.6%, to $623 million (9.5% on a constant currency basis) for the third quarter of 2021 as compared to the prior year. Order growth for the quarter benefited from $12 million of foreign currency translation. Organic orders increased during the quarter as strength in the transport application benefited from strong order intake in North America and western Europe driven by healthy demand, as well as increased demand for dewatering applications in the emerging markets. Treatment orders were down slightly for the quarter.</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the nine months ended September 30, 2021, orders increased $203 million, or 12.2%, to $1,873 million (7.4% increase on a constant currency basis) as compared to the same prior year period. Order growth during the period benefited from $80 million of foreign currency translation. The order increase on a constant currency basis consisted of organic order growth in both the transport and treatment applications. Organic growth in the transport application was driven by healthy market conditions in North America and western Europe, marginally offset by a slight net decline in the emerging markets, where we had a significant project order of greater than $100 million in India during the second quarter of 2020 which offset order strength in the rest of the emerging markets during period. Organic orders for the treatment application also increased during the period due to order growth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1" w:name="page42"/>
    <w:bookmarkEnd w:id="41"/>
    <w:p>
      <w:pPr>
        <w:ind w:right="1800"/>
        <w:spacing w:after="0" w:line="375" w:lineRule="auto"/>
        <w:rPr>
          <w:sz w:val="20"/>
          <w:szCs w:val="20"/>
          <w:color w:val="auto"/>
        </w:rPr>
      </w:pPr>
      <w:r>
        <w:rPr>
          <w:rFonts w:ascii="Arial" w:cs="Arial" w:eastAsia="Arial" w:hAnsi="Arial"/>
          <w:sz w:val="18"/>
          <w:szCs w:val="18"/>
          <w:color w:val="auto"/>
        </w:rPr>
        <w:t xml:space="preserve">first half of the year, driven by strength in North America, emerging markets, particularly in China, and western Europe. </w:t>
      </w:r>
      <w:r>
        <w:rPr>
          <w:rFonts w:ascii="Arial" w:cs="Arial" w:eastAsia="Arial" w:hAnsi="Arial"/>
          <w:sz w:val="18"/>
          <w:szCs w:val="18"/>
          <w:i w:val="1"/>
          <w:iCs w:val="1"/>
          <w:color w:val="auto"/>
        </w:rPr>
        <w:t>Applied Water</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Applied Water segment orders increased $71 million, or 18.9%, to $446 million (17.1% increase on a constant currency basis) for the third quarter of 2021 as compared to the prior year. Order growth for the quarter benefited from $7 million of foreign currency translation. The order increase on a constant currency basis was driven entirely by organic order growth, primarily in the U.S. commercial building services and industrial end markets, where we benefited from strong demand recovery, amplified by longer lead times for delivering product, and to a lesser extent, in the emerging markets and western Europe.</w:t>
      </w:r>
    </w:p>
    <w:p>
      <w:pPr>
        <w:spacing w:after="0" w:line="9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For the nine months ended September 30, 2021, orders increased $336 million, or 31.3%, to $1,409 million (27.6% increase on a constant currency basis) as compared to the same prior year period. Order growth during the period benefited from $ 40 million of foreign currency translation. The order increase on a constant currency basis was driven by organic order growth in the U.S. across all end markets and applications, where we benefited from strong demand, amplified by early ordering to mitigate longer lead times; in the emerging markets, particularly in China where order intake was weakened by COVID-19 impacts in the prior year; as well as in western Europe.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Measurement &amp; Control Solutions segment orders increased $136 million, or 43.5%, to $449 million (41.9% increase on a constant currency basis) for the third quarter of 2021 as compared to the prior year. Order growth for the quarter benefited from $5 million of foreign currency translation. The order increase on a constant currency basis consisted almost entirely of organic order growth of $133 million, or 42.5%. Organic order growth was led by the energy application, primarily in our metrology business, where the electric and gas businesses benefited from COVID-19 recovery, coupled with increased order intake due to electronic component shortages. Order intake in the water application also grew organically during the quarter, which experienced strong order intake in the U.S. metrology business, which also benefited from COVID-19 recovery and increased order intake due to electronic component shortages.</w:t>
      </w:r>
    </w:p>
    <w:p>
      <w:pPr>
        <w:spacing w:after="0" w:line="99"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For the nine months ended September 30, 2021, orders increased $438 million, or 44.0%, to $1,434 million (41.3% increase on a constant currency basis) as compared to the same prior year period. Order growth during the period benefited from $27 million of foreign currency translation. The order increase on a constant currency basis included organic order growth of $421 million, or 42.3%, which was partially offset by a $10 million reduction in orders related to divestiture impacts during the period. Organic order growth was led by the water application, primarily in our metrology business, but also from our test business as well. The energy applications also had good organic growth during the period. The growth on a year-to-date basis across all the applications in this segment was impacted by similar dynamics impacting the order growth for the quarter.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3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large projects require longer lead production cycles and deployment schedules and delays occur from time to time. Total backlog was $2,964 million at September 30, 2021, an increase of $772 million or 35.2%, as compared to September 30, 2020 backlog of $2,192 million, and an increase of $840 million or 39.5%, as compared to December 31, 2020 backlog of $2,124 million driven by the significant increase in orders in the year. We anticipate that approximately 35% of the backlog at September 30, 2021 will be recognized as revenue in the remainder of 2021, subject to supply constraints. There were no significant order cancellations during the quarter.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3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Gross margin as a percentage of revenue decreased 50 basis points to 37.3% and increased 110 basis points to 38.3% for the three and nine months ended September 30, 2021, as compared to 37.8% and 37.2% for the comparative 2020 periods. The gross margin decrease for the quarter was primarily driven by cost inflation and increased logistics costs, partially offset by cost reductions from our global procurement and productivity improvement initiatives. The gross margin increase for the nine month period was primarily driven by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reductions from our productivity, restructuring and other cost saving initiatives and favorable volume, partially offset by inflation.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operating expenses for the three and nine months ended September 30, 2021 and 2020:</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294"/>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5"/>
                <w:szCs w:val="15"/>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332"/>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68"/>
        </w:trPr>
        <w:tc>
          <w:tcPr>
            <w:tcW w:w="3460" w:type="dxa"/>
            <w:vAlign w:val="bottom"/>
            <w:tcBorders>
              <w:top w:val="single" w:sz="8" w:color="CCEEFF"/>
            </w:tcBorders>
            <w:shd w:val="clear" w:color="auto" w:fill="CCEEFF"/>
          </w:tcPr>
          <w:p>
            <w:pPr>
              <w:ind w:left="140"/>
              <w:spacing w:after="0" w:line="168"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273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878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expenses ("SG&amp;A")</w:t>
            </w:r>
          </w:p>
        </w:tc>
        <w:tc>
          <w:tcPr>
            <w:tcW w:w="26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9"/>
        </w:trPr>
        <w:tc>
          <w:tcPr>
            <w:tcW w:w="3460" w:type="dxa"/>
            <w:vAlign w:val="bottom"/>
          </w:tcPr>
          <w:p>
            <w:pPr>
              <w:ind w:left="360"/>
              <w:spacing w:after="0"/>
              <w:rPr>
                <w:sz w:val="20"/>
                <w:szCs w:val="20"/>
                <w:color w:val="auto"/>
              </w:rPr>
            </w:pPr>
            <w:r>
              <w:rPr>
                <w:rFonts w:ascii="Arial" w:cs="Arial" w:eastAsia="Arial" w:hAnsi="Arial"/>
                <w:sz w:val="18"/>
                <w:szCs w:val="18"/>
                <w:i w:val="1"/>
                <w:iCs w:val="1"/>
                <w:color w:val="auto"/>
              </w:rPr>
              <w:t>SG&amp;A as a % of revenue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21.6 %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(20) bp</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22.7 %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(160) bp</w:t>
            </w:r>
          </w:p>
        </w:tc>
        <w:tc>
          <w:tcPr>
            <w:tcW w:w="0" w:type="dxa"/>
            <w:vAlign w:val="bottom"/>
          </w:tcPr>
          <w:p>
            <w:pPr>
              <w:spacing w:after="0"/>
              <w:rPr>
                <w:sz w:val="1"/>
                <w:szCs w:val="1"/>
                <w:color w:val="auto"/>
              </w:rPr>
            </w:pPr>
          </w:p>
        </w:tc>
      </w:tr>
      <w:tr>
        <w:trPr>
          <w:trHeight w:val="188"/>
        </w:trPr>
        <w:tc>
          <w:tcPr>
            <w:tcW w:w="34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("R&amp;D")</w:t>
            </w: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3460" w:type="dxa"/>
            <w:vAlign w:val="bottom"/>
          </w:tcPr>
          <w:p>
            <w:pPr>
              <w:ind w:left="360"/>
              <w:spacing w:after="0"/>
              <w:rPr>
                <w:sz w:val="20"/>
                <w:szCs w:val="20"/>
                <w:color w:val="auto"/>
              </w:rPr>
            </w:pPr>
            <w:r>
              <w:rPr>
                <w:rFonts w:ascii="Arial" w:cs="Arial" w:eastAsia="Arial" w:hAnsi="Arial"/>
                <w:sz w:val="18"/>
                <w:szCs w:val="18"/>
                <w:i w:val="1"/>
                <w:iCs w:val="1"/>
                <w:color w:val="auto"/>
              </w:rPr>
              <w:t>R&amp;D as a % of revenue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bp</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 bp</w:t>
            </w:r>
          </w:p>
        </w:tc>
        <w:tc>
          <w:tcPr>
            <w:tcW w:w="0" w:type="dxa"/>
            <w:vAlign w:val="bottom"/>
          </w:tcPr>
          <w:p>
            <w:pPr>
              <w:spacing w:after="0"/>
              <w:rPr>
                <w:sz w:val="1"/>
                <w:szCs w:val="1"/>
                <w:color w:val="auto"/>
              </w:rPr>
            </w:pPr>
          </w:p>
        </w:tc>
      </w:tr>
      <w:tr>
        <w:trPr>
          <w:trHeight w:val="188"/>
        </w:trPr>
        <w:tc>
          <w:tcPr>
            <w:tcW w:w="34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Restructuring and asset impairment</w:t>
            </w:r>
          </w:p>
        </w:tc>
        <w:tc>
          <w:tcPr>
            <w:tcW w:w="2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charges</w:t>
            </w: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(110.5)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(89.9) %</w:t>
            </w:r>
          </w:p>
        </w:tc>
        <w:tc>
          <w:tcPr>
            <w:tcW w:w="0" w:type="dxa"/>
            <w:vAlign w:val="bottom"/>
          </w:tcPr>
          <w:p>
            <w:pPr>
              <w:spacing w:after="0"/>
              <w:rPr>
                <w:sz w:val="1"/>
                <w:szCs w:val="1"/>
                <w:color w:val="auto"/>
              </w:rPr>
            </w:pPr>
          </w:p>
        </w:tc>
      </w:tr>
      <w:tr>
        <w:trPr>
          <w:trHeight w:val="229"/>
        </w:trPr>
        <w:tc>
          <w:tcPr>
            <w:tcW w:w="3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Goodwill impairment charge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3"/>
          </w:tcPr>
          <w:p>
            <w:pPr>
              <w:jc w:val="right"/>
              <w:ind w:right="38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72"/>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(17.5)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1,037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39"/>
        </w:trPr>
        <w:tc>
          <w:tcPr>
            <w:tcW w:w="3460" w:type="dxa"/>
            <w:vAlign w:val="bottom"/>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25.3 %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(650) bp</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26.8 %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(510) bp</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SG&amp;A expenses increased by $7 million to $273 million, or 21.6% of revenue, in the third quarter of 2021, as compared to $ 266 million, or 21.8% of revenue, in the comparable 2020 period; and increased by $ 27 million to $878 million, or 22.7% of revenue, in the nine months ended September 30, 2021, as compared to $851 million, or 24.3% of revenue, in the comparable 2020 period. Revenue growth driven by favorable volume was higher than SG&amp;A increases resulting in a lower SG&amp;A as a percentage of sales. Cost increases in both periods were driven by cost inflation and increased investments in strategic growth initiatives, partially offset by cost reductions from our productivity, restructuring and other cost saving initiatives and decreased quality management costs.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3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R&amp;D expense was $49 million, or 3.9% of revenue, in the third quarter of 2021, as compared to $45 million, or 3.7% of revenue, in the comparable 2020 period; and was $152 million, or 3.9% of revenue, in the nine months ended September 30, 2021, as compared to $138 million, or 3.9% of revenue, in the comparable 2020 period.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Asset Impairment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the three and nine months ended September 30, 2021, we recognized restructuring net charges of $(2) million and $6 million, respectively, of which $(2) million and $4 million relate to actions previously announced in 2020 and prior. These charges included reduction of headcount across all segments, asset impairments within our Measurement &amp; Control Solutions segment, and accrual recoveries in our Measurement &amp; Control Solutions segment.</w:t>
      </w:r>
    </w:p>
    <w:p>
      <w:pPr>
        <w:spacing w:after="0" w:line="9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response to the changes in business and economic conditions arising as a result of the COVID-19 pandemic, in June 2020 management committed to a restructuring plan that includes actions across our businesses and functions globally. The plan is designed to support our long-term financial resilience, simplify our operations, strengthen our competitive positioning and better serve our customers. During the three and nine months ended September 30, 2020, we recognized restructuring charges of $8 million and $48 million, respectively. These charges included reduction of headcount across all segments and asset impairments within our Measurement &amp; Control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9" w:right="379" w:bottom="1440" w:gutter="0" w:footer="0" w:header="0"/>
        </w:sectPr>
      </w:pPr>
    </w:p>
    <w:bookmarkStart w:id="43" w:name="page44"/>
    <w:bookmarkEnd w:id="43"/>
    <w:p>
      <w:pPr>
        <w:ind w:right="260"/>
        <w:spacing w:after="0" w:line="261" w:lineRule="auto"/>
        <w:rPr>
          <w:sz w:val="20"/>
          <w:szCs w:val="20"/>
          <w:color w:val="auto"/>
        </w:rPr>
      </w:pPr>
      <w:r>
        <w:rPr>
          <w:rFonts w:ascii="Arial" w:cs="Arial" w:eastAsia="Arial" w:hAnsi="Arial"/>
          <w:sz w:val="18"/>
          <w:szCs w:val="18"/>
          <w:color w:val="auto"/>
        </w:rPr>
        <w:t>The following is a roll-forward for the nine months ended September 30, 2021 and 2020 of employee position eliminations associated with restructuring activities: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32"/>
              <w:spacing w:after="0"/>
              <w:rPr>
                <w:sz w:val="20"/>
                <w:szCs w:val="20"/>
                <w:color w:val="auto"/>
              </w:rPr>
            </w:pPr>
            <w:r>
              <w:rPr>
                <w:rFonts w:ascii="Arial" w:cs="Arial" w:eastAsia="Arial" w:hAnsi="Arial"/>
                <w:sz w:val="14"/>
                <w:szCs w:val="14"/>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Planned reductions - January 1</w:t>
            </w:r>
          </w:p>
        </w:tc>
        <w:tc>
          <w:tcPr>
            <w:tcW w:w="1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319</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ind w:left="732"/>
              <w:spacing w:after="0"/>
              <w:rPr>
                <w:sz w:val="20"/>
                <w:szCs w:val="20"/>
                <w:color w:val="auto"/>
              </w:rPr>
            </w:pPr>
            <w:r>
              <w:rPr>
                <w:rFonts w:ascii="Arial" w:cs="Arial" w:eastAsia="Arial" w:hAnsi="Arial"/>
                <w:sz w:val="18"/>
                <w:szCs w:val="18"/>
                <w:color w:val="auto"/>
                <w:w w:val="99"/>
              </w:rPr>
              <w:t>196</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Additional planned reductions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center"/>
              <w:ind w:left="732"/>
              <w:spacing w:after="0"/>
              <w:rPr>
                <w:sz w:val="20"/>
                <w:szCs w:val="20"/>
                <w:color w:val="auto"/>
              </w:rPr>
            </w:pPr>
            <w:r>
              <w:rPr>
                <w:rFonts w:ascii="Arial" w:cs="Arial" w:eastAsia="Arial" w:hAnsi="Arial"/>
                <w:sz w:val="18"/>
                <w:szCs w:val="18"/>
                <w:color w:val="auto"/>
                <w:w w:val="99"/>
              </w:rPr>
              <w:t>670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reductions and reversals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99"/>
              </w:rPr>
              <w:t>(234)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99"/>
              </w:rPr>
              <w:t>(604)</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color w:val="auto"/>
              </w:rPr>
              <w:t>Planned reductions - September 30</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158</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center"/>
              <w:ind w:left="732"/>
              <w:spacing w:after="0"/>
              <w:rPr>
                <w:sz w:val="20"/>
                <w:szCs w:val="20"/>
                <w:color w:val="auto"/>
              </w:rPr>
            </w:pPr>
            <w:r>
              <w:rPr>
                <w:rFonts w:ascii="Arial" w:cs="Arial" w:eastAsia="Arial" w:hAnsi="Arial"/>
                <w:sz w:val="18"/>
                <w:szCs w:val="18"/>
                <w:color w:val="auto"/>
                <w:w w:val="99"/>
              </w:rPr>
              <w:t>262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gridSpan w:val="7"/>
            <w:vMerge w:val="restart"/>
          </w:tcPr>
          <w:p>
            <w:pPr>
              <w:spacing w:after="0"/>
              <w:rPr>
                <w:sz w:val="20"/>
                <w:szCs w:val="20"/>
                <w:color w:val="auto"/>
              </w:rPr>
            </w:pPr>
            <w:r>
              <w:rPr>
                <w:rFonts w:ascii="Arial" w:cs="Arial" w:eastAsia="Arial" w:hAnsi="Arial"/>
                <w:sz w:val="18"/>
                <w:szCs w:val="18"/>
                <w:color w:val="auto"/>
              </w:rPr>
              <w:t>The following table presents expected restructuring spend in 2021 and thereafter:</w:t>
            </w: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900" w:type="dxa"/>
            <w:vAlign w:val="bottom"/>
            <w:gridSpan w:val="7"/>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rPr>
              <w:t>Water</w:t>
            </w:r>
          </w:p>
        </w:tc>
        <w:tc>
          <w:tcPr>
            <w:tcW w:w="16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Applied Water</w:t>
            </w:r>
          </w:p>
        </w:tc>
        <w:tc>
          <w:tcPr>
            <w:tcW w:w="1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rPr>
              <w:t>Measurement &amp;</w:t>
            </w:r>
          </w:p>
        </w:tc>
        <w:tc>
          <w:tcPr>
            <w:tcW w:w="2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Corporate</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6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146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Control Solutions</w:t>
            </w:r>
          </w:p>
        </w:tc>
        <w:tc>
          <w:tcPr>
            <w:tcW w:w="2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2021:</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Costs incurred during Q1 2021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Q2 2021</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Costs incurred during Q3 2021</w:t>
            </w: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2020: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9"/>
                <w:szCs w:val="19"/>
                <w:color w:val="auto"/>
              </w:rPr>
            </w:pPr>
          </w:p>
        </w:tc>
        <w:tc>
          <w:tcPr>
            <w:tcW w:w="4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Costs incurred during Q1 2021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Q2 2021</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Costs incurred during Q3 2021</w:t>
            </w: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third quarter of 2021, we recorded an adjustment of $3 million to decrease the liability within the Measurement &amp; Control Solutions segment, related to our 2019 actions. As a result of this adjustment, the estimated total cost of the 2019 actions decreased to $24 million for the Measurement &amp; Control Solutions segment. The 2019 actions are complete.</w:t>
      </w:r>
    </w:p>
    <w:p>
      <w:pPr>
        <w:spacing w:after="0" w:line="202"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Water Infrastructure actions commenced in 2021 consist primarily of severance charges. These actions are expected to continue through the second quarter of 2022.</w:t>
      </w:r>
    </w:p>
    <w:p>
      <w:pPr>
        <w:spacing w:after="0" w:line="198"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The Water Infrastructure, Applied Water, and Measurement &amp; Control Solutions actions commenced in 2020 consist primarily of severance charges across segments and asset impairment charges in our Measurement &amp; Control Solutions segment. These actions are expected to continue through the second quarter of 2022.</w:t>
      </w:r>
    </w:p>
    <w:p>
      <w:pPr>
        <w:spacing w:after="0" w:line="9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During the second quarter of 2020 the discontinuance of a product line resulted in $17 million of asset impairments, primarily related to customer relationships, trademarks and fixed assets within our Measurement &amp; Control Solutions segment.</w:t>
      </w:r>
    </w:p>
    <w:p>
      <w:pPr>
        <w:spacing w:after="0" w:line="9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currently expect to incur approximately $8 million in restructuring costs for the full year. These restructuring charges are primarily related to actions taken in response to the changes in business and economic conditions arising as a result of the COVID-19 pandemic as well as other efforts to optimize our cost structure, improve our operational efficiency and effectiveness, strengthen our competitive positioning and better serve our customers. We expect to realize approximately $33 million of incremental net savings in 2021 from restructuring actions initiated in 2020. As a result of all of the actions taken and expected to be taken in 2021, we anticipate approximately $1 million of total net savings to be realized during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Asset Impairment</w:t>
      </w:r>
    </w:p>
    <w:p>
      <w:pPr>
        <w:spacing w:after="0" w:line="13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During the third quarter of 2020, we determined that certain assets including software and proprietary technology within our Measurement &amp; Control Solutions segment were impaired. Accordingly we recognized an impairment charge of $11 million. Refer to Note 7, "Goodwill and Other Intangible Assets," for additional information.</w:t>
      </w:r>
    </w:p>
    <w:p>
      <w:pPr>
        <w:spacing w:after="0" w:line="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second quarter of 2020 we determined that internally developed in-process software within our Measurement &amp; Control Solutions segment was impaired as a result of actions taken to prioritize strategic investments. Accordingly, we recognized an impairment charge of $10 million. Refer to Note 7, "Goodwill and Other Intangible Assets," for additional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Operating income during the third quarter of 2021 was $152 million, reflecting an increase of 108.2% compared to $73 million in the third quarter of 2020. Operating margin was 12.0% for the third quarter of 2021 versus 6.0% for the comparable period in 2020, an increase of 600 basis points. Operating margin benefited from a decrease in restructuring and realignment costs of $13 million as compared to the third quarter of 2020 and a decrease in special charges of $69 million. Excluding the impact of these items, adjusted operating income was $155 million with an adjusted operating margin of 12.3% in the third quarter of 2021 as compared to adjusted operating income of $158 million with an adjusted operating margin of 13.0% in the third quarter of 2020. The decrease in adjusted operating margin was primarily due to cost inflation, increased spending on strategic investments, increased logistics costs and unfavorable mix. These impacts were partially offset by cost reductions from our productivity, restructuring and other cost saving initiatives, price realization, favorable volume, and other lesser impacts.</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income for the nine months ended September 30, 2021 was $445 million, reflecting an increase of 136.7% compared to $188 million in 2020. Operating margin was 11.5% for the nine months ended September 30, 2021 versus 5.4% for the comparable period in 2020, an increase of 610 basis points. Operating margin benefited from a decrease in restructuring and realignment costs of $51 million and a decrease in special charges of $78 million as compared to 2020. Excluding the impact of these items, adjusted operating income was $464 million with an adjusted operating margin of 12.0% for the nine months ended September 30, 2021 as compared to adjusted operating income of $336 million with an adjusted operating margin of 9.6% in 2020. The increase in adjusted operating margin was primarily due to cost reductions from our productivity, restructuring and other cost saving initiatives and favorable volume, impacted by COVID-19 recovery. These impacts were partially offset by cost inflation and increased spending on strategic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right="200"/>
        <w:spacing w:after="0" w:line="261" w:lineRule="auto"/>
        <w:rPr>
          <w:sz w:val="20"/>
          <w:szCs w:val="20"/>
          <w:color w:val="auto"/>
        </w:rPr>
      </w:pPr>
      <w:r>
        <w:rPr>
          <w:rFonts w:ascii="Arial" w:cs="Arial" w:eastAsia="Arial" w:hAnsi="Arial"/>
          <w:sz w:val="18"/>
          <w:szCs w:val="18"/>
          <w:color w:val="auto"/>
        </w:rPr>
        <w:t>The table below provides a reconciliation of the total and each segment's operating income to adjusted operating income, and a calculation of the corresponding adjusted operating margin: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4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gridSpan w:val="5"/>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89"/>
        </w:trPr>
        <w:tc>
          <w:tcPr>
            <w:tcW w:w="3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r>
      <w:tr>
        <w:trPr>
          <w:trHeight w:val="183"/>
        </w:trPr>
        <w:tc>
          <w:tcPr>
            <w:tcW w:w="38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5"/>
                <w:szCs w:val="15"/>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3"/>
          </w:tcPr>
          <w:p>
            <w:pPr>
              <w:ind w:left="140"/>
              <w:spacing w:after="0"/>
              <w:rPr>
                <w:sz w:val="20"/>
                <w:szCs w:val="20"/>
                <w:color w:val="auto"/>
              </w:rPr>
            </w:pPr>
            <w:r>
              <w:rPr>
                <w:rFonts w:ascii="Arial" w:cs="Arial" w:eastAsia="Arial" w:hAnsi="Arial"/>
                <w:sz w:val="14"/>
                <w:szCs w:val="14"/>
                <w:color w:val="auto"/>
              </w:rPr>
              <w:t>Change</w:t>
            </w:r>
          </w:p>
        </w:tc>
        <w:tc>
          <w:tcPr>
            <w:tcW w:w="240" w:type="dxa"/>
            <w:vAlign w:val="bottom"/>
          </w:tcPr>
          <w:p>
            <w:pPr>
              <w:spacing w:after="0"/>
              <w:rPr>
                <w:sz w:val="15"/>
                <w:szCs w:val="15"/>
                <w:color w:val="auto"/>
              </w:rPr>
            </w:pPr>
          </w:p>
        </w:tc>
        <w:tc>
          <w:tcPr>
            <w:tcW w:w="840" w:type="dxa"/>
            <w:vAlign w:val="bottom"/>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291"/>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310"/>
              <w:spacing w:after="0"/>
              <w:rPr>
                <w:sz w:val="20"/>
                <w:szCs w:val="20"/>
                <w:color w:val="auto"/>
              </w:rPr>
            </w:pPr>
            <w:r>
              <w:rPr>
                <w:rFonts w:ascii="Arial" w:cs="Arial" w:eastAsia="Arial" w:hAnsi="Arial"/>
                <w:sz w:val="14"/>
                <w:szCs w:val="14"/>
                <w:color w:val="auto"/>
              </w:rPr>
              <w:t>Change</w:t>
            </w:r>
          </w:p>
        </w:tc>
      </w:tr>
      <w:tr>
        <w:trPr>
          <w:trHeight w:val="210"/>
        </w:trPr>
        <w:tc>
          <w:tcPr>
            <w:tcW w:w="38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Water Infrastructure</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r>
      <w:tr>
        <w:trPr>
          <w:trHeight w:val="229"/>
        </w:trPr>
        <w:tc>
          <w:tcPr>
            <w:tcW w:w="382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rPr>
              <w:t>101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265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r>
      <w:tr>
        <w:trPr>
          <w:trHeight w:val="229"/>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18.5 %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150</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w w:val="99"/>
              </w:rPr>
              <w:t>bp</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bp</w:t>
            </w:r>
          </w:p>
        </w:tc>
      </w:tr>
      <w:tr>
        <w:trPr>
          <w:trHeight w:val="230"/>
        </w:trPr>
        <w:tc>
          <w:tcPr>
            <w:tcW w:w="38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Restructuring and realignment costs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jc w:val="right"/>
              <w:ind w:right="170"/>
              <w:spacing w:after="0"/>
              <w:rPr>
                <w:sz w:val="20"/>
                <w:szCs w:val="20"/>
                <w:color w:val="auto"/>
              </w:rPr>
            </w:pPr>
            <w:r>
              <w:rPr>
                <w:rFonts w:ascii="Arial" w:cs="Arial" w:eastAsia="Arial" w:hAnsi="Arial"/>
                <w:sz w:val="18"/>
                <w:szCs w:val="18"/>
                <w:color w:val="auto"/>
              </w:rPr>
              <w:t>(87.5)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2"/>
          </w:tcPr>
          <w:p>
            <w:pPr>
              <w:jc w:val="right"/>
              <w:ind w:right="170"/>
              <w:spacing w:after="0"/>
              <w:rPr>
                <w:sz w:val="20"/>
                <w:szCs w:val="20"/>
                <w:color w:val="auto"/>
              </w:rPr>
            </w:pPr>
            <w:r>
              <w:rPr>
                <w:rFonts w:ascii="Arial" w:cs="Arial" w:eastAsia="Arial" w:hAnsi="Arial"/>
                <w:sz w:val="18"/>
                <w:szCs w:val="18"/>
                <w:color w:val="auto"/>
              </w:rPr>
              <w:t>(52.4) %</w:t>
            </w:r>
          </w:p>
        </w:tc>
      </w:tr>
      <w:tr>
        <w:trPr>
          <w:trHeight w:val="223"/>
        </w:trPr>
        <w:tc>
          <w:tcPr>
            <w:tcW w:w="3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102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275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r>
      <w:tr>
        <w:trPr>
          <w:trHeight w:val="230"/>
        </w:trPr>
        <w:tc>
          <w:tcPr>
            <w:tcW w:w="3820" w:type="dxa"/>
            <w:vAlign w:val="bottom"/>
          </w:tcPr>
          <w:p>
            <w:pPr>
              <w:ind w:left="640"/>
              <w:spacing w:after="0"/>
              <w:rPr>
                <w:sz w:val="20"/>
                <w:szCs w:val="20"/>
                <w:color w:val="auto"/>
              </w:rPr>
            </w:pPr>
            <w:r>
              <w:rPr>
                <w:rFonts w:ascii="Arial" w:cs="Arial" w:eastAsia="Arial" w:hAnsi="Arial"/>
                <w:sz w:val="18"/>
                <w:szCs w:val="18"/>
                <w:color w:val="auto"/>
              </w:rPr>
              <w:t>Adjusted operating margin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18.6 %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18.5 %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w w:val="99"/>
              </w:rPr>
              <w:t>bp</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16.9 %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15.2 %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170</w:t>
            </w:r>
          </w:p>
        </w:tc>
        <w:tc>
          <w:tcPr>
            <w:tcW w:w="440" w:type="dxa"/>
            <w:vAlign w:val="bottom"/>
          </w:tcPr>
          <w:p>
            <w:pPr>
              <w:jc w:val="right"/>
              <w:ind w:right="130"/>
              <w:spacing w:after="0"/>
              <w:rPr>
                <w:sz w:val="20"/>
                <w:szCs w:val="20"/>
                <w:color w:val="auto"/>
              </w:rPr>
            </w:pPr>
            <w:r>
              <w:rPr>
                <w:rFonts w:ascii="Arial" w:cs="Arial" w:eastAsia="Arial" w:hAnsi="Arial"/>
                <w:sz w:val="18"/>
                <w:szCs w:val="18"/>
                <w:i w:val="1"/>
                <w:iCs w:val="1"/>
                <w:color w:val="auto"/>
                <w:w w:val="99"/>
              </w:rPr>
              <w:t>bp</w:t>
            </w:r>
          </w:p>
        </w:tc>
      </w:tr>
      <w:tr>
        <w:trPr>
          <w:trHeight w:val="229"/>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Applied Water</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29"/>
        </w:trPr>
        <w:tc>
          <w:tcPr>
            <w:tcW w:w="382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rPr>
              <w:t>60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190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r>
      <w:tr>
        <w:trPr>
          <w:trHeight w:val="230"/>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(40) bp</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bp</w:t>
            </w:r>
          </w:p>
        </w:tc>
      </w:tr>
      <w:tr>
        <w:trPr>
          <w:trHeight w:val="229"/>
        </w:trPr>
        <w:tc>
          <w:tcPr>
            <w:tcW w:w="3820" w:type="dxa"/>
            <w:vAlign w:val="bottom"/>
          </w:tcPr>
          <w:p>
            <w:pPr>
              <w:ind w:left="520"/>
              <w:spacing w:after="0"/>
              <w:rPr>
                <w:sz w:val="20"/>
                <w:szCs w:val="20"/>
                <w:color w:val="auto"/>
              </w:rPr>
            </w:pPr>
            <w:r>
              <w:rPr>
                <w:rFonts w:ascii="Arial" w:cs="Arial" w:eastAsia="Arial" w:hAnsi="Arial"/>
                <w:sz w:val="18"/>
                <w:szCs w:val="18"/>
                <w:color w:val="auto"/>
              </w:rPr>
              <w:t>Restructuring and realignment costs</w:t>
            </w:r>
          </w:p>
        </w:tc>
        <w:tc>
          <w:tcPr>
            <w:tcW w:w="240" w:type="dxa"/>
            <w:vAlign w:val="bottom"/>
          </w:tcPr>
          <w:p>
            <w:pPr>
              <w:spacing w:after="0"/>
              <w:rPr>
                <w:sz w:val="19"/>
                <w:szCs w:val="19"/>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(37.5) %</w:t>
            </w:r>
          </w:p>
        </w:tc>
      </w:tr>
      <w:tr>
        <w:trPr>
          <w:trHeight w:val="230"/>
        </w:trPr>
        <w:tc>
          <w:tcPr>
            <w:tcW w:w="3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40" w:type="dxa"/>
            <w:vAlign w:val="bottom"/>
            <w:shd w:val="clear" w:color="auto" w:fill="CCEEFF"/>
          </w:tcPr>
          <w:p>
            <w:pPr>
              <w:spacing w:after="0"/>
              <w:rPr>
                <w:sz w:val="19"/>
                <w:szCs w:val="19"/>
                <w:color w:val="auto"/>
              </w:rPr>
            </w:pPr>
          </w:p>
        </w:tc>
      </w:tr>
      <w:tr>
        <w:trPr>
          <w:trHeight w:val="223"/>
        </w:trPr>
        <w:tc>
          <w:tcPr>
            <w:tcW w:w="382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rPr>
              <w:t>62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196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r>
      <w:tr>
        <w:trPr>
          <w:trHeight w:val="229"/>
        </w:trPr>
        <w:tc>
          <w:tcPr>
            <w:tcW w:w="3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15.9 %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(40) bp</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bp</w:t>
            </w: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b w:val="1"/>
                <w:bCs w:val="1"/>
                <w:color w:val="auto"/>
              </w:rPr>
              <w:t>Measurement &amp; Control Solutions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r>
      <w:tr>
        <w:trPr>
          <w:trHeight w:val="230"/>
        </w:trPr>
        <w:tc>
          <w:tcPr>
            <w:tcW w:w="382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(18.7)%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i w:val="1"/>
                <w:iCs w:val="1"/>
                <w:color w:val="auto"/>
              </w:rPr>
              <w:t>2,090</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w w:val="99"/>
              </w:rPr>
              <w:t>bp</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(12.0)%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1,480</w:t>
            </w:r>
          </w:p>
        </w:tc>
        <w:tc>
          <w:tcPr>
            <w:tcW w:w="440" w:type="dxa"/>
            <w:vAlign w:val="bottom"/>
          </w:tcPr>
          <w:p>
            <w:pPr>
              <w:jc w:val="right"/>
              <w:ind w:right="130"/>
              <w:spacing w:after="0"/>
              <w:rPr>
                <w:sz w:val="20"/>
                <w:szCs w:val="20"/>
                <w:color w:val="auto"/>
              </w:rPr>
            </w:pPr>
            <w:r>
              <w:rPr>
                <w:rFonts w:ascii="Arial" w:cs="Arial" w:eastAsia="Arial" w:hAnsi="Arial"/>
                <w:sz w:val="18"/>
                <w:szCs w:val="18"/>
                <w:i w:val="1"/>
                <w:iCs w:val="1"/>
                <w:color w:val="auto"/>
                <w:w w:val="99"/>
              </w:rPr>
              <w:t>bp</w:t>
            </w:r>
          </w:p>
        </w:tc>
      </w:tr>
      <w:tr>
        <w:trPr>
          <w:trHeight w:val="229"/>
        </w:trPr>
        <w:tc>
          <w:tcPr>
            <w:tcW w:w="3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(97.4) %</w:t>
            </w:r>
          </w:p>
        </w:tc>
      </w:tr>
      <w:tr>
        <w:trPr>
          <w:trHeight w:val="229"/>
        </w:trPr>
        <w:tc>
          <w:tcPr>
            <w:tcW w:w="38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Special charges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440" w:type="dxa"/>
            <w:vAlign w:val="bottom"/>
            <w:tcBorders>
              <w:bottom w:val="single" w:sz="8" w:color="CCEEFF"/>
            </w:tcBorders>
          </w:tcPr>
          <w:p>
            <w:pPr>
              <w:spacing w:after="0"/>
              <w:rPr>
                <w:sz w:val="19"/>
                <w:szCs w:val="19"/>
                <w:color w:val="auto"/>
              </w:rPr>
            </w:pPr>
          </w:p>
        </w:tc>
      </w:tr>
      <w:tr>
        <w:trPr>
          <w:trHeight w:val="223"/>
        </w:trPr>
        <w:tc>
          <w:tcPr>
            <w:tcW w:w="3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income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r>
      <w:tr>
        <w:trPr>
          <w:trHeight w:val="230"/>
        </w:trPr>
        <w:tc>
          <w:tcPr>
            <w:tcW w:w="3820" w:type="dxa"/>
            <w:vAlign w:val="bottom"/>
          </w:tcPr>
          <w:p>
            <w:pPr>
              <w:ind w:left="640"/>
              <w:spacing w:after="0"/>
              <w:rPr>
                <w:sz w:val="20"/>
                <w:szCs w:val="20"/>
                <w:color w:val="auto"/>
              </w:rPr>
            </w:pPr>
            <w:r>
              <w:rPr>
                <w:rFonts w:ascii="Arial" w:cs="Arial" w:eastAsia="Arial" w:hAnsi="Arial"/>
                <w:sz w:val="18"/>
                <w:szCs w:val="18"/>
                <w:color w:val="auto"/>
              </w:rPr>
              <w:t>Adjusted operating margin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1.9 %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3.6 %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i w:val="1"/>
                <w:iCs w:val="1"/>
                <w:color w:val="auto"/>
              </w:rPr>
              <w:t>(170) bp</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320</w:t>
            </w:r>
          </w:p>
        </w:tc>
        <w:tc>
          <w:tcPr>
            <w:tcW w:w="440" w:type="dxa"/>
            <w:vAlign w:val="bottom"/>
          </w:tcPr>
          <w:p>
            <w:pPr>
              <w:jc w:val="right"/>
              <w:ind w:right="130"/>
              <w:spacing w:after="0"/>
              <w:rPr>
                <w:sz w:val="20"/>
                <w:szCs w:val="20"/>
                <w:color w:val="auto"/>
              </w:rPr>
            </w:pPr>
            <w:r>
              <w:rPr>
                <w:rFonts w:ascii="Arial" w:cs="Arial" w:eastAsia="Arial" w:hAnsi="Arial"/>
                <w:sz w:val="18"/>
                <w:szCs w:val="18"/>
                <w:i w:val="1"/>
                <w:iCs w:val="1"/>
                <w:color w:val="auto"/>
                <w:w w:val="99"/>
              </w:rPr>
              <w:t>bp</w:t>
            </w:r>
          </w:p>
        </w:tc>
      </w:tr>
      <w:tr>
        <w:trPr>
          <w:trHeight w:val="229"/>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Corporate and other</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30"/>
        </w:trPr>
        <w:tc>
          <w:tcPr>
            <w:tcW w:w="3820" w:type="dxa"/>
            <w:vAlign w:val="bottom"/>
          </w:tcPr>
          <w:p>
            <w:pPr>
              <w:ind w:left="360"/>
              <w:spacing w:after="0"/>
              <w:rPr>
                <w:sz w:val="20"/>
                <w:szCs w:val="20"/>
                <w:color w:val="auto"/>
              </w:rPr>
            </w:pPr>
            <w:r>
              <w:rPr>
                <w:rFonts w:ascii="Arial" w:cs="Arial" w:eastAsia="Arial" w:hAnsi="Arial"/>
                <w:sz w:val="18"/>
                <w:szCs w:val="18"/>
                <w:color w:val="auto"/>
              </w:rPr>
              <w:t>Operating loss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91"/>
              <w:spacing w:after="0"/>
              <w:rPr>
                <w:sz w:val="20"/>
                <w:szCs w:val="20"/>
                <w:color w:val="auto"/>
              </w:rPr>
            </w:pPr>
            <w:r>
              <w:rPr>
                <w:rFonts w:ascii="Arial" w:cs="Arial" w:eastAsia="Arial" w:hAnsi="Arial"/>
                <w:sz w:val="18"/>
                <w:szCs w:val="18"/>
                <w:b w:val="1"/>
                <w:bCs w:val="1"/>
                <w:color w:val="auto"/>
              </w:rPr>
              <w:t>(16)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91"/>
              <w:spacing w:after="0"/>
              <w:rPr>
                <w:sz w:val="20"/>
                <w:szCs w:val="20"/>
                <w:color w:val="auto"/>
              </w:rPr>
            </w:pPr>
            <w:r>
              <w:rPr>
                <w:rFonts w:ascii="Arial" w:cs="Arial" w:eastAsia="Arial" w:hAnsi="Arial"/>
                <w:sz w:val="18"/>
                <w:szCs w:val="18"/>
                <w:b w:val="1"/>
                <w:bCs w:val="1"/>
                <w:color w:val="auto"/>
              </w:rPr>
              <w:t>(39)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r>
      <w:tr>
        <w:trPr>
          <w:trHeight w:val="230"/>
        </w:trPr>
        <w:tc>
          <w:tcPr>
            <w:tcW w:w="3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r>
      <w:tr>
        <w:trPr>
          <w:trHeight w:val="223"/>
        </w:trPr>
        <w:tc>
          <w:tcPr>
            <w:tcW w:w="3820" w:type="dxa"/>
            <w:vAlign w:val="bottom"/>
          </w:tcPr>
          <w:p>
            <w:pPr>
              <w:ind w:left="680"/>
              <w:spacing w:after="0"/>
              <w:rPr>
                <w:sz w:val="20"/>
                <w:szCs w:val="20"/>
                <w:color w:val="auto"/>
              </w:rPr>
            </w:pPr>
            <w:r>
              <w:rPr>
                <w:rFonts w:ascii="Arial" w:cs="Arial" w:eastAsia="Arial" w:hAnsi="Arial"/>
                <w:sz w:val="18"/>
                <w:szCs w:val="18"/>
                <w:color w:val="auto"/>
              </w:rPr>
              <w:t>Adjusted operating loss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91"/>
              <w:spacing w:after="0"/>
              <w:rPr>
                <w:sz w:val="20"/>
                <w:szCs w:val="20"/>
                <w:color w:val="auto"/>
              </w:rPr>
            </w:pPr>
            <w:r>
              <w:rPr>
                <w:rFonts w:ascii="Arial" w:cs="Arial" w:eastAsia="Arial" w:hAnsi="Arial"/>
                <w:sz w:val="18"/>
                <w:szCs w:val="18"/>
                <w:b w:val="1"/>
                <w:bCs w:val="1"/>
                <w:color w:val="auto"/>
              </w:rPr>
              <w:t>(15)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91"/>
              <w:spacing w:after="0"/>
              <w:rPr>
                <w:sz w:val="20"/>
                <w:szCs w:val="20"/>
                <w:color w:val="auto"/>
              </w:rPr>
            </w:pPr>
            <w:r>
              <w:rPr>
                <w:rFonts w:ascii="Arial" w:cs="Arial" w:eastAsia="Arial" w:hAnsi="Arial"/>
                <w:sz w:val="18"/>
                <w:szCs w:val="18"/>
                <w:b w:val="1"/>
                <w:bCs w:val="1"/>
                <w:color w:val="auto"/>
              </w:rPr>
              <w:t>(37)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Xylem</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30"/>
        </w:trPr>
        <w:tc>
          <w:tcPr>
            <w:tcW w:w="382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rPr>
              <w:t>152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108.2</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445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r>
      <w:tr>
        <w:trPr>
          <w:trHeight w:val="229"/>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600</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w w:val="99"/>
              </w:rPr>
              <w:t>bp</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610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bp</w:t>
            </w:r>
          </w:p>
        </w:tc>
      </w:tr>
      <w:tr>
        <w:trPr>
          <w:trHeight w:val="230"/>
        </w:trPr>
        <w:tc>
          <w:tcPr>
            <w:tcW w:w="3820" w:type="dxa"/>
            <w:vAlign w:val="bottom"/>
          </w:tcPr>
          <w:p>
            <w:pPr>
              <w:ind w:left="520"/>
              <w:spacing w:after="0"/>
              <w:rPr>
                <w:sz w:val="20"/>
                <w:szCs w:val="20"/>
                <w:color w:val="auto"/>
              </w:rPr>
            </w:pPr>
            <w:r>
              <w:rPr>
                <w:rFonts w:ascii="Arial" w:cs="Arial" w:eastAsia="Arial" w:hAnsi="Arial"/>
                <w:sz w:val="18"/>
                <w:szCs w:val="18"/>
                <w:color w:val="auto"/>
              </w:rPr>
              <w:t>Restructuring and realignment costs</w:t>
            </w:r>
          </w:p>
        </w:tc>
        <w:tc>
          <w:tcPr>
            <w:tcW w:w="240" w:type="dxa"/>
            <w:vAlign w:val="bottom"/>
          </w:tcPr>
          <w:p>
            <w:pPr>
              <w:spacing w:after="0"/>
              <w:rPr>
                <w:sz w:val="19"/>
                <w:szCs w:val="19"/>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70"/>
              <w:spacing w:after="0"/>
              <w:rPr>
                <w:sz w:val="20"/>
                <w:szCs w:val="20"/>
                <w:color w:val="auto"/>
              </w:rPr>
            </w:pPr>
            <w:r>
              <w:rPr>
                <w:rFonts w:ascii="Arial" w:cs="Arial" w:eastAsia="Arial" w:hAnsi="Arial"/>
                <w:sz w:val="18"/>
                <w:szCs w:val="18"/>
                <w:color w:val="auto"/>
              </w:rPr>
              <w:t>(86.7)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(76.1) %</w:t>
            </w:r>
          </w:p>
        </w:tc>
      </w:tr>
      <w:tr>
        <w:trPr>
          <w:trHeight w:val="230"/>
        </w:trPr>
        <w:tc>
          <w:tcPr>
            <w:tcW w:w="3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(98.6)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(96.3) %</w:t>
            </w:r>
          </w:p>
        </w:tc>
      </w:tr>
      <w:tr>
        <w:trPr>
          <w:trHeight w:val="223"/>
        </w:trPr>
        <w:tc>
          <w:tcPr>
            <w:tcW w:w="382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rPr>
              <w:t>155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70"/>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464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r>
      <w:tr>
        <w:trPr>
          <w:trHeight w:val="230"/>
        </w:trPr>
        <w:tc>
          <w:tcPr>
            <w:tcW w:w="3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12.3 %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(70) bp</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bp</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percentage change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Operating income for our Water Infrastructure segment increased $12 million, or 13.5%, for the third quarter of 2021 compared to the prior year, with operating margin also increasing from 17.0% to 18.5%. Operating margin benefited from a decrease in restructuring and realignment costs of $7 million during the quarter. Excluding these restructuring and realignment costs, adjusted operating income increased $5 million, or 5.2%, with adjusted operating margin increasing from 18.5% to 18.6%. The increase in adjusted operating margin for the quarter was primarily due to cost reductions from our productivity, restructuring and other cost saving initiatives, decreased inventory management cost, and other lesser impacts. These items were partially offset by cost inflation and increased spending on strategic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6" w:name="page47"/>
    <w:bookmarkEnd w:id="46"/>
    <w:p>
      <w:pPr>
        <w:ind w:right="60"/>
        <w:spacing w:after="0" w:line="252" w:lineRule="auto"/>
        <w:rPr>
          <w:sz w:val="20"/>
          <w:szCs w:val="20"/>
          <w:color w:val="auto"/>
        </w:rPr>
      </w:pPr>
      <w:r>
        <w:rPr>
          <w:rFonts w:ascii="Arial" w:cs="Arial" w:eastAsia="Arial" w:hAnsi="Arial"/>
          <w:sz w:val="18"/>
          <w:szCs w:val="18"/>
          <w:color w:val="auto"/>
        </w:rPr>
        <w:t>For the nine months ended September 30, 2021, operating income for our Water Infrastructure segment increased $64 million, or 31.8%, as compared to the prior year, with operating margin also increasing from 13.7% to 16.3%. Operating margin benefited from a decrease in restructuring and realignment costs of $11 million in 2021. Excluding these restructuring and realignment costs, adjusted operating income increased $53 million, or 23.9%, with adjusted operating margin increasing from 15.2% to 16.9%. The increase in adjusted operating margin during the period was primarily due to cost reductions from our productivity, restructuring and other cost saving initiatives and favorable volume. These impacts were partially offset by cost inflation, increased spending on strategic investments, unfavorable mix, and increased logistics costs.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Operating income for our Applied Water segment increased $4 million, or 7.1%, for the third quarter of 2021 compared to the prior year, with operating margin decreasing from 15.4% to 15.0%. Operating margin was impacted by restructuring and realignment costs of $ 2 million in both years. Excluding these restructuring and realignment costs, adjusted operating income increased $4 million, or 6.9%, with adjusted operating margin decreasing from 15.9% to 15.5%. The decrease in adjusted operating margin for the quarter was primarily due to cost inflation, increased spending on strategic investments, increased logistics costs, and inventory management costs. These impacts were partially offset by increased cost reduction from our productivity, restructuring and other cost saving initiatives, favorable volume, and price realization.</w:t>
      </w:r>
    </w:p>
    <w:p>
      <w:pPr>
        <w:spacing w:after="0" w:line="9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For the nine months ended September 30, 2021, operating income for our Applied Water segment increased $46 million, or 31.9%, as compared to the prior year, with operating margin also increasing from 13.9% to 15.7%. Operating margin benefited from a decrease in restructuring and realignment costs of $3 million during the year which was partially offset by $1 million of special charges incurred in 2021. Excluding these items, adjusted operating income increased $44 million, or 28.9%, with adjusted operating margin increasing from 14.6% to 16.2%. The increase in adjusted operating margin during the period was primarily due to cost reductions from our productivity, restructuring and other cost saving initiatives and favorable volume, impacted by COVID-19 recovery. These impacts were partially offset by cost inflation, increased logistics cost, increased spending on strategic investments, and increased inventory management costs.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Operating income for our Measurement &amp; Control Solutions segment increased $69 million, or 111.3%, for the third quarter of 2021 compared to the prior year, with operating margin increasing from (18.7)% to 2.2%. Operating margin benefited from decreased restructuring and realignment costs of $6 million, and $69 million of special charges that were incurred during 2020 that did not recur during the quarter. Excluding these items, adjusted operating income decreased $6 million, or 50.0%, with adjusted operating margin decreasing from 3.6% to 1.9%. The decrease in adjusted operating margin for the quarter was primarily due to cost inflation, unfavorable volume, and unfavorable mix. These impacts were partially offset by increased cost reductions from our restructuring, productivity and other cost saving initiatives, decreased quality management costs, and price realization.</w:t>
      </w:r>
    </w:p>
    <w:p>
      <w:pPr>
        <w:spacing w:after="0" w:line="9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For the nine months ended September 30, 2021, operating income for our Measurement &amp; Control Solutions segment increased $149 million, or 124.2%, as compared to the prior year, with operating margin increasing from (12.0)% to 2.8%. Operating margin benefited from a decrease in restructuring and realignment costs of $37 million during the year and $ 79 million of special charges incurred in 2020 that did not recur. Excluding these items, adjusted operating income increased $33 million, with adjusted operating margin increasing from (0.3)% to</w:t>
      </w:r>
    </w:p>
    <w:p>
      <w:pPr>
        <w:spacing w:after="0" w:line="2"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2.9%. The increase in adjusted operating margin during the period was primarily due to cost reductions from our restructuring, productivity and other cost saving initiatives and decreased quality management costs, primarily due to a specific warranty charge recorded during the prior year that did not recur related to a firmware issue that was identified and addressed timely. These impacts were partially offset by cost inflation.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Operating loss for corporate and other increased $6 million, or 60.0%, during the third quarter of 2021 compared to the prior year period primarily due to increased spending on strategic initiatives and timing of employee related costs across quarters. For the nine months ended September 30, 2021, operating loss for corporate and other increased $2 million, or 5.4%, compared to the same prior year period. The increase in cost is primarily driven by increased spending on strategic initiatives partially offset by reduced costs related to COVID-19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9"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6"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Interest expense was $21 million for the three months ended September 30, 2021, essentially flat with the comparative prior year period. Interest expense was $63 million and $56 million for the nine months ended September 30, 2021 and 2020, respectively. The increase in interest expense is primarily driven by the issuance of our Green Bond during the second quarter of 2020, partially offset by reduced interest expense in 2021 due to our net investment hedges and interest expense on 2020 short term borrowings. See Note 10, "Credit Facilities and Debt", of our condensed consolidated financial statements for a description of our credit facilities and long-term debt and related interest.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income tax provision for the three months ended September 30, 2021 was $19 million resulting in an effective tax rate of 13.9%, compared to a $13 million expense resulting in an effective tax rate of 26.2% for the same period in 2020. The income tax provision for the nine months ended September 30, 2021 was $71 million resulting in an effective tax rate of 18.3%, compared to a $21 million expense resulting in an effective tax rate of 16.6% for the same period in 2020. The effective tax rate for the three month period ended September 30, 2021 differs from the same period in 2020 due to unfavorable earnings mix as compared to the prior year and favorable equity compensation deductions and goodwill impairment charge in the prior year. The effective tax rate for the nine month period ended September 30, 2021 differs from the same period in 2020 due to the impact of tax settlements in the current period.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Change</w:t>
            </w:r>
          </w:p>
        </w:tc>
      </w:tr>
      <w:tr>
        <w:trPr>
          <w:trHeight w:val="223"/>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Foreign exchange (a)</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6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impact is primarily due to weakening of the Euro, partially offset by the strengthening of the Canadian Dollar.</w:t>
      </w:r>
    </w:p>
    <w:p>
      <w:pPr>
        <w:spacing w:after="0" w:line="88" w:lineRule="exact"/>
        <w:rPr>
          <w:rFonts w:ascii="Arial" w:cs="Arial" w:eastAsia="Arial" w:hAnsi="Arial"/>
          <w:sz w:val="16"/>
          <w:szCs w:val="16"/>
          <w:color w:val="auto"/>
        </w:rPr>
      </w:pPr>
    </w:p>
    <w:p>
      <w:pPr>
        <w:ind w:right="8660"/>
        <w:spacing w:after="0" w:line="380" w:lineRule="auto"/>
        <w:rPr>
          <w:rFonts w:ascii="Arial" w:cs="Arial" w:eastAsia="Arial" w:hAnsi="Arial"/>
          <w:sz w:val="16"/>
          <w:szCs w:val="16"/>
          <w:color w:val="auto"/>
        </w:rPr>
      </w:pPr>
      <w:r>
        <w:rPr>
          <w:rFonts w:ascii="Arial" w:cs="Arial" w:eastAsia="Arial" w:hAnsi="Arial"/>
          <w:sz w:val="18"/>
          <w:szCs w:val="18"/>
          <w:b w:val="1"/>
          <w:bCs w:val="1"/>
          <w:i w:val="1"/>
          <w:iCs w:val="1"/>
          <w:color w:val="auto"/>
        </w:rPr>
        <w:t xml:space="preserve">Sources and Uses of Liquidity </w:t>
      </w:r>
      <w:r>
        <w:rPr>
          <w:rFonts w:ascii="Arial" w:cs="Arial" w:eastAsia="Arial" w:hAnsi="Arial"/>
          <w:sz w:val="18"/>
          <w:szCs w:val="18"/>
          <w:i w:val="1"/>
          <w:iCs w:val="1"/>
          <w:color w:val="auto"/>
        </w:rPr>
        <w:t>Operating Activities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 was $318 million for the nine months ended September 30, 2021 as compared to $454 million in the</w:t>
      </w:r>
    </w:p>
    <w:p>
      <w:pPr>
        <w:spacing w:after="0" w:line="23" w:lineRule="exact"/>
        <w:rPr>
          <w:sz w:val="20"/>
          <w:szCs w:val="20"/>
          <w:color w:val="auto"/>
        </w:rPr>
      </w:pPr>
    </w:p>
    <w:p>
      <w:pPr>
        <w:ind w:right="220"/>
        <w:spacing w:after="0" w:line="223" w:lineRule="auto"/>
        <w:rPr>
          <w:sz w:val="20"/>
          <w:szCs w:val="20"/>
          <w:color w:val="auto"/>
        </w:rPr>
      </w:pPr>
      <w:r>
        <w:rPr>
          <w:rFonts w:ascii="Arial" w:cs="Arial" w:eastAsia="Arial" w:hAnsi="Arial"/>
          <w:sz w:val="18"/>
          <w:szCs w:val="18"/>
          <w:color w:val="auto"/>
        </w:rPr>
        <w:t>comparable prior year period. This decrease was primarily driven by higher working capital levels, higher interest payments, and increased cash used for income taxes and payroll and other taxes, partially from delayed timing of payments in the prior year related to COVID-19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related concessions. Partially offsetting these items was increased net cash earnings and lower prepayments</w:t>
      </w:r>
      <w:r>
        <w:rPr>
          <w:rFonts w:ascii="Arial" w:cs="Arial" w:eastAsia="Arial" w:hAnsi="Arial"/>
          <w:sz w:val="21"/>
          <w:szCs w:val="21"/>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22"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Cash used in investing activities was $113 million for the nine months ended September 30, 2021 as compared to $326 million in the comparable prior year period. This decrease in cash used of $213 million was mainly driven by spending on time deposit investments in 2020 that did not reoccur in 2021.</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22"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Cash used by financing activities was $806 million for the nine months ended September 30, 2021 as compared to cash generated of $550 million in the comparable prior year period. This net decrease in cash generated by financing activities during the period was primarily driven by the issuance of our Green Bond and short term debt in 2020, and the repayment of Senior Notes due 2021. Partially offsetting these items was the repayment of short term debt in 2020.</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Funding and Liquidity Strategy</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ability to fund our capital needs depends on our ongoing ability to generate cash from operations and access to bank financing and the capital markets. As a result of uncertainties caused by the COVID-19 pandemic, we continue to evaluate aspects of our spending, including capital expenditures, strategic investments and dividends. We will continue to evaluate aspects of our spending and anticipate our capital expenditures will gradually begin to increase to normal levels as the markets we operate in recover.</w:t>
      </w:r>
    </w:p>
    <w:p>
      <w:pPr>
        <w:spacing w:after="0" w:line="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Historically, we have generated operating cash flow sufficient to fund our primary cash needs. We will continue to monitor the economic effects of the COVID-19 pandemic and its impact on the Company's future operating cash flows going forward. 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 (ii) the liquidity of the overall capital markets, and (iii) the current state of the economy. There can be no assurance that such financing will be available to us on acceptable terms or that such financing will be available at all. Our securities are rated investment grade. A significant change in credit rating could impact our ability to borrow at favorable rates. Refer to Note 10, "Credit Facilities and Debt", of our condensed consolidated financial statements for a description of limitations on obtaining additional funding.</w:t>
      </w:r>
    </w:p>
    <w:p>
      <w:pPr>
        <w:spacing w:after="0" w:line="104"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We monitor our global funding requirements and seek to meet our liquidity needs on a cost-effective basis. As of September 30, 2021, the COVID-19 pandemic has not materially impacted our borrowing costs or other costs of capital, however the future impact of the COVID-19 pandemic is uncertain and may increase our borrowing costs and other costs of capital and otherwise adversely affect our business, results of operations, financial condition and liquidity.</w:t>
      </w:r>
    </w:p>
    <w:p>
      <w:pPr>
        <w:spacing w:after="0" w:line="82"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We have considered the impacts of the COVID-19 pandemic on our liquidity and capital resources and do not currently expect it to impact our ability to meet future liquidity needs or continue to comply with debt covenants. Based on our current global cash positions, cash flows from operations and access to the capital markets, we believe there is sufficient liquidity to meet our funding requirements and service debt and other obligations in both the U.S. and outside of the U.S. during the year. In addition, we believe our existing committed credit facilities and access to the public debt markets would provide further liquidity if required. Currently, we have available liquidity of approximately $2.1 billion, consisting of $1.3 billion of cash and $800 million of available credit facilities as disclosed in Note 10, "Credit Facilities and Debt", of our condensed consolidated financial statements. On October 1st, 2021 our Senior Notes due 2021 were settled with cash on hand for a total of $600 million. Our next long-term debt maturity is March 2023.</w:t>
      </w:r>
    </w:p>
    <w:p>
      <w:pPr>
        <w:spacing w:after="0" w:line="95" w:lineRule="exact"/>
        <w:rPr>
          <w:sz w:val="20"/>
          <w:szCs w:val="20"/>
          <w:color w:val="auto"/>
        </w:rPr>
      </w:pPr>
    </w:p>
    <w:p>
      <w:pPr>
        <w:ind w:right="60"/>
        <w:spacing w:after="0" w:line="375" w:lineRule="auto"/>
        <w:rPr>
          <w:sz w:val="20"/>
          <w:szCs w:val="20"/>
          <w:color w:val="auto"/>
        </w:rPr>
      </w:pPr>
      <w:r>
        <w:rPr>
          <w:rFonts w:ascii="Arial" w:cs="Arial" w:eastAsia="Arial" w:hAnsi="Arial"/>
          <w:sz w:val="18"/>
          <w:szCs w:val="18"/>
          <w:color w:val="auto"/>
        </w:rPr>
        <w:t xml:space="preserve">Risks related to these items are described in our risk factor disclosures referenced under “Item 1A. Risk Factors" in our 2020 Annual Report. </w:t>
      </w:r>
      <w:r>
        <w:rPr>
          <w:rFonts w:ascii="Arial" w:cs="Arial" w:eastAsia="Arial" w:hAnsi="Arial"/>
          <w:sz w:val="18"/>
          <w:szCs w:val="18"/>
          <w:i w:val="1"/>
          <w:iCs w:val="1"/>
          <w:color w:val="auto"/>
        </w:rPr>
        <w:t>Credit Facilities &amp; Long-Term Contractual Commitments</w:t>
      </w:r>
    </w:p>
    <w:p>
      <w:pPr>
        <w:spacing w:after="0" w:line="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See Note 10, "Credit Facilities and Debt", of our condensed consolidated financial statements for a description of our credit facilities and long-term debt.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3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generated approximately 56% of our revenue from non-U.S. operations for both the three and nine months ended September 30, 2021 and approximately 54% and 52% for the three and nine months ended September 30, 2020, respectively. As we continue to grow our operations in the emerging markets and elsewhere outside of the U.S., we expect to continue to generate significant revenue from non-U.S. operations and expect that a substantial portion of our cash will be predominately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we believe it is cost-effective to do so. We continually review our domestic and foreign cash profile, expected future cash generation and investment opportunities, and reassess whether there is a need to repatriate funds held internationally to support our U.S. operations. As of September 30, 2021, we have provided a deferred tax liability of $ 6 million for net foreign withholding taxes and state income taxes on $116 million of earnings expected to be repatriated to the U.S. parent as deemed necessary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discussion and analysis of our results of operations and capital resources are based on our condensed consolidated financial statements, which have been prepared in conformity with GAAP. The preparation of these condensed consolidated financial statements requires management to make estimates and assumptions that affect the reported amounts of assets, liabilities, revenue and expenses and the disclosure of contingent assets and liabilities. We believe the most complex and sensitive judgments, because of their significance to the condensed consolidated financial statements, result primarily from the need to make estimates about the effects of matters that are inherently uncertain, particularly at this time and moving forward given the uncertainty around the magnitude and duration of the COVID-19 pandemic. Management’s Discussion and Analysis of Financial Condition and Results of Operations in the 2020 Annual Report describes the critical accounting estimates used in preparation of the condensed consolidated financial statements. Actual results in these areas could differ from management’s estimates. Other than as discussed below, there have been no significant changes in the information concerning our critical accounting estimates as stated in our 2020 Annual Report.</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third quarter of 2020, management updated forecasts of future cash flows for the Advanced Infrastructure Analytics ("AIA") businesses, which reflected significant negative volume impacts from the COVID-19 pandemic, primarily on our assessment services business. Our ongoing investment in the AIA businesses also continues to impact near-term profitability. Based on these factors, we determined that there were indicators that the AIA reporting unit’s goodwill may be impaired, and accordingly, we performed an interim goodwill impairment test as of July 1, 2020. The results of the impairment test showed that the fair value of the AIA reporting unit was lower than the carrying value, resulting in a $ 58 million goodwill impairment charge. As of September 30, 2021, the remaining goodwill balance in our AIA reporting unit after recording the goodwill impairment charge was $112 million.</w:t>
      </w:r>
    </w:p>
    <w:p>
      <w:pPr>
        <w:spacing w:after="0" w:line="9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uncertainty of the future impact of the COVID-19 pandemic may also contribute to further deterioration of our future cash flows. If we do not achieve our forecasts, it is possible that the goodwill of the AIA reporting unit could be deemed to be impaired again in a future period. The risks and potential impacts of COVID-19 on the fair value of our assets are included in our risk factor disclosures referenced under “Item 1A. Risk Factors" in the Company's 2020 Annual Report.</w:t>
      </w:r>
    </w:p>
    <w:p>
      <w:pPr>
        <w:spacing w:after="0" w:line="200" w:lineRule="exact"/>
        <w:rPr>
          <w:sz w:val="20"/>
          <w:szCs w:val="20"/>
          <w:color w:val="auto"/>
        </w:rPr>
      </w:pP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concerning market risk as stated in our 2020 Annual Report.</w:t>
      </w: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9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Our management, with the participation of the Chief Executive Officer and Chief Financial Officer of the Company, has evaluated the effectiveness of our disclosure controls and procedures (as defined in Rules 13a-15(e) and 15d-15(e) under the Securities Exchange Act of 1934, as amended) as of the end of the period covered by this quarterly report. Any controls and procedures, no matter how well designed and operated, can provide only reasonable assurance of achieving the desired control objectives. Based on such evaluation, the Chief Executive Officer and Chief Financial Officer have concluded that, as of the end of the period covered by this report, the Company’s disclosure controls and procedures were effective at the reasonable assurance level.</w:t>
      </w:r>
    </w:p>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1934 Act) during the fiscal quarter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 property damage, personal injury, privacy, employment, labor and pension, government contract issues and commercial or contractual disputes. See Note 16, "Commitments and Contingencies", to the condensed consolidated financial statements for further information and any updates.</w:t>
      </w:r>
    </w:p>
    <w:p>
      <w:pPr>
        <w:spacing w:after="0" w:line="200" w:lineRule="exact"/>
        <w:rPr>
          <w:sz w:val="20"/>
          <w:szCs w:val="20"/>
          <w:color w:val="auto"/>
        </w:rPr>
      </w:pPr>
    </w:p>
    <w:p>
      <w:pPr>
        <w:spacing w:after="0" w:line="22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"Item 1A. Risk Factors" of our 2020 Annual Report.</w:t>
      </w:r>
    </w:p>
    <w:p>
      <w:pPr>
        <w:spacing w:after="0" w:line="200" w:lineRule="exact"/>
        <w:rPr>
          <w:sz w:val="20"/>
          <w:szCs w:val="20"/>
          <w:color w:val="auto"/>
        </w:rPr>
      </w:pPr>
    </w:p>
    <w:p>
      <w:pPr>
        <w:spacing w:after="0" w:line="24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139"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following table presents information with respect to purchases of the Company's common stock by the Company during the three months ended September 30, 2021:</w:t>
      </w:r>
    </w:p>
    <w:tbl>
      <w:tblPr>
        <w:tblLayout w:type="fixed"/>
        <w:tblInd w:w="0" w:type="dxa"/>
        <w:tblCellMar>
          <w:top w:w="0" w:type="dxa"/>
          <w:left w:w="0" w:type="dxa"/>
          <w:bottom w:w="0" w:type="dxa"/>
          <w:right w:w="0" w:type="dxa"/>
        </w:tblCellMar>
      </w:tblPr>
      <w:tr>
        <w:trPr>
          <w:trHeight w:val="158"/>
        </w:trPr>
        <w:tc>
          <w:tcPr>
            <w:tcW w:w="27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TOTAL NUMBER OF</w:t>
            </w:r>
          </w:p>
        </w:tc>
        <w:tc>
          <w:tcPr>
            <w:tcW w:w="2080" w:type="dxa"/>
            <w:vAlign w:val="bottom"/>
          </w:tcPr>
          <w:p>
            <w:pPr>
              <w:jc w:val="center"/>
              <w:ind w:left="1"/>
              <w:spacing w:after="0" w:line="158"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35"/>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w:t>
            </w:r>
          </w:p>
        </w:tc>
        <w:tc>
          <w:tcPr>
            <w:tcW w:w="20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PURCHASED AS</w:t>
            </w:r>
          </w:p>
        </w:tc>
        <w:tc>
          <w:tcPr>
            <w:tcW w:w="2080" w:type="dxa"/>
            <w:vAlign w:val="bottom"/>
          </w:tcPr>
          <w:p>
            <w:pPr>
              <w:jc w:val="center"/>
              <w:ind w:left="21"/>
              <w:spacing w:after="0" w:line="135"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35"/>
        </w:trPr>
        <w:tc>
          <w:tcPr>
            <w:tcW w:w="2760" w:type="dxa"/>
            <w:vAlign w:val="bottom"/>
            <w:vMerge w:val="continue"/>
          </w:tcPr>
          <w:p>
            <w:pPr>
              <w:spacing w:after="0"/>
              <w:rPr>
                <w:sz w:val="11"/>
                <w:szCs w:val="11"/>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 PRICE PAID PER</w:t>
            </w: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PART OF PUBLICLY</w:t>
            </w:r>
          </w:p>
        </w:tc>
        <w:tc>
          <w:tcPr>
            <w:tcW w:w="2080" w:type="dxa"/>
            <w:vAlign w:val="bottom"/>
          </w:tcPr>
          <w:p>
            <w:pPr>
              <w:jc w:val="center"/>
              <w:ind w:left="21"/>
              <w:spacing w:after="0" w:line="135"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AMOUNTS)</w:t>
            </w:r>
          </w:p>
        </w:tc>
        <w:tc>
          <w:tcPr>
            <w:tcW w:w="2060" w:type="dxa"/>
            <w:vAlign w:val="bottom"/>
            <w:vMerge w:val="continue"/>
          </w:tcPr>
          <w:p>
            <w:pPr>
              <w:spacing w:after="0"/>
              <w:rPr>
                <w:sz w:val="11"/>
                <w:szCs w:val="11"/>
                <w:color w:val="auto"/>
              </w:rPr>
            </w:pPr>
          </w:p>
        </w:tc>
        <w:tc>
          <w:tcPr>
            <w:tcW w:w="2240" w:type="dxa"/>
            <w:vAlign w:val="bottom"/>
            <w:vMerge w:val="continue"/>
          </w:tcPr>
          <w:p>
            <w:pPr>
              <w:spacing w:after="0"/>
              <w:rPr>
                <w:sz w:val="11"/>
                <w:szCs w:val="11"/>
                <w:color w:val="auto"/>
              </w:rPr>
            </w:pP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ANNOUNCED PLANS OR</w:t>
            </w:r>
          </w:p>
        </w:tc>
        <w:tc>
          <w:tcPr>
            <w:tcW w:w="2080" w:type="dxa"/>
            <w:vAlign w:val="bottom"/>
          </w:tcPr>
          <w:p>
            <w:pPr>
              <w:jc w:val="center"/>
              <w:ind w:left="21"/>
              <w:spacing w:after="0" w:line="135"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76"/>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PURCHASED</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 (a)</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 (b)</w:t>
            </w:r>
          </w:p>
        </w:tc>
        <w:tc>
          <w:tcPr>
            <w:tcW w:w="208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rPr>
              <w:t>PROGRAMS (b)</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7/1/21 - 7/31/21</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center"/>
              <w:ind w:left="1"/>
              <w:spacing w:after="0"/>
              <w:rPr>
                <w:sz w:val="20"/>
                <w:szCs w:val="20"/>
                <w:color w:val="auto"/>
              </w:rPr>
            </w:pPr>
            <w:r>
              <w:rPr>
                <w:rFonts w:ascii="Arial" w:cs="Arial" w:eastAsia="Arial" w:hAnsi="Arial"/>
                <w:sz w:val="18"/>
                <w:szCs w:val="18"/>
                <w:b w:val="1"/>
                <w:bCs w:val="1"/>
                <w:color w:val="auto"/>
                <w:w w:val="99"/>
              </w:rPr>
              <w:t>$228</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8/1/21 - 8/31/21</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tcPr>
          <w:p>
            <w:pPr>
              <w:jc w:val="center"/>
              <w:ind w:left="1"/>
              <w:spacing w:after="0"/>
              <w:rPr>
                <w:sz w:val="20"/>
                <w:szCs w:val="20"/>
                <w:color w:val="auto"/>
              </w:rPr>
            </w:pPr>
            <w:r>
              <w:rPr>
                <w:rFonts w:ascii="Arial" w:cs="Arial" w:eastAsia="Arial" w:hAnsi="Arial"/>
                <w:sz w:val="18"/>
                <w:szCs w:val="18"/>
                <w:b w:val="1"/>
                <w:bCs w:val="1"/>
                <w:color w:val="auto"/>
                <w:w w:val="99"/>
              </w:rPr>
              <w:t>$228</w:t>
            </w:r>
          </w:p>
        </w:tc>
        <w:tc>
          <w:tcPr>
            <w:tcW w:w="0" w:type="dxa"/>
            <w:vAlign w:val="bottom"/>
          </w:tcPr>
          <w:p>
            <w:pPr>
              <w:spacing w:after="0"/>
              <w:rPr>
                <w:sz w:val="1"/>
                <w:szCs w:val="1"/>
                <w:color w:val="auto"/>
              </w:rPr>
            </w:pPr>
          </w:p>
        </w:tc>
      </w:tr>
      <w:tr>
        <w:trPr>
          <w:trHeight w:val="229"/>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9/1/21 - 9/30/21</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center"/>
              <w:ind w:left="1"/>
              <w:spacing w:after="0"/>
              <w:rPr>
                <w:sz w:val="20"/>
                <w:szCs w:val="20"/>
                <w:color w:val="auto"/>
              </w:rPr>
            </w:pPr>
            <w:r>
              <w:rPr>
                <w:rFonts w:ascii="Arial" w:cs="Arial" w:eastAsia="Arial" w:hAnsi="Arial"/>
                <w:sz w:val="18"/>
                <w:szCs w:val="18"/>
                <w:b w:val="1"/>
                <w:bCs w:val="1"/>
                <w:color w:val="auto"/>
                <w:w w:val="99"/>
              </w:rPr>
              <w:t>$228</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340" w:right="400"/>
        <w:spacing w:after="0" w:line="260" w:lineRule="auto"/>
        <w:rPr>
          <w:sz w:val="20"/>
          <w:szCs w:val="20"/>
          <w:color w:val="auto"/>
        </w:rPr>
      </w:pPr>
      <w:r>
        <w:rPr>
          <w:rFonts w:ascii="Arial" w:cs="Arial" w:eastAsia="Arial" w:hAnsi="Arial"/>
          <w:sz w:val="16"/>
          <w:szCs w:val="16"/>
          <w:color w:val="auto"/>
        </w:rPr>
        <w:t>This table does not include shares tendered to satisfy the exercise price in connection with cashless exercises of employee stock options or shares tendered to satisfy tax withholding obligations in connection with employee equity awards.</w:t>
      </w:r>
    </w:p>
    <w:p>
      <w:pPr>
        <w:spacing w:after="0" w:line="87"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Average price paid per share is calculated on a settlement basis.</w:t>
      </w:r>
    </w:p>
    <w:p>
      <w:pPr>
        <w:spacing w:after="0" w:line="113" w:lineRule="exact"/>
        <w:rPr>
          <w:rFonts w:ascii="Arial" w:cs="Arial" w:eastAsia="Arial" w:hAnsi="Arial"/>
          <w:sz w:val="16"/>
          <w:szCs w:val="16"/>
          <w:color w:val="auto"/>
        </w:rPr>
      </w:pPr>
    </w:p>
    <w:p>
      <w:pPr>
        <w:ind w:left="340" w:right="40" w:hanging="332"/>
        <w:spacing w:after="0" w:line="257" w:lineRule="auto"/>
        <w:tabs>
          <w:tab w:leader="none" w:pos="3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On August 24, 2015, our Board of Directors authorized the repurchase of up to $500 million in shares with no expiration date. The program's objective is to deploy our capital in a manner that benefits our </w:t>
      </w:r>
      <w:r>
        <w:rPr>
          <w:rFonts w:ascii="Arial" w:cs="Arial" w:eastAsia="Arial" w:hAnsi="Arial"/>
          <w:sz w:val="17"/>
          <w:szCs w:val="17"/>
          <w:color w:val="auto"/>
        </w:rPr>
        <w:t>stockholders</w:t>
      </w:r>
      <w:r>
        <w:rPr>
          <w:rFonts w:ascii="Arial" w:cs="Arial" w:eastAsia="Arial" w:hAnsi="Arial"/>
          <w:sz w:val="16"/>
          <w:szCs w:val="16"/>
          <w:color w:val="auto"/>
        </w:rPr>
        <w:t xml:space="preserve"> and maintains our focus on growth. There were no shares repurchased under this program during the three months ended September 30, 2021. There are up to $228 million in shares that may still be purchased under this plan as of September 30, 2021.</w:t>
      </w:r>
    </w:p>
    <w:p>
      <w:pPr>
        <w:spacing w:after="0" w:line="30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for a list of exhibits filed as part of this report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XYLEM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Exhibit</w:t>
            </w:r>
          </w:p>
        </w:tc>
        <w:tc>
          <w:tcPr>
            <w:tcW w:w="500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Description</w:t>
            </w:r>
          </w:p>
        </w:tc>
        <w:tc>
          <w:tcPr>
            <w:tcW w:w="5340" w:type="dxa"/>
            <w:vAlign w:val="bottom"/>
            <w:vMerge w:val="restart"/>
          </w:tcPr>
          <w:p>
            <w:pPr>
              <w:ind w:left="240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75"/>
        </w:trPr>
        <w:tc>
          <w:tcPr>
            <w:tcW w:w="9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rPr>
              <w:t>Number</w:t>
            </w:r>
          </w:p>
        </w:tc>
        <w:tc>
          <w:tcPr>
            <w:tcW w:w="5000" w:type="dxa"/>
            <w:vAlign w:val="bottom"/>
            <w:tcBorders>
              <w:bottom w:val="single" w:sz="8" w:color="auto"/>
            </w:tcBorders>
            <w:vMerge w:val="continue"/>
          </w:tcPr>
          <w:p>
            <w:pPr>
              <w:spacing w:after="0"/>
              <w:rPr>
                <w:sz w:val="15"/>
                <w:szCs w:val="15"/>
                <w:color w:val="auto"/>
              </w:rPr>
            </w:pPr>
          </w:p>
        </w:tc>
        <w:tc>
          <w:tcPr>
            <w:tcW w:w="5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00" w:type="dxa"/>
            <w:vAlign w:val="bottom"/>
            <w:gridSpan w:val="4"/>
          </w:tcPr>
          <w:p>
            <w:pPr>
              <w:jc w:val="center"/>
              <w:ind w:left="175"/>
              <w:spacing w:after="0"/>
              <w:rPr>
                <w:rFonts w:ascii="Arial" w:cs="Arial" w:eastAsia="Arial" w:hAnsi="Arial"/>
                <w:sz w:val="18"/>
                <w:szCs w:val="18"/>
                <w:color w:val="0000FF"/>
              </w:rPr>
            </w:pPr>
            <w:hyperlink r:id="rId73">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300" w:type="dxa"/>
            <w:vAlign w:val="bottom"/>
          </w:tcPr>
          <w:p>
            <w:pPr>
              <w:spacing w:after="0"/>
              <w:rPr>
                <w:sz w:val="19"/>
                <w:szCs w:val="19"/>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Fourth Amended and Restated Articles of Incorporation of</w:t>
            </w:r>
          </w:p>
        </w:tc>
        <w:tc>
          <w:tcPr>
            <w:tcW w:w="5340" w:type="dxa"/>
            <w:vAlign w:val="bottom"/>
          </w:tcPr>
          <w:p>
            <w:pPr>
              <w:ind w:left="100"/>
              <w:spacing w:after="0"/>
              <w:rPr>
                <w:sz w:val="20"/>
                <w:szCs w:val="20"/>
                <w:color w:val="auto"/>
              </w:rPr>
            </w:pPr>
            <w:r>
              <w:rPr>
                <w:rFonts w:ascii="Arial" w:cs="Arial" w:eastAsia="Arial" w:hAnsi="Arial"/>
                <w:sz w:val="18"/>
                <w:szCs w:val="18"/>
                <w:color w:val="auto"/>
              </w:rPr>
              <w:t>Incorporated by reference to Exhibit 3.1 of Xylem Inc.’s Form 8-K</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0" w:type="dxa"/>
            <w:vAlign w:val="bottom"/>
          </w:tcPr>
          <w:p>
            <w:pPr>
              <w:ind w:left="200"/>
              <w:spacing w:after="0" w:line="197" w:lineRule="exact"/>
              <w:rPr>
                <w:sz w:val="20"/>
                <w:szCs w:val="20"/>
                <w:color w:val="auto"/>
              </w:rPr>
            </w:pPr>
            <w:r>
              <w:rPr>
                <w:rFonts w:ascii="Arial" w:cs="Arial" w:eastAsia="Arial" w:hAnsi="Arial"/>
                <w:sz w:val="18"/>
                <w:szCs w:val="18"/>
                <w:color w:val="auto"/>
              </w:rPr>
              <w:t>Xylem Inc.</w:t>
            </w:r>
          </w:p>
        </w:tc>
        <w:tc>
          <w:tcPr>
            <w:tcW w:w="5340" w:type="dxa"/>
            <w:vAlign w:val="bottom"/>
          </w:tcPr>
          <w:p>
            <w:pPr>
              <w:ind w:left="100"/>
              <w:spacing w:after="0" w:line="197" w:lineRule="exact"/>
              <w:rPr>
                <w:sz w:val="20"/>
                <w:szCs w:val="20"/>
                <w:color w:val="auto"/>
              </w:rPr>
            </w:pPr>
            <w:r>
              <w:rPr>
                <w:rFonts w:ascii="Arial" w:cs="Arial" w:eastAsia="Arial" w:hAnsi="Arial"/>
                <w:sz w:val="18"/>
                <w:szCs w:val="18"/>
                <w:color w:val="auto"/>
              </w:rPr>
              <w:t>filed on May 15, 2017 (CIK No. 1524472, File No. 1-35229).</w:t>
            </w:r>
          </w:p>
        </w:tc>
        <w:tc>
          <w:tcPr>
            <w:tcW w:w="0" w:type="dxa"/>
            <w:vAlign w:val="bottom"/>
          </w:tcPr>
          <w:p>
            <w:pPr>
              <w:spacing w:after="0"/>
              <w:rPr>
                <w:sz w:val="1"/>
                <w:szCs w:val="1"/>
                <w:color w:val="auto"/>
              </w:rPr>
            </w:pPr>
          </w:p>
        </w:tc>
      </w:tr>
      <w:tr>
        <w:trPr>
          <w:trHeight w:val="242"/>
        </w:trPr>
        <w:tc>
          <w:tcPr>
            <w:tcW w:w="600" w:type="dxa"/>
            <w:vAlign w:val="bottom"/>
            <w:gridSpan w:val="4"/>
          </w:tcPr>
          <w:p>
            <w:pPr>
              <w:jc w:val="center"/>
              <w:ind w:left="175"/>
              <w:spacing w:after="0"/>
              <w:rPr>
                <w:rFonts w:ascii="Arial" w:cs="Arial" w:eastAsia="Arial" w:hAnsi="Arial"/>
                <w:sz w:val="18"/>
                <w:szCs w:val="18"/>
                <w:color w:val="0000FF"/>
              </w:rPr>
            </w:pPr>
            <w:hyperlink r:id="rId74">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300" w:type="dxa"/>
            <w:vAlign w:val="bottom"/>
          </w:tcPr>
          <w:p>
            <w:pPr>
              <w:spacing w:after="0"/>
              <w:rPr>
                <w:sz w:val="21"/>
                <w:szCs w:val="21"/>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Fourth Amended and Restated By-laws of Xylem Inc.</w:t>
            </w:r>
          </w:p>
        </w:tc>
        <w:tc>
          <w:tcPr>
            <w:tcW w:w="5340" w:type="dxa"/>
            <w:vAlign w:val="bottom"/>
          </w:tcPr>
          <w:p>
            <w:pPr>
              <w:ind w:left="100"/>
              <w:spacing w:after="0"/>
              <w:rPr>
                <w:sz w:val="20"/>
                <w:szCs w:val="20"/>
                <w:color w:val="auto"/>
              </w:rPr>
            </w:pPr>
            <w:r>
              <w:rPr>
                <w:rFonts w:ascii="Arial" w:cs="Arial" w:eastAsia="Arial" w:hAnsi="Arial"/>
                <w:sz w:val="18"/>
                <w:szCs w:val="18"/>
                <w:color w:val="auto"/>
              </w:rPr>
              <w:t>Incorporated by reference to Exhibit 3.2 of Xylem Inc.’s Form 8-K</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5340" w:type="dxa"/>
            <w:vAlign w:val="bottom"/>
          </w:tcPr>
          <w:p>
            <w:pPr>
              <w:ind w:left="100"/>
              <w:spacing w:after="0" w:line="197" w:lineRule="exact"/>
              <w:rPr>
                <w:sz w:val="20"/>
                <w:szCs w:val="20"/>
                <w:color w:val="auto"/>
              </w:rPr>
            </w:pPr>
            <w:r>
              <w:rPr>
                <w:rFonts w:ascii="Arial" w:cs="Arial" w:eastAsia="Arial" w:hAnsi="Arial"/>
                <w:sz w:val="18"/>
                <w:szCs w:val="18"/>
                <w:color w:val="auto"/>
              </w:rPr>
              <w:t>filed on May 15, 2017 (CIK No. 1524472, File No. 1-35229).</w:t>
            </w:r>
          </w:p>
        </w:tc>
        <w:tc>
          <w:tcPr>
            <w:tcW w:w="0" w:type="dxa"/>
            <w:vAlign w:val="bottom"/>
          </w:tcPr>
          <w:p>
            <w:pPr>
              <w:spacing w:after="0"/>
              <w:rPr>
                <w:sz w:val="1"/>
                <w:szCs w:val="1"/>
                <w:color w:val="auto"/>
              </w:rPr>
            </w:pPr>
          </w:p>
        </w:tc>
      </w:tr>
      <w:tr>
        <w:trPr>
          <w:trHeight w:val="242"/>
        </w:trPr>
        <w:tc>
          <w:tcPr>
            <w:tcW w:w="900" w:type="dxa"/>
            <w:vAlign w:val="bottom"/>
            <w:gridSpan w:val="5"/>
          </w:tcPr>
          <w:p>
            <w:pPr>
              <w:jc w:val="center"/>
              <w:ind w:right="40"/>
              <w:spacing w:after="0"/>
              <w:rPr>
                <w:rFonts w:ascii="Arial" w:cs="Arial" w:eastAsia="Arial" w:hAnsi="Arial"/>
                <w:sz w:val="18"/>
                <w:szCs w:val="18"/>
                <w:color w:val="0000FF"/>
                <w:w w:val="96"/>
              </w:rPr>
            </w:pPr>
            <w:hyperlink w:anchor="page54">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hyperlink>
          </w:p>
        </w:tc>
        <w:tc>
          <w:tcPr>
            <w:tcW w:w="5000" w:type="dxa"/>
            <w:vAlign w:val="bottom"/>
          </w:tcPr>
          <w:p>
            <w:pPr>
              <w:ind w:left="200"/>
              <w:spacing w:after="0"/>
              <w:rPr>
                <w:sz w:val="20"/>
                <w:szCs w:val="20"/>
                <w:color w:val="auto"/>
              </w:rPr>
            </w:pPr>
            <w:r>
              <w:rPr>
                <w:rFonts w:ascii="Arial" w:cs="Arial" w:eastAsia="Arial" w:hAnsi="Arial"/>
                <w:sz w:val="18"/>
                <w:szCs w:val="18"/>
                <w:color w:val="auto"/>
              </w:rPr>
              <w:t>Certification pursuant to Rule 13a-14(a)/15d-14(a) of the</w:t>
            </w:r>
          </w:p>
        </w:tc>
        <w:tc>
          <w:tcPr>
            <w:tcW w:w="5340" w:type="dxa"/>
            <w:vAlign w:val="bottom"/>
          </w:tcPr>
          <w:p>
            <w:pPr>
              <w:ind w:left="10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5000" w:type="dxa"/>
            <w:vAlign w:val="bottom"/>
          </w:tcPr>
          <w:p>
            <w:pPr>
              <w:ind w:left="200"/>
              <w:spacing w:after="0" w:line="156" w:lineRule="exact"/>
              <w:rPr>
                <w:sz w:val="20"/>
                <w:szCs w:val="20"/>
                <w:color w:val="auto"/>
              </w:rPr>
            </w:pPr>
            <w:r>
              <w:rPr>
                <w:rFonts w:ascii="Arial" w:cs="Arial" w:eastAsia="Arial" w:hAnsi="Arial"/>
                <w:sz w:val="18"/>
                <w:szCs w:val="18"/>
                <w:color w:val="auto"/>
              </w:rPr>
              <w:t>Securities Exchange Act of 1934, as adopted pursuant to</w:t>
            </w:r>
          </w:p>
        </w:tc>
        <w:tc>
          <w:tcPr>
            <w:tcW w:w="5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Section 302 of the Sarbanes-Oxley Act of 2002</w:t>
            </w:r>
          </w:p>
        </w:tc>
        <w:tc>
          <w:tcPr>
            <w:tcW w:w="5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900" w:type="dxa"/>
            <w:vAlign w:val="bottom"/>
            <w:gridSpan w:val="5"/>
          </w:tcPr>
          <w:p>
            <w:pPr>
              <w:jc w:val="center"/>
              <w:ind w:right="40"/>
              <w:spacing w:after="0"/>
              <w:rPr>
                <w:rFonts w:ascii="Arial" w:cs="Arial" w:eastAsia="Arial" w:hAnsi="Arial"/>
                <w:sz w:val="18"/>
                <w:szCs w:val="18"/>
                <w:color w:val="0000FF"/>
                <w:w w:val="96"/>
              </w:rPr>
            </w:pPr>
            <w:hyperlink w:anchor="page55">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5000" w:type="dxa"/>
            <w:vAlign w:val="bottom"/>
          </w:tcPr>
          <w:p>
            <w:pPr>
              <w:ind w:left="200"/>
              <w:spacing w:after="0"/>
              <w:rPr>
                <w:sz w:val="20"/>
                <w:szCs w:val="20"/>
                <w:color w:val="auto"/>
              </w:rPr>
            </w:pPr>
            <w:r>
              <w:rPr>
                <w:rFonts w:ascii="Arial" w:cs="Arial" w:eastAsia="Arial" w:hAnsi="Arial"/>
                <w:sz w:val="18"/>
                <w:szCs w:val="18"/>
                <w:color w:val="auto"/>
              </w:rPr>
              <w:t>Certification pursuant to Rule 13a-14(a)/15d-14(a) of the</w:t>
            </w:r>
          </w:p>
        </w:tc>
        <w:tc>
          <w:tcPr>
            <w:tcW w:w="5340" w:type="dxa"/>
            <w:vAlign w:val="bottom"/>
          </w:tcPr>
          <w:p>
            <w:pPr>
              <w:ind w:left="10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5000" w:type="dxa"/>
            <w:vAlign w:val="bottom"/>
          </w:tcPr>
          <w:p>
            <w:pPr>
              <w:ind w:left="200"/>
              <w:spacing w:after="0" w:line="156" w:lineRule="exact"/>
              <w:rPr>
                <w:sz w:val="20"/>
                <w:szCs w:val="20"/>
                <w:color w:val="auto"/>
              </w:rPr>
            </w:pPr>
            <w:r>
              <w:rPr>
                <w:rFonts w:ascii="Arial" w:cs="Arial" w:eastAsia="Arial" w:hAnsi="Arial"/>
                <w:sz w:val="18"/>
                <w:szCs w:val="18"/>
                <w:color w:val="auto"/>
              </w:rPr>
              <w:t>Securities Exchange Act of 1934, as adopted pursuant to</w:t>
            </w:r>
          </w:p>
        </w:tc>
        <w:tc>
          <w:tcPr>
            <w:tcW w:w="5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Section 302 of the Sarbanes-Oxley Act of 2002</w:t>
            </w:r>
          </w:p>
        </w:tc>
        <w:tc>
          <w:tcPr>
            <w:tcW w:w="5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900" w:type="dxa"/>
            <w:vAlign w:val="bottom"/>
            <w:gridSpan w:val="5"/>
          </w:tcPr>
          <w:p>
            <w:pPr>
              <w:jc w:val="center"/>
              <w:ind w:right="40"/>
              <w:spacing w:after="0"/>
              <w:rPr>
                <w:rFonts w:ascii="Arial" w:cs="Arial" w:eastAsia="Arial" w:hAnsi="Arial"/>
                <w:sz w:val="18"/>
                <w:szCs w:val="18"/>
                <w:color w:val="0000FF"/>
                <w:w w:val="96"/>
              </w:rPr>
            </w:pPr>
            <w:hyperlink w:anchor="page56">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hyperlink>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Certification Pursuant to 18 U.S.C. Section 1350, as adopted This Exhibit is intended to be furnished in accordance with</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5000" w:type="dxa"/>
            <w:vAlign w:val="bottom"/>
          </w:tcPr>
          <w:p>
            <w:pPr>
              <w:ind w:left="200"/>
              <w:spacing w:after="0" w:line="156" w:lineRule="exact"/>
              <w:rPr>
                <w:sz w:val="20"/>
                <w:szCs w:val="20"/>
                <w:color w:val="auto"/>
              </w:rPr>
            </w:pPr>
            <w:r>
              <w:rPr>
                <w:rFonts w:ascii="Arial" w:cs="Arial" w:eastAsia="Arial" w:hAnsi="Arial"/>
                <w:sz w:val="18"/>
                <w:szCs w:val="18"/>
                <w:color w:val="auto"/>
              </w:rPr>
              <w:t>pursuant to Section 906 of the Sarbanes-Oxley Act of 2002</w:t>
            </w:r>
          </w:p>
        </w:tc>
        <w:tc>
          <w:tcPr>
            <w:tcW w:w="5340" w:type="dxa"/>
            <w:vAlign w:val="bottom"/>
          </w:tcPr>
          <w:p>
            <w:pPr>
              <w:ind w:left="100"/>
              <w:spacing w:after="0" w:line="156" w:lineRule="exact"/>
              <w:rPr>
                <w:sz w:val="20"/>
                <w:szCs w:val="20"/>
                <w:color w:val="auto"/>
              </w:rPr>
            </w:pPr>
            <w:r>
              <w:rPr>
                <w:rFonts w:ascii="Arial" w:cs="Arial" w:eastAsia="Arial" w:hAnsi="Arial"/>
                <w:sz w:val="18"/>
                <w:szCs w:val="18"/>
                <w:color w:val="auto"/>
              </w:rPr>
              <w:t>Regulation S-K Item 601(b) (32) (ii) and shall not be deemed to</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5340" w:type="dxa"/>
            <w:vAlign w:val="bottom"/>
          </w:tcPr>
          <w:p>
            <w:pPr>
              <w:ind w:left="100"/>
              <w:spacing w:after="0" w:line="176" w:lineRule="exact"/>
              <w:rPr>
                <w:sz w:val="20"/>
                <w:szCs w:val="20"/>
                <w:color w:val="auto"/>
              </w:rPr>
            </w:pPr>
            <w:r>
              <w:rPr>
                <w:rFonts w:ascii="Arial" w:cs="Arial" w:eastAsia="Arial" w:hAnsi="Arial"/>
                <w:sz w:val="18"/>
                <w:szCs w:val="18"/>
                <w:color w:val="auto"/>
              </w:rPr>
              <w:t>be filed for purposes of Section 18 of the Securities Exchange</w:t>
            </w: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5340" w:type="dxa"/>
            <w:vAlign w:val="bottom"/>
          </w:tcPr>
          <w:p>
            <w:pPr>
              <w:ind w:left="100"/>
              <w:spacing w:after="0" w:line="176" w:lineRule="exact"/>
              <w:rPr>
                <w:sz w:val="20"/>
                <w:szCs w:val="20"/>
                <w:color w:val="auto"/>
              </w:rPr>
            </w:pPr>
            <w:r>
              <w:rPr>
                <w:rFonts w:ascii="Arial" w:cs="Arial" w:eastAsia="Arial" w:hAnsi="Arial"/>
                <w:sz w:val="18"/>
                <w:szCs w:val="18"/>
                <w:color w:val="auto"/>
              </w:rPr>
              <w:t>Act of 1934 or incorporated by reference into any filing under the</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5340" w:type="dxa"/>
            <w:vAlign w:val="bottom"/>
          </w:tcPr>
          <w:p>
            <w:pPr>
              <w:ind w:left="100"/>
              <w:spacing w:after="0" w:line="176" w:lineRule="exact"/>
              <w:rPr>
                <w:sz w:val="20"/>
                <w:szCs w:val="20"/>
                <w:color w:val="auto"/>
              </w:rPr>
            </w:pPr>
            <w:r>
              <w:rPr>
                <w:rFonts w:ascii="Arial" w:cs="Arial" w:eastAsia="Arial" w:hAnsi="Arial"/>
                <w:sz w:val="18"/>
                <w:szCs w:val="18"/>
                <w:color w:val="auto"/>
              </w:rPr>
              <w:t>Securities Act of 1933 or the Securities Exchange Act of 1934,</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except as shall be expressly set forth by specific reference.</w:t>
            </w:r>
          </w:p>
        </w:tc>
        <w:tc>
          <w:tcPr>
            <w:tcW w:w="0" w:type="dxa"/>
            <w:vAlign w:val="bottom"/>
          </w:tcPr>
          <w:p>
            <w:pPr>
              <w:spacing w:after="0"/>
              <w:rPr>
                <w:sz w:val="1"/>
                <w:szCs w:val="1"/>
                <w:color w:val="auto"/>
              </w:rPr>
            </w:pPr>
          </w:p>
        </w:tc>
      </w:tr>
      <w:tr>
        <w:trPr>
          <w:trHeight w:val="242"/>
        </w:trPr>
        <w:tc>
          <w:tcPr>
            <w:tcW w:w="900" w:type="dxa"/>
            <w:vAlign w:val="bottom"/>
            <w:gridSpan w:val="5"/>
          </w:tcPr>
          <w:p>
            <w:pPr>
              <w:jc w:val="center"/>
              <w:ind w:right="40"/>
              <w:spacing w:after="0"/>
              <w:rPr>
                <w:rFonts w:ascii="Arial" w:cs="Arial" w:eastAsia="Arial" w:hAnsi="Arial"/>
                <w:sz w:val="18"/>
                <w:szCs w:val="18"/>
                <w:color w:val="0000FF"/>
                <w:w w:val="96"/>
              </w:rPr>
            </w:pPr>
            <w:hyperlink w:anchor="page57">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2</w:t>
              </w:r>
            </w:hyperlink>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Certification Pursuant to 18 U.S.C. Section 1350, as adopted This Exhibit is intended to be furnished in accordance with</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5000" w:type="dxa"/>
            <w:vAlign w:val="bottom"/>
          </w:tcPr>
          <w:p>
            <w:pPr>
              <w:ind w:left="200"/>
              <w:spacing w:after="0" w:line="156" w:lineRule="exact"/>
              <w:rPr>
                <w:sz w:val="20"/>
                <w:szCs w:val="20"/>
                <w:color w:val="auto"/>
              </w:rPr>
            </w:pPr>
            <w:r>
              <w:rPr>
                <w:rFonts w:ascii="Arial" w:cs="Arial" w:eastAsia="Arial" w:hAnsi="Arial"/>
                <w:sz w:val="18"/>
                <w:szCs w:val="18"/>
                <w:color w:val="auto"/>
              </w:rPr>
              <w:t>pursuant to Section 906 of the Sarbanes-Oxley Act of 2002</w:t>
            </w:r>
          </w:p>
        </w:tc>
        <w:tc>
          <w:tcPr>
            <w:tcW w:w="5340" w:type="dxa"/>
            <w:vAlign w:val="bottom"/>
          </w:tcPr>
          <w:p>
            <w:pPr>
              <w:ind w:left="100"/>
              <w:spacing w:after="0" w:line="156" w:lineRule="exact"/>
              <w:rPr>
                <w:sz w:val="20"/>
                <w:szCs w:val="20"/>
                <w:color w:val="auto"/>
              </w:rPr>
            </w:pPr>
            <w:r>
              <w:rPr>
                <w:rFonts w:ascii="Arial" w:cs="Arial" w:eastAsia="Arial" w:hAnsi="Arial"/>
                <w:sz w:val="18"/>
                <w:szCs w:val="18"/>
                <w:color w:val="auto"/>
              </w:rPr>
              <w:t>Regulation S-K Item 601(b) (32) (ii) and shall not be deemed to</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5340" w:type="dxa"/>
            <w:vAlign w:val="bottom"/>
          </w:tcPr>
          <w:p>
            <w:pPr>
              <w:ind w:left="100"/>
              <w:spacing w:after="0" w:line="176" w:lineRule="exact"/>
              <w:rPr>
                <w:sz w:val="20"/>
                <w:szCs w:val="20"/>
                <w:color w:val="auto"/>
              </w:rPr>
            </w:pPr>
            <w:r>
              <w:rPr>
                <w:rFonts w:ascii="Arial" w:cs="Arial" w:eastAsia="Arial" w:hAnsi="Arial"/>
                <w:sz w:val="18"/>
                <w:szCs w:val="18"/>
                <w:color w:val="auto"/>
              </w:rPr>
              <w:t>be filed for purposes of Section 18 of the Securities Exchange</w:t>
            </w: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5340" w:type="dxa"/>
            <w:vAlign w:val="bottom"/>
          </w:tcPr>
          <w:p>
            <w:pPr>
              <w:ind w:left="100"/>
              <w:spacing w:after="0" w:line="176" w:lineRule="exact"/>
              <w:rPr>
                <w:sz w:val="20"/>
                <w:szCs w:val="20"/>
                <w:color w:val="auto"/>
              </w:rPr>
            </w:pPr>
            <w:r>
              <w:rPr>
                <w:rFonts w:ascii="Arial" w:cs="Arial" w:eastAsia="Arial" w:hAnsi="Arial"/>
                <w:sz w:val="18"/>
                <w:szCs w:val="18"/>
                <w:color w:val="auto"/>
              </w:rPr>
              <w:t>Act of 1934 or incorporated by reference into any filing under the</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5340" w:type="dxa"/>
            <w:vAlign w:val="bottom"/>
          </w:tcPr>
          <w:p>
            <w:pPr>
              <w:ind w:left="100"/>
              <w:spacing w:after="0" w:line="176" w:lineRule="exact"/>
              <w:rPr>
                <w:sz w:val="20"/>
                <w:szCs w:val="20"/>
                <w:color w:val="auto"/>
              </w:rPr>
            </w:pPr>
            <w:r>
              <w:rPr>
                <w:rFonts w:ascii="Arial" w:cs="Arial" w:eastAsia="Arial" w:hAnsi="Arial"/>
                <w:sz w:val="18"/>
                <w:szCs w:val="18"/>
                <w:color w:val="auto"/>
              </w:rPr>
              <w:t>Securities Act of 1933 or the Securities Exchange Act of 1934,</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except as shall be expressly set forth by specific reference.</w:t>
            </w:r>
          </w:p>
        </w:tc>
        <w:tc>
          <w:tcPr>
            <w:tcW w:w="0" w:type="dxa"/>
            <w:vAlign w:val="bottom"/>
          </w:tcPr>
          <w:p>
            <w:pPr>
              <w:spacing w:after="0"/>
              <w:rPr>
                <w:sz w:val="1"/>
                <w:szCs w:val="1"/>
                <w:color w:val="auto"/>
              </w:rPr>
            </w:pPr>
          </w:p>
        </w:tc>
      </w:tr>
    </w:tbl>
    <w:p>
      <w:pPr>
        <w:spacing w:after="0" w:line="67" w:lineRule="exact"/>
        <w:rPr>
          <w:sz w:val="20"/>
          <w:szCs w:val="20"/>
          <w:color w:val="auto"/>
        </w:rPr>
      </w:pPr>
    </w:p>
    <w:p>
      <w:pPr>
        <w:sectPr>
          <w:pgSz w:w="11900" w:h="16838" w:orient="portrait"/>
          <w:cols w:equalWidth="0" w:num="1">
            <w:col w:w="11240"/>
          </w:cols>
          <w:pgMar w:left="320" w:top="886" w:right="339" w:bottom="1440" w:gutter="0" w:footer="0" w:header="0"/>
        </w:sectPr>
      </w:pPr>
    </w:p>
    <w:p>
      <w:pPr>
        <w:ind w:left="1100" w:hanging="890"/>
        <w:spacing w:after="0" w:line="208" w:lineRule="auto"/>
        <w:tabs>
          <w:tab w:leader="none" w:pos="10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The following materials from Xylem Inc.’s Quarterly Report on Form 10-Q for the quarterly period ended September 30, 2021, formatted in Inline Extensible Business Reporting Language (Inline XBRL): (i) Condensed Consolidated Income Statements, (ii) Condensed Consolidated Statements of Comprehensive Income, (iii) Condensed Consolidated Balance Sheets, (iv) Condensed Consolidated Statements of Cash Flows and (v) Notes to Condensed Consolidated Financial Statements</w:t>
      </w:r>
    </w:p>
    <w:p>
      <w:pPr>
        <w:spacing w:after="0" w:line="19" w:lineRule="exact"/>
        <w:rPr>
          <w:sz w:val="20"/>
          <w:szCs w:val="20"/>
          <w:color w:val="auto"/>
        </w:rPr>
      </w:pPr>
    </w:p>
    <w:p>
      <w:pPr>
        <w:jc w:val="both"/>
        <w:ind w:left="1100" w:right="20" w:hanging="890"/>
        <w:spacing w:after="0" w:line="219" w:lineRule="auto"/>
        <w:tabs>
          <w:tab w:leader="none" w:pos="108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The cover page from Xylem Inc.'s Quarterly Report on Form 10-Q for the period ended September 30, 2021 formatted in Inline XBRL and contained in Exhibit 101.0.</w:t>
      </w:r>
    </w:p>
    <w:p>
      <w:pPr>
        <w:spacing w:after="0" w:line="20" w:lineRule="exact"/>
        <w:rPr>
          <w:sz w:val="20"/>
          <w:szCs w:val="20"/>
          <w:color w:val="auto"/>
        </w:rPr>
      </w:pPr>
      <w:r>
        <w:rPr>
          <w:sz w:val="20"/>
          <w:szCs w:val="20"/>
          <w:color w:val="auto"/>
        </w:rPr>
        <w:br w:type="column"/>
      </w:r>
    </w:p>
    <w:p>
      <w:pPr>
        <w:ind w:right="120"/>
        <w:spacing w:after="0" w:line="219" w:lineRule="auto"/>
        <w:rPr>
          <w:sz w:val="20"/>
          <w:szCs w:val="20"/>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1833" w:lineRule="exact"/>
        <w:rPr>
          <w:sz w:val="20"/>
          <w:szCs w:val="20"/>
          <w:color w:val="auto"/>
        </w:rPr>
      </w:pPr>
    </w:p>
    <w:p>
      <w:pPr>
        <w:sectPr>
          <w:pgSz w:w="11900" w:h="16838" w:orient="portrait"/>
          <w:cols w:equalWidth="0" w:num="2">
            <w:col w:w="5880" w:space="120"/>
            <w:col w:w="5240"/>
          </w:cols>
          <w:pgMar w:left="320" w:top="88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52" w:name="page53"/>
    <w:bookmarkEnd w:id="5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4500"/>
        <w:spacing w:after="0"/>
        <w:rPr>
          <w:sz w:val="20"/>
          <w:szCs w:val="20"/>
          <w:color w:val="auto"/>
        </w:rPr>
      </w:pPr>
      <w:r>
        <w:rPr>
          <w:rFonts w:ascii="Arial" w:cs="Arial" w:eastAsia="Arial" w:hAnsi="Arial"/>
          <w:sz w:val="18"/>
          <w:szCs w:val="18"/>
          <w:b w:val="1"/>
          <w:bCs w:val="1"/>
          <w:u w:val="single" w:color="auto"/>
          <w:color w:val="auto"/>
        </w:rPr>
        <w:t>XYLEM INC.</w:t>
      </w:r>
    </w:p>
    <w:p>
      <w:pPr>
        <w:spacing w:after="0" w:line="4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(Registrant)</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Geri McShane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6350</wp:posOffset>
            </wp:positionV>
            <wp:extent cx="37973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Geri McShane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Controller and Chief Accounting Officer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November 2, 2021</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120"/>
          </w:cols>
          <w:pgMar w:left="320" w:top="1089" w:right="4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Patrick K. Decker, certify that:</w:t>
      </w:r>
    </w:p>
    <w:p>
      <w:pPr>
        <w:spacing w:after="0" w:line="117"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September 30, 2021;</w:t>
      </w:r>
    </w:p>
    <w:p>
      <w:pPr>
        <w:spacing w:after="0" w:line="11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ind w:left="660" w:right="60" w:hanging="328"/>
        <w:spacing w:after="0" w:line="256" w:lineRule="auto"/>
        <w:tabs>
          <w:tab w:leader="none" w:pos="65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660" w:right="160" w:hanging="328"/>
        <w:spacing w:after="0" w:line="256" w:lineRule="auto"/>
        <w:tabs>
          <w:tab w:leader="none" w:pos="65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660" w:right="120" w:hanging="328"/>
        <w:spacing w:after="0" w:line="256" w:lineRule="auto"/>
        <w:tabs>
          <w:tab w:leader="none" w:pos="648"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660" w:right="420" w:hanging="328"/>
        <w:spacing w:after="0" w:line="256" w:lineRule="auto"/>
        <w:tabs>
          <w:tab w:leader="none" w:pos="65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right="280" w:hanging="328"/>
        <w:spacing w:after="0" w:line="261" w:lineRule="auto"/>
        <w:tabs>
          <w:tab w:leader="none" w:pos="65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520" w:hanging="328"/>
        <w:spacing w:after="0" w:line="261" w:lineRule="auto"/>
        <w:tabs>
          <w:tab w:leader="none" w:pos="65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K. Decker</w:t>
            </w:r>
          </w:p>
        </w:tc>
        <w:tc>
          <w:tcPr>
            <w:tcW w:w="0" w:type="dxa"/>
            <w:vAlign w:val="bottom"/>
          </w:tcPr>
          <w:p>
            <w:pPr>
              <w:spacing w:after="0"/>
              <w:rPr>
                <w:sz w:val="1"/>
                <w:szCs w:val="1"/>
                <w:color w:val="auto"/>
              </w:rPr>
            </w:pPr>
          </w:p>
        </w:tc>
      </w:tr>
      <w:tr>
        <w:trPr>
          <w:trHeight w:val="182"/>
        </w:trPr>
        <w:tc>
          <w:tcPr>
            <w:tcW w:w="6700" w:type="dxa"/>
            <w:vAlign w:val="bottom"/>
          </w:tcPr>
          <w:p>
            <w:pPr>
              <w:spacing w:after="0"/>
              <w:rPr>
                <w:sz w:val="15"/>
                <w:szCs w:val="15"/>
                <w:color w:val="auto"/>
              </w:rPr>
            </w:pPr>
          </w:p>
        </w:tc>
        <w:tc>
          <w:tcPr>
            <w:tcW w:w="4100" w:type="dxa"/>
            <w:vAlign w:val="bottom"/>
          </w:tcPr>
          <w:p>
            <w:pPr>
              <w:ind w:left="20"/>
              <w:spacing w:after="0" w:line="182" w:lineRule="exact"/>
              <w:rPr>
                <w:sz w:val="20"/>
                <w:szCs w:val="20"/>
                <w:color w:val="auto"/>
              </w:rPr>
            </w:pPr>
            <w:r>
              <w:rPr>
                <w:rFonts w:ascii="Arial" w:cs="Arial" w:eastAsia="Arial" w:hAnsi="Arial"/>
                <w:sz w:val="18"/>
                <w:szCs w:val="18"/>
                <w:color w:val="auto"/>
              </w:rPr>
              <w:t>Patrick K. Decker</w:t>
            </w:r>
          </w:p>
        </w:tc>
        <w:tc>
          <w:tcPr>
            <w:tcW w:w="0" w:type="dxa"/>
            <w:vAlign w:val="bottom"/>
          </w:tcPr>
          <w:p>
            <w:pPr>
              <w:spacing w:after="0"/>
              <w:rPr>
                <w:sz w:val="1"/>
                <w:szCs w:val="1"/>
                <w:color w:val="auto"/>
              </w:rPr>
            </w:pPr>
          </w:p>
        </w:tc>
      </w:tr>
      <w:tr>
        <w:trPr>
          <w:trHeight w:val="217"/>
        </w:trPr>
        <w:tc>
          <w:tcPr>
            <w:tcW w:w="6700" w:type="dxa"/>
            <w:vAlign w:val="bottom"/>
            <w:vMerge w:val="restart"/>
          </w:tcPr>
          <w:p>
            <w:pPr>
              <w:spacing w:after="0"/>
              <w:rPr>
                <w:sz w:val="20"/>
                <w:szCs w:val="20"/>
                <w:color w:val="auto"/>
              </w:rPr>
            </w:pPr>
            <w:r>
              <w:rPr>
                <w:rFonts w:ascii="Arial" w:cs="Arial" w:eastAsia="Arial" w:hAnsi="Arial"/>
                <w:sz w:val="18"/>
                <w:szCs w:val="18"/>
                <w:color w:val="auto"/>
              </w:rPr>
              <w:t>Date: November 2, 2021</w:t>
            </w:r>
          </w:p>
        </w:tc>
        <w:tc>
          <w:tcPr>
            <w:tcW w:w="41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108"/>
        </w:trPr>
        <w:tc>
          <w:tcPr>
            <w:tcW w:w="6700" w:type="dxa"/>
            <w:vAlign w:val="bottom"/>
            <w:vMerge w:val="continue"/>
          </w:tcPr>
          <w:p>
            <w:pPr>
              <w:spacing w:after="0"/>
              <w:rPr>
                <w:sz w:val="9"/>
                <w:szCs w:val="9"/>
                <w:color w:val="auto"/>
              </w:rPr>
            </w:pPr>
          </w:p>
        </w:tc>
        <w:tc>
          <w:tcPr>
            <w:tcW w:w="4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6"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Sandra E. Rowland, certify that:</w:t>
      </w:r>
    </w:p>
    <w:p>
      <w:pPr>
        <w:spacing w:after="0" w:line="117"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September 30, 2021;</w:t>
      </w:r>
    </w:p>
    <w:p>
      <w:pPr>
        <w:spacing w:after="0" w:line="11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ind w:left="660" w:right="60" w:hanging="328"/>
        <w:spacing w:after="0" w:line="256" w:lineRule="auto"/>
        <w:tabs>
          <w:tab w:leader="none" w:pos="65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660" w:right="160" w:hanging="328"/>
        <w:spacing w:after="0" w:line="256" w:lineRule="auto"/>
        <w:tabs>
          <w:tab w:leader="none" w:pos="65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660" w:right="120" w:hanging="328"/>
        <w:spacing w:after="0" w:line="256" w:lineRule="auto"/>
        <w:tabs>
          <w:tab w:leader="none" w:pos="6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660" w:right="420" w:hanging="328"/>
        <w:spacing w:after="0" w:line="256" w:lineRule="auto"/>
        <w:tabs>
          <w:tab w:leader="none" w:pos="65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right="280" w:hanging="328"/>
        <w:spacing w:after="0" w:line="261" w:lineRule="auto"/>
        <w:tabs>
          <w:tab w:leader="none" w:pos="65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520" w:hanging="328"/>
        <w:spacing w:after="0" w:line="261" w:lineRule="auto"/>
        <w:tabs>
          <w:tab w:leader="none" w:pos="65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Sandra E. Rowland</w:t>
            </w:r>
          </w:p>
        </w:tc>
        <w:tc>
          <w:tcPr>
            <w:tcW w:w="0" w:type="dxa"/>
            <w:vAlign w:val="bottom"/>
          </w:tcPr>
          <w:p>
            <w:pPr>
              <w:spacing w:after="0"/>
              <w:rPr>
                <w:sz w:val="1"/>
                <w:szCs w:val="1"/>
                <w:color w:val="auto"/>
              </w:rPr>
            </w:pPr>
          </w:p>
        </w:tc>
      </w:tr>
      <w:tr>
        <w:trPr>
          <w:trHeight w:val="182"/>
        </w:trPr>
        <w:tc>
          <w:tcPr>
            <w:tcW w:w="6700" w:type="dxa"/>
            <w:vAlign w:val="bottom"/>
          </w:tcPr>
          <w:p>
            <w:pPr>
              <w:spacing w:after="0"/>
              <w:rPr>
                <w:sz w:val="15"/>
                <w:szCs w:val="15"/>
                <w:color w:val="auto"/>
              </w:rPr>
            </w:pPr>
          </w:p>
        </w:tc>
        <w:tc>
          <w:tcPr>
            <w:tcW w:w="4100" w:type="dxa"/>
            <w:vAlign w:val="bottom"/>
          </w:tcPr>
          <w:p>
            <w:pPr>
              <w:ind w:left="20"/>
              <w:spacing w:after="0" w:line="182" w:lineRule="exact"/>
              <w:rPr>
                <w:sz w:val="20"/>
                <w:szCs w:val="20"/>
                <w:color w:val="auto"/>
              </w:rPr>
            </w:pPr>
            <w:r>
              <w:rPr>
                <w:rFonts w:ascii="Arial" w:cs="Arial" w:eastAsia="Arial" w:hAnsi="Arial"/>
                <w:sz w:val="18"/>
                <w:szCs w:val="18"/>
                <w:color w:val="auto"/>
              </w:rPr>
              <w:t>Sandra E. Rowland</w:t>
            </w:r>
          </w:p>
        </w:tc>
        <w:tc>
          <w:tcPr>
            <w:tcW w:w="0" w:type="dxa"/>
            <w:vAlign w:val="bottom"/>
          </w:tcPr>
          <w:p>
            <w:pPr>
              <w:spacing w:after="0"/>
              <w:rPr>
                <w:sz w:val="1"/>
                <w:szCs w:val="1"/>
                <w:color w:val="auto"/>
              </w:rPr>
            </w:pPr>
          </w:p>
        </w:tc>
      </w:tr>
      <w:tr>
        <w:trPr>
          <w:trHeight w:val="217"/>
        </w:trPr>
        <w:tc>
          <w:tcPr>
            <w:tcW w:w="6700" w:type="dxa"/>
            <w:vAlign w:val="bottom"/>
            <w:vMerge w:val="restart"/>
          </w:tcPr>
          <w:p>
            <w:pPr>
              <w:spacing w:after="0"/>
              <w:rPr>
                <w:sz w:val="20"/>
                <w:szCs w:val="20"/>
                <w:color w:val="auto"/>
              </w:rPr>
            </w:pPr>
            <w:r>
              <w:rPr>
                <w:rFonts w:ascii="Arial" w:cs="Arial" w:eastAsia="Arial" w:hAnsi="Arial"/>
                <w:sz w:val="18"/>
                <w:szCs w:val="18"/>
                <w:color w:val="auto"/>
              </w:rPr>
              <w:t>Date: November 2, 2021</w:t>
            </w:r>
          </w:p>
        </w:tc>
        <w:tc>
          <w:tcPr>
            <w:tcW w:w="410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108"/>
        </w:trPr>
        <w:tc>
          <w:tcPr>
            <w:tcW w:w="6700" w:type="dxa"/>
            <w:vAlign w:val="bottom"/>
            <w:vMerge w:val="continue"/>
          </w:tcPr>
          <w:p>
            <w:pPr>
              <w:spacing w:after="0"/>
              <w:rPr>
                <w:sz w:val="9"/>
                <w:szCs w:val="9"/>
                <w:color w:val="auto"/>
              </w:rPr>
            </w:pPr>
          </w:p>
        </w:tc>
        <w:tc>
          <w:tcPr>
            <w:tcW w:w="4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6"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connection with the Quarterly Report on Form 10-Q of Xylem Inc. (the “Company”) for the period ended September 30, 2021 as filed with the Securities and Exchange Commission on the date hereof (the “Report”), I, Patrick K. Decker, President and Chief Executive Officer of the Company, certify, pursuant to 18 U.S.C. 1350, as adopted pursuant to 906 of the Sarbanes-Oxley Act of 2002, to my knowledge, that:</w:t>
      </w:r>
    </w:p>
    <w:p>
      <w:pPr>
        <w:spacing w:after="0" w:line="94"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Patrick K.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31203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K. Decker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2, 2021</w:t>
      </w:r>
    </w:p>
    <w:p>
      <w:pPr>
        <w:spacing w:after="0" w:line="19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the Quarterly Report on Form 10-Q of Xylem Inc. (the “Company”) for the period ended September 30, 2021 as filed with the Securities and Exchange Commission on the date hereof (the “Report”), I, Sandra E. Rowland, Senior Vice President and Chief Financial Officer of the Company, certify, pursuant to 18 U.S.C. 1350, as adopted pursuant to 906 of the Sarbanes-Oxley Act of 2002, to my knowledge, that:</w:t>
      </w:r>
    </w:p>
    <w:p>
      <w:pPr>
        <w:spacing w:after="0" w:line="96"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Sandra E.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31203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Sandra E. Rowland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2, 2021</w:t>
      </w:r>
    </w:p>
    <w:p>
      <w:pPr>
        <w:spacing w:after="0" w:line="19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lowerLetter"/>
      <w:start w:val="1"/>
    </w:lvl>
  </w:abstractNum>
  <w:abstractNum w:abstractNumId="3">
    <w:nsid w:val="41A7C4C9"/>
    <w:multiLevelType w:val="hybridMultilevel"/>
    <w:lvl w:ilvl="0">
      <w:lvlJc w:val="left"/>
      <w:lvlText w:val="(%1)"/>
      <w:numFmt w:val="lowerLetter"/>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1)"/>
      <w:numFmt w:val="lowerLetter"/>
      <w:start w:val="2"/>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3" Type="http://schemas.openxmlformats.org/officeDocument/2006/relationships/hyperlink" Target="http://www.sec.gov/Archives/edgar/data/1524472/000152447217000027/a8-k31xcharter.htm" TargetMode="External"/><Relationship Id="rId74" Type="http://schemas.openxmlformats.org/officeDocument/2006/relationships/hyperlink" Target="http://www.sec.gov/Archives/edgar/data/1524472/000152447217000027/a8-k32xbyx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2021-11-02T11:51:04Z</dcterms:created>
  <dcterms:modified xsi:type="dcterms:W3CDTF">2021-11-02T11:51:04Z</dcterms:modified>
</cp:coreProperties>
</file>