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XYLEM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64"/>
        <w:spacing w:after="0"/>
        <w:rPr>
          <w:sz w:val="20"/>
          <w:szCs w:val="20"/>
          <w:color w:val="auto"/>
        </w:rPr>
      </w:pPr>
      <w:r>
        <w:rPr>
          <w:rFonts w:ascii="Times New Roman" w:cs="Times New Roman" w:eastAsia="Times New Roman" w:hAnsi="Times New Roman"/>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001-35229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45-2080495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301 Water Street SE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Washington DC</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20003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 869-9150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XYL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On May 29, 2026, Xylem Inc. (the “Company”) completed a public offering (the “Offering”) of $500,000,000 aggregate principal amount of 5.200% Senior Notes due 2033 (the “2033 Notes”) and $500,000,000 aggregate principal amount of 5.450% Senior Blue Notes due 2036 (the “2036 Blue Notes” and, together with the 2033 Notes, the “Notes”). The Notes are governed by a senior indenture, dated March 11, 2016 (the “Base Indenture”), as supplemented by the first supplemental indenture, dated March 11, 2016 (the “First Supplemental Indenture”), and as further supplemented by the fifth supplemental indenture, dated May 29, 2026 (the “Fifth Supplemental Indenture”), each between Deutsche Bank Trust Company Americas, as trustee, and the Company (as so supplemented, the “Indenture”).</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of the Company and rank equally in right of payment with all of the Company’s other unsecured and unsubordinated obligations from time to time outstanding. The 2033 Notes will bear interest at the rate of 5.200% per year and will mature on June 1, 2033. The 2036 Blue Notes will bear interest at the rate of 5.450% per year and will mature on June 1, 2036. Interest on the Notes will be payable semiannually on June 1 and December 1 of each year beginning on December 1, 2026.</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may redeem the Notes at any time, at its option, subject to certain conditions, at specified redemption prices, plus accrued and unpaid interest to the redemption date. The Indenture contains customary agreements and covenants by the Company. These covenants limit the ability of the Company and its restricted subsidiaries (i) to incur debt secured by liens on certain property above a threshold, (ii) to engage in certain sale and leaseback transactions involving certain property above a threshold, and (iii) to consolidate or merge, or convey or transfer all or substantially all of their assets. If the Company experiences certain changes of control accompanied or followed by rating downgrades during a specified period, the Company will be required to make an offer to repurchase the Notes at a purchase price equal to 101% of the aggregate principal amount of such Notes, plus accrued and unpaid interest to, but not including, the repurchase date.</w:t>
      </w:r>
    </w:p>
    <w:p>
      <w:pPr>
        <w:spacing w:after="0" w:line="18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intends to use the net proceeds from the sale of the 2033 Notes to repay or redeem our $500 million aggregate principal amount of 3.250% Senior Notes maturing on November 1, 2026 at or prior to maturity and for general corporate purposes. The Company intends to allocate an amount equal to the net proceeds from the sale of the 2036 Blue Notes to a portfolio of eligible blue projects. Pending allocation for such purposes, the Company intends to hold and/or invest the balance of net proceeds in its treasury liquidity portfolio, or in cash or other short-term and liquid instruments.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Indenture does not purport to be complete and is qualified in its entirety by reference to the full text of the Base Indenture and the First Supplemental Indenture, which were filed as Exhibits 4.1 and 4.2, respectively, to the Company’s Current Report on Form 8-K filed with the Securities and Exchange Commission on March 11, 2016, and to the full text of the Fifth Supplemental Indenture, which is filed as Exhibit 4.1 hereto. Each of the foregoing documents is incorporated by reference herein.</w:t>
      </w:r>
    </w:p>
    <w:p>
      <w:pPr>
        <w:sectPr>
          <w:pgSz w:w="11900" w:h="16838" w:orient="portrait"/>
          <w:cols w:equalWidth="0" w:num="1">
            <w:col w:w="11000"/>
          </w:cols>
          <w:pgMar w:left="440" w:top="293" w:right="459" w:bottom="1440" w:gutter="0" w:footer="0" w:header="0"/>
        </w:sectPr>
      </w:pPr>
    </w:p>
    <w:bookmarkStart w:id="2" w:name="page3"/>
    <w:bookmarkEnd w:id="2"/>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Notes were offered and sold pursuant to a registration statement on Form S-3 (File No. 333-273653), including a base prospectus (the “Registration Statement”) dated August 3, 2023, as supplemented by a preliminary prospectus supplement dated May 19, 2026, and a final prospectus supplement dated May 19, 2026.</w:t>
      </w:r>
    </w:p>
    <w:p>
      <w:pPr>
        <w:spacing w:after="0" w:line="280"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7"/>
          <w:szCs w:val="17"/>
          <w:b w:val="1"/>
          <w:bCs w:val="1"/>
          <w:color w:val="auto"/>
        </w:rPr>
        <w:t>Item 2.03 Creation of a Direct Financial Obligation or an Obligation under an Off-Balance Sheet Arrangement of a Registrant.</w:t>
      </w:r>
    </w:p>
    <w:p>
      <w:pPr>
        <w:spacing w:after="0" w:line="133"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The disclosure under Item 1.01 of this report is also responsive to Item 2.03 of this report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Notes were issued pursuant to an underwriting agreement, dated May 19, 2026 (the “Underwriting Agreement”), among the Company and BNP Paribas Securities Corp., Citigroup Global Markets Inc., ING Financial Markets LLC, J.P. Morgan Securities LLC and Wells Fargo Securities, LLC, as representatives of the several underwriters named therein. The full text of the Underwriting Agreement is filed as Exhibit 1.1 hereto and incorporated by reference herein.</w:t>
      </w:r>
    </w:p>
    <w:p>
      <w:pPr>
        <w:spacing w:after="0" w:line="180"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Company is filing as Exhibits 5.1 and 5.2 hereto opinions of counsel addressing the validity and enforceability of the Notes. Such opinions are incorporated by reference into the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15"/>
                <w:szCs w:val="15"/>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4"/>
                <w:szCs w:val="24"/>
                <w:color w:val="auto"/>
              </w:rPr>
            </w:pPr>
          </w:p>
        </w:tc>
        <w:tc>
          <w:tcPr>
            <w:tcW w:w="9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Underwriting Agreement, dated May 19, 2026, among Xylem Inc. and BNP Paribas Securities Corp., Citigroup Global Markets Inc.,</w:t>
            </w: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ING Financial Markets LLC, J.P. Morgan Securities LLC and Wells Fargo Securities, LLC.</w:t>
            </w:r>
          </w:p>
        </w:tc>
        <w:tc>
          <w:tcPr>
            <w:tcW w:w="298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94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Fifth Supplemental Indenture, dated May 29, 2026, by and between the Company and Deutsche Bank Trust Company Americas, as</w:t>
            </w:r>
          </w:p>
        </w:tc>
        <w:tc>
          <w:tcPr>
            <w:tcW w:w="10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trustee (including the form of 5.200% Senior Notes due 2033 and the form of 5.450% Senior Blue Notes due 2036).</w:t>
            </w:r>
          </w:p>
        </w:tc>
        <w:tc>
          <w:tcPr>
            <w:tcW w:w="122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Opinion of Gibson, Dunn &amp; Crutcher LLP.</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24"/>
                <w:szCs w:val="24"/>
                <w:color w:val="auto"/>
              </w:rPr>
            </w:pPr>
          </w:p>
        </w:tc>
        <w:tc>
          <w:tcPr>
            <w:tcW w:w="30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Barnes &amp; Thornburg LLP.</w:t>
            </w:r>
          </w:p>
        </w:tc>
        <w:tc>
          <w:tcPr>
            <w:tcW w:w="6480" w:type="dxa"/>
            <w:vAlign w:val="bottom"/>
            <w:gridSpan w:val="6"/>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4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Gibson, Dunn &amp; Crutcher LLP (included in Exhibit 5.1).</w:t>
            </w:r>
          </w:p>
        </w:tc>
        <w:tc>
          <w:tcPr>
            <w:tcW w:w="464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Barnes &amp; Thornburg LLP (included in Exhibit 5.2).</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62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from Xylem Inc.’s Form 8-K, formatted in Inline XBRL (included as Exhibit 101).</w:t>
            </w:r>
          </w:p>
        </w:tc>
      </w:tr>
    </w:tbl>
    <w:p>
      <w:pPr>
        <w:sectPr>
          <w:pgSz w:w="11900" w:h="16838" w:orient="portrait"/>
          <w:cols w:equalWidth="0" w:num="1">
            <w:col w:w="10900"/>
          </w:cols>
          <w:pgMar w:left="440" w:top="297"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9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XYLEM INC.</w:t>
            </w:r>
          </w:p>
        </w:tc>
        <w:tc>
          <w:tcPr>
            <w:tcW w:w="4920" w:type="dxa"/>
            <w:vAlign w:val="bottom"/>
          </w:tcPr>
          <w:p>
            <w:pPr>
              <w:spacing w:after="0"/>
              <w:rPr>
                <w:sz w:val="20"/>
                <w:szCs w:val="20"/>
                <w:color w:val="auto"/>
              </w:rPr>
            </w:pP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K. Grogan</w:t>
            </w:r>
          </w:p>
        </w:tc>
      </w:tr>
      <w:tr>
        <w:trPr>
          <w:trHeight w:val="205"/>
        </w:trPr>
        <w:tc>
          <w:tcPr>
            <w:tcW w:w="3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William K. Grogan</w:t>
            </w:r>
          </w:p>
        </w:tc>
      </w:tr>
      <w:tr>
        <w:trPr>
          <w:trHeight w:val="216"/>
        </w:trPr>
        <w:tc>
          <w:tcPr>
            <w:tcW w:w="3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&amp; Chief</w:t>
            </w:r>
          </w:p>
        </w:tc>
      </w:tr>
      <w:tr>
        <w:trPr>
          <w:trHeight w:val="216"/>
        </w:trPr>
        <w:tc>
          <w:tcPr>
            <w:tcW w:w="3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34"/>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 of Registrant)</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Xylem Inc.</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$500,000,000 5.200% Senior Notes due 2033</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$500,000,000 5.450% Senior Notes due 2036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Xylem Inc., an Indiana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listed in Schedule 1 hereto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BNP Paribas Securities Corp., Citigroup Global Markets Inc., ING Financial Markets LLC, 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Wells Fargo Securities, LLC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$500,000,000 principal amount of its 5.200% Senior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 (the “</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and $500,000,000 principal amount of its 5.450% Senior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and, together with the 2033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issued pursuant to an Indenture dated</w:t>
      </w:r>
    </w:p>
    <w:p>
      <w:pPr>
        <w:sectPr>
          <w:pgSz w:w="11900" w:h="16838" w:orient="portrait"/>
          <w:cols w:equalWidth="0" w:num="1">
            <w:col w:w="11020"/>
          </w:cols>
          <w:pgMar w:left="440" w:top="117" w:right="439" w:bottom="1440" w:gutter="0" w:footer="0" w:header="0"/>
        </w:sectPr>
      </w:pPr>
    </w:p>
    <w:bookmarkStart w:id="5" w:name="page6"/>
    <w:bookmarkEnd w:id="5"/>
    <w:p>
      <w:pPr>
        <w:ind w:right="3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March 11, 2016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Supplemental Indenture No. 1 thereto dated as of March 11, 2016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a supplemental indenture thereto dated as of the Closing Date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and the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as supplemented by the First Supplemental Indenture and the Fifth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221"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 automatic shelf registration statement on Form S-3 (File No. 333-273653), including a prospectus, relating to the Securities, which automatic shelf registration statement became effective upon filing under Rule 462(e) under the Securities Act. Such registration statement, as of any time, including the information, if any, deemed pursuant to 430B under the Securities Act to be part of the registration statement as of such time (“</w:t>
      </w:r>
      <w:r>
        <w:rPr>
          <w:rFonts w:ascii="Times New Roman" w:cs="Times New Roman" w:eastAsia="Times New Roman" w:hAnsi="Times New Roman"/>
          <w:sz w:val="18"/>
          <w:szCs w:val="18"/>
          <w:b w:val="1"/>
          <w:bCs w:val="1"/>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as used herein,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each prospectus used in connection with the offering of the Securities and included in such registration statement (and any amendments thereto) before it becomes effective, any prospectus used in connection with the offering of the Securities and filed with the Commission pursuant to Rule 424(a) under the Securities Act and the prospectus used in connection with the offering of the Securities and included in the Registration Statement at the time of its effectiveness that omits Rule 430 Information, and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 the form first used (or made available upon request of purchasers pursuant to Rule 173 under the Securities Act) in connection with confirmation of sales of the Securities. Any reference in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or prior to 4:35 P.M., New York time, the time when sales of the Securities were first made (the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the following information had been prepared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a Preliminary Prospectus dated May 19, 2026, and each “</w:t>
      </w:r>
      <w:r>
        <w:rPr>
          <w:rFonts w:ascii="Times New Roman" w:cs="Times New Roman" w:eastAsia="Times New Roman" w:hAnsi="Times New Roman"/>
          <w:sz w:val="18"/>
          <w:szCs w:val="18"/>
          <w:b w:val="1"/>
          <w:bCs w:val="1"/>
          <w:color w:val="auto"/>
        </w:rPr>
        <w:t>free-writing prospectus</w:t>
      </w:r>
      <w:r>
        <w:rPr>
          <w:rFonts w:ascii="Times New Roman" w:cs="Times New Roman" w:eastAsia="Times New Roman" w:hAnsi="Times New Roman"/>
          <w:sz w:val="18"/>
          <w:szCs w:val="18"/>
          <w:color w:val="auto"/>
        </w:rPr>
        <w:t>” (as defined in Rule 405 under the Securities Act) listed on Annex A hereto.</w:t>
      </w:r>
    </w:p>
    <w:p>
      <w:pPr>
        <w:spacing w:after="0" w:line="17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5"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(i) with respect to the 2033 Notes, at a purchase price of 99.183% of the principal amount thereof plus accrued interest, if any, from May 29, 2026 to the Closing Date (the “</w:t>
      </w:r>
      <w:r>
        <w:rPr>
          <w:rFonts w:ascii="Times New Roman" w:cs="Times New Roman" w:eastAsia="Times New Roman" w:hAnsi="Times New Roman"/>
          <w:sz w:val="18"/>
          <w:szCs w:val="18"/>
          <w:b w:val="1"/>
          <w:bCs w:val="1"/>
          <w:color w:val="auto"/>
        </w:rPr>
        <w:t>2033 Notes Purchase Price</w:t>
      </w:r>
      <w:r>
        <w:rPr>
          <w:rFonts w:ascii="Times New Roman" w:cs="Times New Roman" w:eastAsia="Times New Roman" w:hAnsi="Times New Roman"/>
          <w:sz w:val="18"/>
          <w:szCs w:val="18"/>
          <w:color w:val="auto"/>
        </w:rPr>
        <w:t>”) and (ii) with respect to the 2036 Notes, at a purchase price of 99.327% of the principal amount thereof plus accrued interest, if any, from May 29, 2026 to the Closing Date (the “</w:t>
      </w:r>
      <w:r>
        <w:rPr>
          <w:rFonts w:ascii="Times New Roman" w:cs="Times New Roman" w:eastAsia="Times New Roman" w:hAnsi="Times New Roman"/>
          <w:sz w:val="18"/>
          <w:szCs w:val="18"/>
          <w:b w:val="1"/>
          <w:bCs w:val="1"/>
          <w:color w:val="auto"/>
        </w:rPr>
        <w:t>2036 Notes Purchase Price</w:t>
      </w:r>
      <w:r>
        <w:rPr>
          <w:rFonts w:ascii="Times New Roman" w:cs="Times New Roman" w:eastAsia="Times New Roman" w:hAnsi="Times New Roman"/>
          <w:sz w:val="18"/>
          <w:szCs w:val="18"/>
          <w:color w:val="auto"/>
        </w:rPr>
        <w:t>” and, together with the 2033 Notes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Company will not be obligated to deliver any of the Securities except upon payment for all the Securities to be purchased as provided herein.</w:t>
      </w:r>
    </w:p>
    <w:p>
      <w:pPr>
        <w:spacing w:after="0" w:line="80" w:lineRule="exact"/>
        <w:rPr>
          <w:rFonts w:ascii="Times New Roman" w:cs="Times New Roman" w:eastAsia="Times New Roman" w:hAnsi="Times New Roman"/>
          <w:sz w:val="18"/>
          <w:szCs w:val="18"/>
          <w:color w:val="auto"/>
        </w:rPr>
      </w:pPr>
    </w:p>
    <w:p>
      <w:pPr>
        <w:ind w:right="260" w:firstLine="436"/>
        <w:spacing w:after="0" w:line="26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71"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the offices of Davis Polk &amp; Wardwell LLP, 450 Lexington Avenue, New York, NY 10017, at 10:00 A.M., New York time, on May 29,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Underwriters, of one or more global notes representing the Securities (collectively, the “</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with any transfer taxes payable in connection with the sale of the Securities duly paid by the Company. The Global Notes will be made available for inspection by the Representatives not later than 1:00 P.M., New York time, on the business day prior to the Closing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 w:name="page8"/>
    <w:bookmarkEnd w:id="7"/>
    <w:p>
      <w:pPr>
        <w:ind w:left="-20" w:right="80" w:firstLine="436"/>
        <w:spacing w:after="0" w:line="254"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and agrees that the Underwriters are acting solely in the capacity of an arm’s length contractual counterparty to the Company with respect to the offering of Securities contemplated hereby (including in connection with determining the terms of such offering) and not as financial advisors or fiduciaries to, or agents of, the Company or any other person. Additionally, none of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 shall have any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as the case may be, and shall not be on behalf of the Company or any other person.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5" w:lineRule="exact"/>
        <w:rPr>
          <w:sz w:val="20"/>
          <w:szCs w:val="20"/>
          <w:color w:val="auto"/>
        </w:rPr>
      </w:pPr>
    </w:p>
    <w:p>
      <w:pPr>
        <w:ind w:left="-20" w:right="80" w:firstLine="436"/>
        <w:spacing w:after="0" w:line="257" w:lineRule="auto"/>
        <w:tabs>
          <w:tab w:leader="none" w:pos="6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w:t>
      </w:r>
    </w:p>
    <w:p>
      <w:pPr>
        <w:spacing w:after="0" w:line="74"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8" w:name="page9"/>
    <w:bookmarkEnd w:id="8"/>
    <w:p>
      <w:pPr>
        <w:ind w:left="-40" w:right="60" w:firstLine="436"/>
        <w:spacing w:after="0" w:line="252" w:lineRule="auto"/>
        <w:tabs>
          <w:tab w:leader="none" w:pos="6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prepared, made, used, authorized, approved or referred to and will not prepare, make, use, authorize, approve or refer to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Securities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communication by the Company or its agents and representatives (other than a communication referred to in clauses (i) (ii) and (iii) below) an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85"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w:t>
      </w:r>
      <w:r>
        <w:rPr>
          <w:rFonts w:ascii="Times New Roman" w:cs="Times New Roman" w:eastAsia="Times New Roman" w:hAnsi="Times New Roman"/>
          <w:sz w:val="18"/>
          <w:szCs w:val="18"/>
          <w:b w:val="1"/>
          <w:bCs w:val="1"/>
          <w:color w:val="auto"/>
        </w:rPr>
        <w:t>automatic shelf registration statement</w:t>
      </w:r>
      <w:r>
        <w:rPr>
          <w:rFonts w:ascii="Times New Roman" w:cs="Times New Roman" w:eastAsia="Times New Roman" w:hAnsi="Times New Roman"/>
          <w:sz w:val="18"/>
          <w:szCs w:val="18"/>
          <w:color w:val="auto"/>
        </w:rPr>
        <w:t>” as defined under Rule 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amendment thereto, the Registration Statement complied and will comply in all material respects with the Securities Act and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68" w:right="47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 Indenture Act of 1939, as amended, and the rules and regulations of the Commission thereunder (collectively,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w:t>
      </w:r>
    </w:p>
    <w:p>
      <w:pPr>
        <w:spacing w:after="0" w:line="190" w:lineRule="exact"/>
        <w:rPr>
          <w:sz w:val="20"/>
          <w:szCs w:val="20"/>
          <w:color w:val="auto"/>
        </w:rPr>
      </w:pPr>
    </w:p>
    <w:p>
      <w:pPr>
        <w:ind w:right="80" w:firstLine="436"/>
        <w:spacing w:after="0" w:line="254"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the Registration Statement, the Prospectus and the Time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when such incorporated documents were filed with the Commission, conformed in all material respects to the requirements of the Exchange Act and the rules and regulations of the Commission thereunder, and none of such documents contained any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during the Prospectus Delivery Period (as defined below)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and the related notes thereto included or incorporated by reference in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Time of Sale Information and the Prospectus comply in all material respects with the applicable requirements of the Securities Act and the Exchange Act, as applicable, and present fairly in all material respects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0" w:name="page11"/>
    <w:bookmarkEnd w:id="1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throughout the periods covered thereby, and the supporting schedules included or incorporated by reference in the Registration Statement, the Prospectus and the Time of Sale Information present fairly in all material respects the information required to be stated therein; and the other financial information relating to the Company and its consolidated subsidiaries included or incorporated by reference in the Registration Statement, the Time of Sale Information and the Prospectus has been derived from the accounting records of the Company and its subsidiaries and presents fairly in all material respects the information shown thereby.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spacing w:after="0" w:line="81" w:lineRule="exact"/>
        <w:rPr>
          <w:sz w:val="20"/>
          <w:szCs w:val="20"/>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r>
        <w:rPr>
          <w:rFonts w:ascii="Times New Roman" w:cs="Times New Roman" w:eastAsia="Times New Roman" w:hAnsi="Times New Roman"/>
          <w:sz w:val="18"/>
          <w:szCs w:val="18"/>
          <w:u w:val="single" w:color="auto"/>
          <w:color w:val="auto"/>
        </w:rPr>
        <w:t>]</w:t>
      </w:r>
    </w:p>
    <w:p>
      <w:pPr>
        <w:spacing w:after="0" w:line="11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the Time of Sale Information and the Prospectus, (i) there has not been any material adverse change in the capital stock or long-term debt of the Company or any of its subsidiaries, or any extraordinary dividend or distribution of any kind declared, set aside for payment, paid or made by the Company on any class of capital stock, or any material adverse change, or any adverse development involving the Company or any of its subsidiaries that would reasonably be expected to result in a prospective material adverse change, in or affecting the business, properties, rights, assets, management, financial position or results of operations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Time of Sale Information and the Prospectus.</w:t>
      </w:r>
    </w:p>
    <w:p>
      <w:pPr>
        <w:spacing w:after="0" w:line="81" w:lineRule="exact"/>
        <w:rPr>
          <w:rFonts w:ascii="Times New Roman" w:cs="Times New Roman" w:eastAsia="Times New Roman" w:hAnsi="Times New Roman"/>
          <w:sz w:val="18"/>
          <w:szCs w:val="18"/>
          <w:color w:val="auto"/>
        </w:rPr>
      </w:pPr>
    </w:p>
    <w:p>
      <w:pPr>
        <w:ind w:right="80" w:firstLine="436"/>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subsidiary of the Company listed in Schedule 2 to this Agreement (the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have been duly organized and are validly existing and in good standing under the laws of their respective jurisdictions of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duly qualified to do business and are in good standing in each jurisdiction (to the extent the concept of good standing exists in such jurisdiction) in which their respective ownership or lease of property or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rights, assets, management, financial position, results of operations or prospects of the Company and its subsidiaries taken as a whole or on the performance by the Company of its obligations under the Securities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subsidiaries listed in Schedule 2 to this Agreement are the only “significant subsidiaries” (as defined in Rule 1-02 (w) of Regulation S-X) of the Company.</w:t>
      </w:r>
    </w:p>
    <w:p>
      <w:pPr>
        <w:spacing w:after="0" w:line="77" w:lineRule="exact"/>
        <w:rPr>
          <w:sz w:val="20"/>
          <w:szCs w:val="20"/>
          <w:color w:val="auto"/>
        </w:rPr>
      </w:pPr>
    </w:p>
    <w:p>
      <w:pPr>
        <w:ind w:right="20" w:firstLine="436"/>
        <w:spacing w:after="0" w:line="281"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Company has the capitalization as set forth in the Registration Statement, the Time of Sale Information and the Prospectus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heading “Capitalization”; and all the outstanding shares of capital stock or other equity interests of the Company and each Significant Subsidiary will have been duly and validly authorized and issued, will be fully paid and non-assessable and will be owned directly or indirectly by the Company, free and clear of any lien, charge, encumbrance, security interest, restriction on voting or transfer or any other claim of any third party.</w:t>
      </w:r>
    </w:p>
    <w:p>
      <w:pPr>
        <w:spacing w:after="0" w:line="56" w:lineRule="exact"/>
        <w:rPr>
          <w:rFonts w:ascii="Times New Roman" w:cs="Times New Roman" w:eastAsia="Times New Roman" w:hAnsi="Times New Roman"/>
          <w:sz w:val="17"/>
          <w:szCs w:val="17"/>
          <w:color w:val="auto"/>
        </w:rPr>
      </w:pPr>
    </w:p>
    <w:p>
      <w:pPr>
        <w:jc w:val="both"/>
        <w:ind w:firstLine="436"/>
        <w:spacing w:after="0" w:line="261"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the Securities and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71" w:lineRule="exact"/>
        <w:rPr>
          <w:rFonts w:ascii="Times New Roman" w:cs="Times New Roman" w:eastAsia="Times New Roman" w:hAnsi="Times New Roman"/>
          <w:sz w:val="18"/>
          <w:szCs w:val="18"/>
          <w:color w:val="auto"/>
        </w:rPr>
      </w:pPr>
    </w:p>
    <w:p>
      <w:pPr>
        <w:ind w:right="100" w:firstLine="436"/>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Indenture</w:t>
      </w:r>
      <w:r>
        <w:rPr>
          <w:rFonts w:ascii="Times New Roman" w:cs="Times New Roman" w:eastAsia="Times New Roman" w:hAnsi="Times New Roman"/>
          <w:sz w:val="18"/>
          <w:szCs w:val="18"/>
          <w:color w:val="auto"/>
        </w:rPr>
        <w:t>. The Base Indenture and the First Supplemental Indenture have been duly authorized, executed and delivered and the Fifth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Supplemental Indenture has been duly authorized by the Company. The Base Indenture upon effectiveness of the Registration Statement was duly qualified under the Trust Indenture Act and the Indenture, when the Fifth Supplemental Indenture has been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reorganization, moratorium, fraudulent conveyance or similar laws affecting the enforcement of creditors’ rights generally or by general principles of equity (regardless of whether enforceability is considered in a proceeding at law or in equity)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12" w:name="page13"/>
    <w:bookmarkEnd w:id="12"/>
    <w:p>
      <w:pPr>
        <w:ind w:left="-20" w:right="100" w:firstLine="436"/>
        <w:spacing w:after="0" w:line="261" w:lineRule="auto"/>
        <w:tabs>
          <w:tab w:leader="none" w:pos="7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w:t>
      </w:r>
      <w:r>
        <w:rPr>
          <w:rFonts w:ascii="Times New Roman" w:cs="Times New Roman" w:eastAsia="Times New Roman" w:hAnsi="Times New Roman"/>
          <w:sz w:val="18"/>
          <w:szCs w:val="18"/>
          <w:color w:val="auto"/>
        </w:rPr>
        <w:t>. The Securities have been duly authorized by the Company, and when duly executed, authenticated, issued and delivered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provisions of the Indenture, and delivered to and paid for by the Underwriters in accordance with the terms of this Agreement, will be valid and legally binding obligations of the Company enforceable against the Company in accordance with their terms, subject to the Enforceability Exceptions, and will be entitled to the benefits of the Indenture.</w:t>
      </w:r>
    </w:p>
    <w:p>
      <w:pPr>
        <w:spacing w:after="0" w:line="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0" w:right="180" w:firstLine="436"/>
        <w:spacing w:after="0" w:line="284"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the Transaction Documents</w:t>
      </w:r>
      <w:r>
        <w:rPr>
          <w:rFonts w:ascii="Times New Roman" w:cs="Times New Roman" w:eastAsia="Times New Roman" w:hAnsi="Times New Roman"/>
          <w:sz w:val="18"/>
          <w:szCs w:val="18"/>
          <w:color w:val="auto"/>
        </w:rPr>
        <w:t>. Each Transaction Document conforms or will conform in all material respects to the description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contained in the Registration Statement, the Time of Sale Information and the Prospectus.</w:t>
      </w:r>
    </w:p>
    <w:p>
      <w:pPr>
        <w:spacing w:after="0" w:line="50"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Significant Subsidiary is (i) in violation of its charter or by-laws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Significant Subsidiary is a party or by which the Company or any Significant Subsidiary is bound or to which any property, right or asset of the Company or any Subsidiary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74" w:lineRule="exact"/>
        <w:rPr>
          <w:rFonts w:ascii="Times New Roman" w:cs="Times New Roman" w:eastAsia="Times New Roman" w:hAnsi="Times New Roman"/>
          <w:sz w:val="18"/>
          <w:szCs w:val="18"/>
          <w:color w:val="auto"/>
        </w:rPr>
      </w:pPr>
    </w:p>
    <w:p>
      <w:pPr>
        <w:ind w:left="-20" w:right="60" w:firstLine="436"/>
        <w:spacing w:after="0" w:line="254" w:lineRule="auto"/>
        <w:tabs>
          <w:tab w:leader="none" w:pos="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each of the Transaction Documents to which it is or will be a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issuance and sale of the Securities and compliance by the Company with the terms thereof and the consummation of the transactions contemplated by the Transaction Documents will not (i) conflict with or result in a breach or violation of any of the terms or provisions of, or constitute a default under, or result in the creation or imposition of any lien, charge or encumbrance upon any property, right or asset of the Company or any of the Significant Subsidiaries pursuant to, any indenture, mortgage, deed of trust, loan agreement or other agreement or instrument to which the Company or any Significant Subsidiary is a party or by which the Company or any Significant Subsidiary is bound or to which any property, right or asset of the Company or any Significant Subsidiary is subject, (ii) result in any violation of the provisions of the charter or by-laws or similar organizational documents of the Company or any Significant Subsidiary,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68" w:right="459" w:bottom="1440" w:gutter="0" w:footer="0" w:header="0"/>
        </w:sectPr>
      </w:pPr>
    </w:p>
    <w:bookmarkStart w:id="13" w:name="page14"/>
    <w:bookmarkEnd w:id="13"/>
    <w:p>
      <w:pPr>
        <w:ind w:left="-20" w:firstLine="436"/>
        <w:spacing w:after="0" w:line="257"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Consents</w:t>
      </w:r>
      <w:r>
        <w:rPr>
          <w:rFonts w:ascii="Times New Roman" w:cs="Times New Roman" w:eastAsia="Times New Roman" w:hAnsi="Times New Roman"/>
          <w:sz w:val="18"/>
          <w:szCs w:val="18"/>
          <w:color w:val="auto"/>
        </w:rPr>
        <w:t>. No consent, approval, authorization, order, registration or qualification of or with any court or arbitrator or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the registration of the Securities under the Securities Act and the Exchange Act, the qualification of the Indenture under the Trust Indenture Act and such consents, approvals, authorizations, orders and registrations or qualifications as may be required under applicable state securities laws in connection with the purchase and distribution of the Securities by the Underwriters.</w:t>
      </w:r>
    </w:p>
    <w:p>
      <w:pPr>
        <w:spacing w:after="0" w:line="74"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Time of Sale Information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demands, claims, suits, arbitrations, inquiries or proceedings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pending to which the Company or of any of its subsidiaries is or may be a party or to which any property, right or asset of the Company or of any of its subsidiaries is or may be the subject and no Actions are threatened in writing or, to the knowledge of the Company, contemplated by any governmental or regulatory authority or by others, in each case, that, individually or in the aggregate, if determined adversely to the Company or of any of its subsidiaries, would reasonably be expected to have a Material Adverse Effect; and (i) there are no current or pending Actions that are required under the Securities Act to be described in the Registration Statement or the Prospectus that are not so described in the Registration Statement, the Time of Sale Information and the Prospectus and (ii) there are no contracts or other documents that are required under the Securities Act to be filed as exhibits to the Registration Statement or described in the Registration Statement and the Prospectus that are not so filed as exhibits to the Registration Statement or so described in the Registration Statement, the Time of Sale Information and the Prospectus.</w:t>
      </w:r>
    </w:p>
    <w:p>
      <w:pPr>
        <w:spacing w:after="0" w:line="77" w:lineRule="exact"/>
        <w:rPr>
          <w:rFonts w:ascii="Times New Roman" w:cs="Times New Roman" w:eastAsia="Times New Roman" w:hAnsi="Times New Roman"/>
          <w:sz w:val="18"/>
          <w:szCs w:val="18"/>
          <w:color w:val="auto"/>
        </w:rPr>
      </w:pPr>
    </w:p>
    <w:p>
      <w:pPr>
        <w:ind w:left="-20" w:right="320" w:firstLine="436"/>
        <w:spacing w:after="0" w:line="26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Deloitte &amp; Touche LLP, who have audited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within the applicable rules and regulations adopted by the Commission and the Public Company Accounting Oversight Board (United States) and as required by the Securities Act.</w:t>
      </w:r>
    </w:p>
    <w:p>
      <w:pPr>
        <w:spacing w:after="0" w:line="65"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Real and Personal Property. </w:t>
      </w:r>
      <w:r>
        <w:rPr>
          <w:rFonts w:ascii="Times New Roman" w:cs="Times New Roman" w:eastAsia="Times New Roman" w:hAnsi="Times New Roman"/>
          <w:sz w:val="18"/>
          <w:szCs w:val="18"/>
          <w:color w:val="auto"/>
        </w:rPr>
        <w:t>The Company and the Significant Subsidiaries have good and marketable title in fee simple to, or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rights to lease or otherwise use, all items of real and personal property that are material to the respective businesses of the Company and the Significant Subsidiaries, in each case free and clear of all liens, encumbrances, claims and defects and imperfections of title except those that (i) do not materially interfere with the use made and proposed to be made of such property by the Company and the Significant Subsidiaries or (ii) would not reasonably be expected, individually or in the aggregate, to have a Material Adverse Effect.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68" w:right="479" w:bottom="1440" w:gutter="0" w:footer="0" w:header="0"/>
        </w:sectPr>
      </w:pPr>
    </w:p>
    <w:bookmarkStart w:id="14" w:name="page15"/>
    <w:bookmarkEnd w:id="14"/>
    <w:p>
      <w:pPr>
        <w:ind w:left="-80" w:firstLine="436"/>
        <w:spacing w:after="0" w:line="257" w:lineRule="auto"/>
        <w:tabs>
          <w:tab w:leader="none" w:pos="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Title to Intellectual Property. </w:t>
      </w:r>
      <w:r>
        <w:rPr>
          <w:rFonts w:ascii="Times New Roman" w:cs="Times New Roman" w:eastAsia="Times New Roman" w:hAnsi="Times New Roman"/>
          <w:sz w:val="18"/>
          <w:szCs w:val="18"/>
          <w:color w:val="auto"/>
        </w:rPr>
        <w:t>The Company and its subsidiaries own or possess adequate rights to use all material patents,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businesses; and to their knowledge, the conduct of their businesses does not conflict in any material respect with any such rights of others, and the Company and its subsidiaries have not received any notice of any claim of infringement of or conflict with any such rights of others; except as would not reasonably be expected, individually or in the aggregate, to have a Material Adverse Effect.</w:t>
      </w:r>
    </w:p>
    <w:p>
      <w:pPr>
        <w:spacing w:after="0" w:line="74" w:lineRule="exact"/>
        <w:rPr>
          <w:rFonts w:ascii="Times New Roman" w:cs="Times New Roman" w:eastAsia="Times New Roman" w:hAnsi="Times New Roman"/>
          <w:sz w:val="18"/>
          <w:szCs w:val="18"/>
          <w:color w:val="auto"/>
        </w:rPr>
      </w:pPr>
    </w:p>
    <w:p>
      <w:pPr>
        <w:jc w:val="both"/>
        <w:ind w:left="-80" w:firstLine="436"/>
        <w:spacing w:after="0" w:line="290"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Undisclosed Relationships. </w:t>
      </w:r>
      <w:r>
        <w:rPr>
          <w:rFonts w:ascii="Times New Roman" w:cs="Times New Roman" w:eastAsia="Times New Roman" w:hAnsi="Times New Roman"/>
          <w:sz w:val="17"/>
          <w:szCs w:val="17"/>
          <w:color w:val="auto"/>
        </w:rPr>
        <w:t>No relationship, direct or indirect, exists between or among the Company or any of its subsidiaries, on the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hand, and the directors, officers, stockholders or other affiliates of the Company or any of its subsidiaries, on the other, that is required by the Securities Act to be described in Registration Statement and the Prospectus and that is not so described in such documents and in the Time of Sale Information.</w:t>
      </w:r>
    </w:p>
    <w:p>
      <w:pPr>
        <w:spacing w:after="0" w:line="47" w:lineRule="exact"/>
        <w:rPr>
          <w:rFonts w:ascii="Times New Roman" w:cs="Times New Roman" w:eastAsia="Times New Roman" w:hAnsi="Times New Roman"/>
          <w:sz w:val="17"/>
          <w:szCs w:val="17"/>
          <w:color w:val="auto"/>
        </w:rPr>
      </w:pPr>
    </w:p>
    <w:p>
      <w:pPr>
        <w:ind w:left="-80" w:right="40" w:firstLine="436"/>
        <w:spacing w:after="0" w:line="258" w:lineRule="auto"/>
        <w:tabs>
          <w:tab w:leader="none" w:pos="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Neither the Company nor any of its subsidiaries is, and after giving effect to the offering and sale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application of the proceeds thereof as described in the Registration Statement, the Time of Sale Information and the Prospectus, neither the Company nor any of its subsidiaries will be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80" w:right="20" w:firstLine="436"/>
        <w:spacing w:after="0" w:line="257" w:lineRule="auto"/>
        <w:tabs>
          <w:tab w:leader="none" w:pos="6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all federal, state, local and foreign taxes (other than those that are being contested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faith and for which adequate reserves have been established in accordance with GAAP) and filed (or obtained extensions with respect to) all tax returns required to be paid or filed through the date hereof except as would not reasonably be expected, individually or in the aggregate, to have a Material Adverse Effect; and except as otherwise disclosed in the Registration Statement, the Time of Sale Information and the Prospectus, there is no tax deficiency that has been, or would reasonably be expected to be, asserted against the Company or any of its subsidiaries or any of their respective properties or assets, in each case, except as would not reasonably be expected, individually or in the aggregate, to have a Material Adverse Effect.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520" w:top="268" w:right="539" w:bottom="1440" w:gutter="0" w:footer="0" w:header="0"/>
        </w:sectPr>
      </w:pPr>
    </w:p>
    <w:bookmarkStart w:id="15" w:name="page16"/>
    <w:bookmarkEnd w:id="15"/>
    <w:p>
      <w:pPr>
        <w:ind w:left="4" w:right="20" w:firstLine="436"/>
        <w:spacing w:after="0" w:line="272" w:lineRule="auto"/>
        <w:tabs>
          <w:tab w:leader="none" w:pos="68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Licenses and Permits. </w:t>
      </w:r>
      <w:r>
        <w:rPr>
          <w:rFonts w:ascii="Times New Roman" w:cs="Times New Roman" w:eastAsia="Times New Roman" w:hAnsi="Times New Roman"/>
          <w:sz w:val="17"/>
          <w:szCs w:val="17"/>
          <w:color w:val="auto"/>
        </w:rPr>
        <w:t>The Company and its subsidiaries possess all licenses, sub-licenses, certificates, permits and other authorizations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Time of Sale Information and the Prospectus, except where the failure to possess or make the same would not, individually or in the aggregate, have a Material Adverse Effect; and except as described in the Registration Statement, the Time of Sale Information and the Prospectus, neither the Company nor any of its subsidiaries has received written notice of any revocation or modification of any such license, sub-license, certificate, permit or authorization or has any reason to believe that any such license, sub-license, certificate, permit or authorization will not be renewed in the ordinary course, in each case, except as would not reasonably be expected, individually or in the aggregate, to have a Material Adverse Effect.</w:t>
      </w:r>
    </w:p>
    <w:p>
      <w:pPr>
        <w:spacing w:after="0" w:line="64" w:lineRule="exact"/>
        <w:rPr>
          <w:sz w:val="20"/>
          <w:szCs w:val="20"/>
          <w:color w:val="auto"/>
        </w:rPr>
      </w:pPr>
    </w:p>
    <w:p>
      <w:pPr>
        <w:ind w:left="764" w:hanging="324"/>
        <w:spacing w:after="0"/>
        <w:tabs>
          <w:tab w:leader="none" w:pos="7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Environmental Laws. </w:t>
      </w:r>
      <w:r>
        <w:rPr>
          <w:rFonts w:ascii="Times New Roman" w:cs="Times New Roman" w:eastAsia="Times New Roman" w:hAnsi="Times New Roman"/>
          <w:sz w:val="18"/>
          <w:szCs w:val="18"/>
          <w:color w:val="auto"/>
        </w:rPr>
        <w:t>Except as described in the Registration Statement, the Time of Sale Information and the Prospectus:</w:t>
      </w:r>
    </w:p>
    <w:p>
      <w:pPr>
        <w:spacing w:after="0" w:line="29" w:lineRule="exact"/>
        <w:rPr>
          <w:rFonts w:ascii="Times New Roman" w:cs="Times New Roman" w:eastAsia="Times New Roman" w:hAnsi="Times New Roman"/>
          <w:sz w:val="18"/>
          <w:szCs w:val="18"/>
          <w:color w:val="auto"/>
        </w:rPr>
      </w:pPr>
    </w:p>
    <w:p>
      <w:pPr>
        <w:ind w:left="4" w:hanging="4"/>
        <w:spacing w:after="0" w:line="266" w:lineRule="auto"/>
        <w:tabs>
          <w:tab w:leader="none" w:pos="2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(x) are, and at all prior times were, in compliance with any and all applicable federal, state, local and foreign laws, rules, regulations, requirements, decisions and orders relating to the protection of the environment, natural resources or hazardous or toxic substances or wastes, pollutants or contaminants, including exposure thereto (collectively,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(y) have received and are in compliance with all permits, licenses, certificates or other authorizations or approvals required of them under applicable Environmental Laws to conduct their respective businesses, and (z) have not received written notice of any actual or potential violation or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to the knowledge of the Company there are no costs, liabilities or obligations associated with Environmental Laws or concerning hazardous or toxic substances or wastes, pollutants or contaminants of or relating to the Company or its subsidiaries, except in the case of each of (i) and (ii) herein, for any such failure to comply, failure to receive required permits, licenses or approvals, receipt of written notice, event, condition, cost, liability or obligation as would not, individually or in the aggregate, have a Material Adverse Effect; and (iii) (x) there are no proceedings that are pending, or that are known by the Company to be contemplated, against the Company or any of its subsidiaries under any Environmental Laws in which a governmental entity is also a party, other than such proceedings regarding which it is reasonably believed no monetary sanctions on the Company or its subsidiaries of $300,000 or more will be imposed, (y) the Company and its subsidiaries are not aware of any issues regarding compliance with Environmental Laws or of liabilities or other obligations either under Environmental Laws or concerning releases or discharges of hazardous or toxic substances or wastes, pollutants or contaminants that in each case could reasonably be expected to have a material effect on the capital expenditures, earnings or competitive position of the Company and its subsidiaries, and (z) none of the Company and its subsidiaries anticipates material capital expenditures relating to any Environmental Laws.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8" w:right="459" w:bottom="1440" w:gutter="0" w:footer="0" w:header="0"/>
        </w:sectPr>
      </w:pPr>
    </w:p>
    <w:bookmarkStart w:id="16" w:name="page17"/>
    <w:bookmarkEnd w:id="16"/>
    <w:p>
      <w:pPr>
        <w:ind w:right="80" w:firstLine="436"/>
        <w:spacing w:after="0" w:line="257"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firstLine="436"/>
        <w:spacing w:after="0" w:line="253" w:lineRule="auto"/>
        <w:tabs>
          <w:tab w:leader="none" w:pos="7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of Company. </w:t>
      </w:r>
      <w:r>
        <w:rPr>
          <w:rFonts w:ascii="Times New Roman" w:cs="Times New Roman" w:eastAsia="Times New Roman" w:hAnsi="Times New Roman"/>
          <w:sz w:val="18"/>
          <w:szCs w:val="18"/>
          <w:color w:val="auto"/>
        </w:rPr>
        <w:t>The Company and its subsidiaries maintain systems of “internal control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the Registration Statement, the Time of Sale Information and the Prospectus, there are no material weaknesses in the Company’s internal controls.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7" w:name="page18"/>
    <w:bookmarkEnd w:id="17"/>
    <w:p>
      <w:pPr>
        <w:ind w:firstLine="436"/>
        <w:spacing w:after="0" w:line="256"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in each case, except as would not reasonably be expected, individually or in the aggregate, to have a Material Adverse Effect.</w:t>
      </w:r>
    </w:p>
    <w:p>
      <w:pPr>
        <w:spacing w:after="0" w:line="7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r>
        <w:rPr>
          <w:rFonts w:ascii="Times New Roman" w:cs="Times New Roman" w:eastAsia="Times New Roman" w:hAnsi="Times New Roman"/>
          <w:sz w:val="18"/>
          <w:szCs w:val="18"/>
          <w:u w:val="single" w:color="auto"/>
          <w:color w:val="auto"/>
        </w:rPr>
        <w:t>]</w:t>
      </w:r>
    </w:p>
    <w:p>
      <w:pPr>
        <w:spacing w:after="0" w:line="115" w:lineRule="exact"/>
        <w:rPr>
          <w:rFonts w:ascii="Times New Roman" w:cs="Times New Roman" w:eastAsia="Times New Roman" w:hAnsi="Times New Roman"/>
          <w:sz w:val="18"/>
          <w:szCs w:val="18"/>
          <w:color w:val="auto"/>
        </w:rPr>
      </w:pPr>
    </w:p>
    <w:p>
      <w:pPr>
        <w:ind w:right="220" w:firstLine="436"/>
        <w:spacing w:after="0" w:line="275" w:lineRule="auto"/>
        <w:tabs>
          <w:tab w:leader="none" w:pos="72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Unlawful Payments. </w:t>
      </w:r>
      <w:r>
        <w:rPr>
          <w:rFonts w:ascii="Times New Roman" w:cs="Times New Roman" w:eastAsia="Times New Roman" w:hAnsi="Times New Roman"/>
          <w:sz w:val="17"/>
          <w:szCs w:val="17"/>
          <w:color w:val="auto"/>
        </w:rPr>
        <w:t>Neither the Company nor any of its subsidiaries nor, to the best knowledge of the Company, any director,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the U.K. Bribery Act 2010; or (iv) made any bribe, rebate, payoff, influence payment, kickback or other unlawful payment, except, in each case, as would not reasonably be expected, individually or in the aggregate, to have a Material Adverse Effect.</w:t>
      </w:r>
    </w:p>
    <w:p>
      <w:pPr>
        <w:spacing w:after="0" w:line="60" w:lineRule="exact"/>
        <w:rPr>
          <w:rFonts w:ascii="Times New Roman" w:cs="Times New Roman" w:eastAsia="Times New Roman" w:hAnsi="Times New Roman"/>
          <w:sz w:val="17"/>
          <w:szCs w:val="17"/>
          <w:color w:val="auto"/>
        </w:rPr>
      </w:pPr>
    </w:p>
    <w:p>
      <w:pPr>
        <w:ind w:right="60" w:firstLine="436"/>
        <w:spacing w:after="0" w:line="257"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all material respects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4" w:lineRule="exact"/>
        <w:rPr>
          <w:rFonts w:ascii="Times New Roman" w:cs="Times New Roman" w:eastAsia="Times New Roman" w:hAnsi="Times New Roman"/>
          <w:sz w:val="18"/>
          <w:szCs w:val="18"/>
          <w:color w:val="auto"/>
        </w:rPr>
      </w:pPr>
    </w:p>
    <w:p>
      <w:pPr>
        <w:ind w:firstLine="436"/>
        <w:spacing w:after="0" w:line="257"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OFAC</w:t>
      </w:r>
      <w:r>
        <w:rPr>
          <w:rFonts w:ascii="Times New Roman" w:cs="Times New Roman" w:eastAsia="Times New Roman" w:hAnsi="Times New Roman"/>
          <w:sz w:val="18"/>
          <w:szCs w:val="18"/>
          <w:color w:val="auto"/>
        </w:rPr>
        <w:t>. Neither the Company nor any of its subsidiaries or, to the knowledge of the Company, any director, officer,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or affiliate of the Company or any of its subsidiaries is currently subject to any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and the Company will not directly or indirectly use the proceeds of the offering of the Securities pursuant hereto, or lend, contribute or otherwise make available such proceeds to any subsidiary, joint venture partner or other person or entity, for the purpose of financing the activities of any person that, at the time of such financing, is subject to any Sanctions.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18" w:name="page19"/>
    <w:bookmarkEnd w:id="18"/>
    <w:p>
      <w:pPr>
        <w:ind w:right="260" w:firstLine="436"/>
        <w:spacing w:after="0" w:line="284"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Stabilization. </w:t>
      </w:r>
      <w:r>
        <w:rPr>
          <w:rFonts w:ascii="Times New Roman" w:cs="Times New Roman" w:eastAsia="Times New Roman" w:hAnsi="Times New Roman"/>
          <w:sz w:val="18"/>
          <w:szCs w:val="18"/>
          <w:color w:val="auto"/>
        </w:rPr>
        <w:t>The Company has not taken,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Securities.</w:t>
      </w:r>
    </w:p>
    <w:p>
      <w:pPr>
        <w:spacing w:after="0" w:line="50" w:lineRule="exact"/>
        <w:rPr>
          <w:rFonts w:ascii="Times New Roman" w:cs="Times New Roman" w:eastAsia="Times New Roman" w:hAnsi="Times New Roman"/>
          <w:sz w:val="18"/>
          <w:szCs w:val="18"/>
          <w:color w:val="auto"/>
        </w:rPr>
      </w:pPr>
    </w:p>
    <w:p>
      <w:pPr>
        <w:ind w:right="560" w:firstLine="436"/>
        <w:spacing w:after="0" w:line="290" w:lineRule="auto"/>
        <w:tabs>
          <w:tab w:leader="none" w:pos="70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Sarbanes-Oxley Act</w:t>
      </w:r>
      <w:r>
        <w:rPr>
          <w:rFonts w:ascii="Times New Roman" w:cs="Times New Roman" w:eastAsia="Times New Roman" w:hAnsi="Times New Roman"/>
          <w:sz w:val="17"/>
          <w:szCs w:val="17"/>
          <w:color w:val="auto"/>
        </w:rPr>
        <w:t>. There is and has been no failure on the part of the Company or any of the Company’s directors or officers, in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capacities as such, to comply with any provision of the Sarbanes-Oxley Act of 2002, as amended, and the rules and regulations promulgated in connection therewith (the “</w:t>
      </w:r>
      <w:r>
        <w:rPr>
          <w:rFonts w:ascii="Times New Roman" w:cs="Times New Roman" w:eastAsia="Times New Roman" w:hAnsi="Times New Roman"/>
          <w:sz w:val="17"/>
          <w:szCs w:val="17"/>
          <w:b w:val="1"/>
          <w:bCs w:val="1"/>
          <w:color w:val="auto"/>
        </w:rPr>
        <w:t>Sarbanes-Oxley Act</w:t>
      </w:r>
      <w:r>
        <w:rPr>
          <w:rFonts w:ascii="Times New Roman" w:cs="Times New Roman" w:eastAsia="Times New Roman" w:hAnsi="Times New Roman"/>
          <w:sz w:val="17"/>
          <w:szCs w:val="17"/>
          <w:color w:val="auto"/>
        </w:rPr>
        <w:t>”), including Section 402 related to loans and Sections 302 and 906 related to certifications.</w:t>
      </w:r>
    </w:p>
    <w:p>
      <w:pPr>
        <w:spacing w:after="0" w:line="47" w:lineRule="exact"/>
        <w:rPr>
          <w:rFonts w:ascii="Times New Roman" w:cs="Times New Roman" w:eastAsia="Times New Roman" w:hAnsi="Times New Roman"/>
          <w:sz w:val="17"/>
          <w:szCs w:val="17"/>
          <w:color w:val="auto"/>
        </w:rPr>
      </w:pPr>
    </w:p>
    <w:p>
      <w:pPr>
        <w:ind w:firstLine="436"/>
        <w:spacing w:after="0" w:line="254"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(i) Except as disclosed in the Registration Statement, the Time of Sale Information and the Prospectus,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(x) there has been no security breach or other compromise of or relating to any of the Company’s or any of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and (y) the Company and its subsidiaries have not been notified of, and have no knowledge of, any event or condition that would reasonably be expected to result in any security breach or other compromise to their IT Systems and Data; and (ii)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each of (i) and (ii), as would not reasonably be expected, individually or in the aggregate, to have a Material Adverse Effect.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right="80" w:firstLine="436"/>
        <w:spacing w:after="0" w:line="261"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430A, 430B or 430C under the Securities Act, will file any Issuer Free Writing Prospectus (including the Pricing Term Sheet referred to in Annex A hereto) to the extent required by Rule 433 under the Securities Act; and will file promptly all reports and any definitive proxy or information statements required to be filed by the Company with the Commission pursuant to Section 13(a), 13(c), 14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19" w:name="page20"/>
    <w:bookmarkEnd w:id="19"/>
    <w:p>
      <w:pPr>
        <w:ind w:right="3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5:00 P.M., New York time, on the business day next succeeding the date of this Agreement in such quantities as the Representatives may reasonably request (for the avoidance of doubt, electronic delivery shall suffice). The Company will pay the registration fees for this offering within the time period required by Rule 456(b)(1)(i) under the Securities Act (without giving effect to the proviso therein) and in any event prior to the Closing Date.</w:t>
      </w:r>
    </w:p>
    <w:p>
      <w:pPr>
        <w:spacing w:after="0" w:line="77" w:lineRule="exact"/>
        <w:rPr>
          <w:sz w:val="20"/>
          <w:szCs w:val="20"/>
          <w:color w:val="auto"/>
        </w:rPr>
      </w:pPr>
    </w:p>
    <w:p>
      <w:pPr>
        <w:ind w:right="100" w:firstLine="436"/>
        <w:spacing w:after="0" w:line="257"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during the Prospectus Delivery Period (as defined below), as many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74" w:lineRule="exact"/>
        <w:rPr>
          <w:rFonts w:ascii="Times New Roman" w:cs="Times New Roman" w:eastAsia="Times New Roman" w:hAnsi="Times New Roman"/>
          <w:sz w:val="18"/>
          <w:szCs w:val="18"/>
          <w:color w:val="auto"/>
        </w:rPr>
      </w:pPr>
    </w:p>
    <w:p>
      <w:pPr>
        <w:ind w:firstLine="436"/>
        <w:spacing w:after="0" w:line="257"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during the Prospectus Delivery Period, and before filing any amendment or supplement to the Registration Statement or the Prospectus during the Prospectus Delivery Period,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74" w:lineRule="exact"/>
        <w:rPr>
          <w:rFonts w:ascii="Times New Roman" w:cs="Times New Roman" w:eastAsia="Times New Roman" w:hAnsi="Times New Roman"/>
          <w:sz w:val="18"/>
          <w:szCs w:val="18"/>
          <w:color w:val="auto"/>
        </w:rPr>
      </w:pPr>
    </w:p>
    <w:p>
      <w:pPr>
        <w:ind w:right="60" w:firstLine="436"/>
        <w:spacing w:after="0" w:line="257"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During the Prospectus Delivery Period, the Company will advise the Representatives promptly, and confirm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as applicable, is delivered to a purchaser, not misleading;</w:t>
      </w:r>
    </w:p>
    <w:p>
      <w:pPr>
        <w:spacing w:after="0" w:line="3" w:lineRule="exact"/>
        <w:rPr>
          <w:sz w:val="20"/>
          <w:szCs w:val="20"/>
          <w:color w:val="auto"/>
        </w:rPr>
      </w:pPr>
    </w:p>
    <w:p>
      <w:pPr>
        <w:ind w:left="4" w:right="80" w:hanging="4"/>
        <w:spacing w:after="0" w:line="252"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reasonable best efforts to obtain as soon as possible the withdrawal thereof.</w:t>
      </w:r>
    </w:p>
    <w:p>
      <w:pPr>
        <w:spacing w:after="0" w:line="79"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80" w:lineRule="exact"/>
        <w:rPr>
          <w:rFonts w:ascii="Times New Roman" w:cs="Times New Roman" w:eastAsia="Times New Roman" w:hAnsi="Times New Roman"/>
          <w:sz w:val="18"/>
          <w:szCs w:val="18"/>
          <w:color w:val="auto"/>
        </w:rPr>
      </w:pPr>
    </w:p>
    <w:p>
      <w:pPr>
        <w:ind w:left="4" w:right="440" w:firstLine="436"/>
        <w:spacing w:after="0" w:line="261" w:lineRule="auto"/>
        <w:tabs>
          <w:tab w:leader="none" w:pos="66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If during the Prospectus Delivery Period (i) any event shall occur or condition shall exist as a result of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77" w:lineRule="exact"/>
        <w:rPr>
          <w:sz w:val="20"/>
          <w:szCs w:val="20"/>
          <w:color w:val="auto"/>
        </w:rPr>
      </w:pPr>
    </w:p>
    <w:p>
      <w:pPr>
        <w:ind w:right="100" w:firstLine="436"/>
        <w:spacing w:after="0" w:line="258"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its reasonable best efforts to qualify the Securities for offer and sale under the securities or Blue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Sky laws of such jurisdictions as the Representatives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5" w:lineRule="exact"/>
        <w:rPr>
          <w:rFonts w:ascii="Times New Roman" w:cs="Times New Roman" w:eastAsia="Times New Roman" w:hAnsi="Times New Roman"/>
          <w:sz w:val="18"/>
          <w:szCs w:val="18"/>
          <w:color w:val="auto"/>
        </w:rPr>
      </w:pPr>
    </w:p>
    <w:p>
      <w:pPr>
        <w:jc w:val="both"/>
        <w:ind w:right="500" w:firstLine="436"/>
        <w:spacing w:after="0" w:line="267"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(which need not be audited) that satisfies the provisions of Section 11(a) of the Securities Act and Rule 158 of the Commission promulgated thereunder.</w:t>
      </w:r>
    </w:p>
    <w:p>
      <w:pPr>
        <w:spacing w:after="0" w:line="65" w:lineRule="exact"/>
        <w:rPr>
          <w:rFonts w:ascii="Times New Roman" w:cs="Times New Roman" w:eastAsia="Times New Roman" w:hAnsi="Times New Roman"/>
          <w:sz w:val="18"/>
          <w:szCs w:val="18"/>
          <w:color w:val="auto"/>
        </w:rPr>
      </w:pPr>
    </w:p>
    <w:p>
      <w:pPr>
        <w:ind w:right="80" w:firstLine="436"/>
        <w:spacing w:after="0" w:line="26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Except as contemplated by this Agreement, during the period from the date hereof through and including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not, without the prior written consent of the Representatives, offer, sell, contract to sell or otherwise dispose of any debt securities issued or guaranteed by the Company and having a tenor of more than one year.</w:t>
      </w:r>
    </w:p>
    <w:p>
      <w:pPr>
        <w:spacing w:after="0" w:line="65" w:lineRule="exact"/>
        <w:rPr>
          <w:rFonts w:ascii="Times New Roman" w:cs="Times New Roman" w:eastAsia="Times New Roman" w:hAnsi="Times New Roman"/>
          <w:sz w:val="18"/>
          <w:szCs w:val="18"/>
          <w:color w:val="auto"/>
        </w:rPr>
      </w:pPr>
    </w:p>
    <w:p>
      <w:pPr>
        <w:ind w:right="60" w:firstLine="436"/>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Securities as described in the Registration Statement,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 Information and the Prospectus under the heading “Use of Proceeds”.</w:t>
      </w:r>
    </w:p>
    <w:p>
      <w:pPr>
        <w:spacing w:after="0" w:line="5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assist the Underwriters in arranging for the Securities to be eligible for clearance and settlement through DTC.</w:t>
      </w:r>
    </w:p>
    <w:p>
      <w:pPr>
        <w:spacing w:after="0" w:line="117" w:lineRule="exact"/>
        <w:rPr>
          <w:rFonts w:ascii="Times New Roman" w:cs="Times New Roman" w:eastAsia="Times New Roman" w:hAnsi="Times New Roman"/>
          <w:sz w:val="18"/>
          <w:szCs w:val="18"/>
          <w:color w:val="auto"/>
        </w:rPr>
      </w:pPr>
    </w:p>
    <w:p>
      <w:pPr>
        <w:ind w:right="340" w:firstLine="436"/>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Securities.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3" w:lineRule="exact"/>
        <w:rPr>
          <w:sz w:val="20"/>
          <w:szCs w:val="20"/>
          <w:color w:val="auto"/>
        </w:rPr>
      </w:pPr>
    </w:p>
    <w:p>
      <w:pPr>
        <w:ind w:left="-20" w:firstLine="436"/>
        <w:spacing w:after="0" w:line="256"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as defined in Rule 405 under the Securities Act with respect to the Securities other than (i) a free writing prospectus that would not, solely as a result of use by such Underwriter,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b w:val="1"/>
          <w:bCs w:val="1"/>
          <w:color w:val="auto"/>
        </w:rPr>
        <w:t>Underwriter Free Writing Prospectus</w:t>
      </w:r>
      <w:r>
        <w:rPr>
          <w:rFonts w:ascii="Times New Roman" w:cs="Times New Roman" w:eastAsia="Times New Roman" w:hAnsi="Times New Roman"/>
          <w:sz w:val="18"/>
          <w:szCs w:val="18"/>
          <w:color w:val="auto"/>
        </w:rPr>
        <w:t>”). Notwithstanding the foregoing, the Underwriters may use the Pricing Term Sheet referred to in Annex A hereto without the consent of the Company.</w:t>
      </w:r>
    </w:p>
    <w:p>
      <w:pPr>
        <w:spacing w:after="0" w:line="78" w:lineRule="exact"/>
        <w:rPr>
          <w:rFonts w:ascii="Times New Roman" w:cs="Times New Roman" w:eastAsia="Times New Roman" w:hAnsi="Times New Roman"/>
          <w:sz w:val="18"/>
          <w:szCs w:val="18"/>
          <w:color w:val="auto"/>
        </w:rPr>
      </w:pPr>
    </w:p>
    <w:p>
      <w:pPr>
        <w:ind w:left="-20" w:right="500" w:firstLine="436"/>
        <w:spacing w:after="0" w:line="282"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of the Securities (and will promptly notify the Company if any such proceeding against it is initiated during the Prospectus Delivery Period).</w:t>
      </w:r>
    </w:p>
    <w:p>
      <w:pPr>
        <w:spacing w:after="0" w:line="162" w:lineRule="exact"/>
        <w:rPr>
          <w:sz w:val="20"/>
          <w:szCs w:val="20"/>
          <w:color w:val="auto"/>
        </w:rPr>
      </w:pPr>
    </w:p>
    <w:p>
      <w:pPr>
        <w:ind w:left="-20" w:right="160" w:firstLine="436"/>
        <w:spacing w:after="0" w:line="282"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Securities on the Closing Date as provided herein is subject to the performance by the Company of its covenants and other obligations hereunder and to the following additional conditions:</w:t>
      </w:r>
    </w:p>
    <w:p>
      <w:pPr>
        <w:spacing w:after="0" w:line="52" w:lineRule="exact"/>
        <w:rPr>
          <w:sz w:val="20"/>
          <w:szCs w:val="20"/>
          <w:color w:val="auto"/>
        </w:rPr>
      </w:pPr>
    </w:p>
    <w:p>
      <w:pPr>
        <w:ind w:left="-20" w:right="20" w:firstLine="436"/>
        <w:spacing w:after="0" w:line="258"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Underwriters.</w:t>
      </w:r>
    </w:p>
    <w:p>
      <w:pPr>
        <w:spacing w:after="0" w:line="75" w:lineRule="exact"/>
        <w:rPr>
          <w:rFonts w:ascii="Times New Roman" w:cs="Times New Roman" w:eastAsia="Times New Roman" w:hAnsi="Times New Roman"/>
          <w:sz w:val="18"/>
          <w:szCs w:val="18"/>
          <w:color w:val="auto"/>
        </w:rPr>
      </w:pPr>
    </w:p>
    <w:p>
      <w:pPr>
        <w:ind w:left="-20" w:right="320" w:firstLine="436"/>
        <w:spacing w:after="0" w:line="267"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Closing Date; and the statements of the Company and its officers on behalf of the Company made in any certificates delivered pursuant to this Agreement shall be true and correct on and as of the Closing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23" w:name="page24"/>
    <w:bookmarkEnd w:id="23"/>
    <w:p>
      <w:pPr>
        <w:ind w:left="4" w:right="440" w:firstLine="436"/>
        <w:spacing w:after="0" w:line="284"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Rating</w:t>
      </w:r>
      <w:r>
        <w:rPr>
          <w:rFonts w:ascii="Times New Roman" w:cs="Times New Roman" w:eastAsia="Times New Roman" w:hAnsi="Times New Roman"/>
          <w:sz w:val="18"/>
          <w:szCs w:val="18"/>
          <w:color w:val="auto"/>
        </w:rPr>
        <w:t>. The Securities have been rated by a “nationally recognized statistical rating organization” (as is defined in Section 3(a)(62)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including two or more of Moody’s Investors Service, Inc., S&amp;P Global Ratings and Fitch Ratings, Inc.</w:t>
      </w:r>
    </w:p>
    <w:p>
      <w:pPr>
        <w:spacing w:after="0" w:line="50" w:lineRule="exact"/>
        <w:rPr>
          <w:rFonts w:ascii="Times New Roman" w:cs="Times New Roman" w:eastAsia="Times New Roman" w:hAnsi="Times New Roman"/>
          <w:sz w:val="18"/>
          <w:szCs w:val="18"/>
          <w:color w:val="auto"/>
        </w:rPr>
      </w:pPr>
    </w:p>
    <w:p>
      <w:pPr>
        <w:ind w:left="4" w:firstLine="436"/>
        <w:spacing w:after="0" w:line="257"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Company or any of its subsidiaries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74"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each of the Time of Sale Information (excluding any amendment or supplement thereto) and the Prospectus (excluding any amendment or supplement thereto) the effect of which in the judgment of the Underwriters makes it impracticable or inadvisable to proceed with the offering, sale or delivery of the Securities on the terms and in the manner contemplated by this Agreement, the Time of Sale Information and the Prospectus.</w:t>
      </w:r>
    </w:p>
    <w:p>
      <w:pPr>
        <w:spacing w:after="0" w:line="75" w:lineRule="exact"/>
        <w:rPr>
          <w:rFonts w:ascii="Times New Roman" w:cs="Times New Roman" w:eastAsia="Times New Roman" w:hAnsi="Times New Roman"/>
          <w:sz w:val="18"/>
          <w:szCs w:val="18"/>
          <w:color w:val="auto"/>
        </w:rPr>
      </w:pPr>
    </w:p>
    <w:p>
      <w:pPr>
        <w:ind w:left="4" w:firstLine="436"/>
        <w:spacing w:after="0" w:line="271" w:lineRule="auto"/>
        <w:tabs>
          <w:tab w:leader="none" w:pos="66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Officer’s Certificate. </w:t>
      </w:r>
      <w:r>
        <w:rPr>
          <w:rFonts w:ascii="Times New Roman" w:cs="Times New Roman" w:eastAsia="Times New Roman" w:hAnsi="Times New Roman"/>
          <w:sz w:val="17"/>
          <w:szCs w:val="17"/>
          <w:color w:val="auto"/>
        </w:rPr>
        <w:t>The Underwriters shall have received on and as of the Closing Date a certificate of an executive officer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has specific knowledge of the Company’s financial matters and is satisfactory to the Underwriters, certifying on behalf of the Company (i) that such officer has carefully reviewed the Registration Statement, the Time of Sale Information and the Prospectus and, to the best knowledge of such officer and on behalf of the Company and not in his or her individual capacity, the representations set forth in Sections 3(b) and 3(d) hereof are true and correct,</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other representations and warranties of the Company in this Agreement are true and correct and that the Company has complied with all</w:t>
      </w:r>
    </w:p>
    <w:p>
      <w:pPr>
        <w:spacing w:after="0" w:line="9" w:lineRule="exact"/>
        <w:rPr>
          <w:rFonts w:ascii="Times New Roman" w:cs="Times New Roman" w:eastAsia="Times New Roman" w:hAnsi="Times New Roman"/>
          <w:sz w:val="18"/>
          <w:szCs w:val="18"/>
          <w:color w:val="auto"/>
        </w:rPr>
      </w:pPr>
    </w:p>
    <w:p>
      <w:pPr>
        <w:ind w:left="4"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and satisfied all conditions on its part to be performed or satisfied hereunder at or prior to the Closing Date and (iii) to the effect set forth in paragraphs (a), (c) and (d) above.</w:t>
      </w:r>
    </w:p>
    <w:p>
      <w:pPr>
        <w:spacing w:after="0" w:line="7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5" w:lineRule="exact"/>
        <w:rPr>
          <w:rFonts w:ascii="Times New Roman" w:cs="Times New Roman" w:eastAsia="Times New Roman" w:hAnsi="Times New Roman"/>
          <w:sz w:val="18"/>
          <w:szCs w:val="18"/>
          <w:color w:val="auto"/>
        </w:rPr>
      </w:pPr>
    </w:p>
    <w:p>
      <w:pPr>
        <w:jc w:val="both"/>
        <w:ind w:left="4" w:right="160" w:firstLine="436"/>
        <w:spacing w:after="0" w:line="267"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Deloitte &amp; Touche LLP shall have furnished to the Underwriters,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request of the Company, letters, dated the respective dates of delivery thereof and addressed to the Underwriters, in form and substance reasonably satisfactory to the Underwriters, containing statements and information of the type customarily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8" w:right="459" w:bottom="1440" w:gutter="0" w:footer="0" w:header="0"/>
        </w:sectPr>
      </w:pPr>
    </w:p>
    <w:bookmarkStart w:id="24" w:name="page25"/>
    <w:bookmarkEnd w:id="2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included in accountants’ “comfort letters” to underwriters with respect to the financial statements and certain financial information of the Company contained or incorporated by reference in the Registration Statement, the Time of Sale Information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 delivered by Deloitte &amp; Touche LLP on the Closing Date shall use a “cut-off” date no more than three business days prior to the Closing Date.</w:t>
      </w:r>
    </w:p>
    <w:p>
      <w:pPr>
        <w:spacing w:after="0" w:line="66" w:lineRule="exact"/>
        <w:rPr>
          <w:sz w:val="20"/>
          <w:szCs w:val="20"/>
          <w:color w:val="auto"/>
        </w:rPr>
      </w:pPr>
    </w:p>
    <w:p>
      <w:pPr>
        <w:ind w:right="320" w:firstLine="436"/>
        <w:spacing w:after="0" w:line="26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Negative Assurance Letter of Counsel for the Company. </w:t>
      </w:r>
      <w:r>
        <w:rPr>
          <w:rFonts w:ascii="Times New Roman" w:cs="Times New Roman" w:eastAsia="Times New Roman" w:hAnsi="Times New Roman"/>
          <w:sz w:val="18"/>
          <w:szCs w:val="18"/>
          <w:color w:val="auto"/>
        </w:rPr>
        <w:t>Gibson, Dunn &amp; Crutcher LLP,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and 10b-5 statement, dated the Closing Date and addressed to the Underwriters, in form and substance reasonably satisfactory to the Underwriters.</w:t>
      </w:r>
    </w:p>
    <w:p>
      <w:pPr>
        <w:spacing w:after="0" w:line="65" w:lineRule="exact"/>
        <w:rPr>
          <w:rFonts w:ascii="Times New Roman" w:cs="Times New Roman" w:eastAsia="Times New Roman" w:hAnsi="Times New Roman"/>
          <w:sz w:val="18"/>
          <w:szCs w:val="18"/>
          <w:color w:val="auto"/>
        </w:rPr>
      </w:pPr>
    </w:p>
    <w:p>
      <w:pPr>
        <w:ind w:right="340" w:firstLine="436"/>
        <w:spacing w:after="0" w:line="26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Indiana Counsel for the Company. </w:t>
      </w:r>
      <w:r>
        <w:rPr>
          <w:rFonts w:ascii="Times New Roman" w:cs="Times New Roman" w:eastAsia="Times New Roman" w:hAnsi="Times New Roman"/>
          <w:sz w:val="18"/>
          <w:szCs w:val="18"/>
          <w:color w:val="auto"/>
        </w:rPr>
        <w:t>Barnes &amp; Thornburg LLP, Indiana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at the request of the Company, their written opinion, dated the Closing Date and addressed to the Underwriters, in form and substance reasonably satisfactory to the Underwriters.</w:t>
      </w:r>
    </w:p>
    <w:p>
      <w:pPr>
        <w:spacing w:after="0" w:line="65" w:lineRule="exact"/>
        <w:rPr>
          <w:rFonts w:ascii="Times New Roman" w:cs="Times New Roman" w:eastAsia="Times New Roman" w:hAnsi="Times New Roman"/>
          <w:sz w:val="18"/>
          <w:szCs w:val="18"/>
          <w:color w:val="auto"/>
        </w:rPr>
      </w:pPr>
    </w:p>
    <w:p>
      <w:pPr>
        <w:ind w:firstLine="436"/>
        <w:spacing w:after="0" w:line="290" w:lineRule="auto"/>
        <w:tabs>
          <w:tab w:leader="none" w:pos="6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and 10b-5 Statement of Counsel for the Underwriters. </w:t>
      </w:r>
      <w:r>
        <w:rPr>
          <w:rFonts w:ascii="Times New Roman" w:cs="Times New Roman" w:eastAsia="Times New Roman" w:hAnsi="Times New Roman"/>
          <w:sz w:val="17"/>
          <w:szCs w:val="17"/>
          <w:color w:val="auto"/>
        </w:rPr>
        <w:t>The Underwriters shall have received on and as of the Closing Date an opinion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10b-5 statement of Davis Polk &amp; Wardwell LLP, counsel for the Underwriters, with respect to such matters as the Underwriters may reasonably request, and such counsel shall have received such documents and information as they may reasonably request to enable them to pass upon such matters.</w:t>
      </w:r>
    </w:p>
    <w:p>
      <w:pPr>
        <w:spacing w:after="0" w:line="47" w:lineRule="exact"/>
        <w:rPr>
          <w:rFonts w:ascii="Times New Roman" w:cs="Times New Roman" w:eastAsia="Times New Roman" w:hAnsi="Times New Roman"/>
          <w:sz w:val="17"/>
          <w:szCs w:val="17"/>
          <w:color w:val="auto"/>
        </w:rPr>
      </w:pPr>
    </w:p>
    <w:p>
      <w:pPr>
        <w:ind w:right="100" w:firstLine="436"/>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7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Underwriters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Significant Subsidiaries in their respective jurisdictions (to the extent the concept of good standing exists in such jurisdiction) of organization and their good standing in such other jurisdictions as the Underwriters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Securities shall be eligible for clearance and settlement through DTC.</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jc w:val="both"/>
        <w:ind w:right="380" w:firstLine="436"/>
        <w:spacing w:after="0" w:line="267"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Indenture and Securities. </w:t>
      </w:r>
      <w:r>
        <w:rPr>
          <w:rFonts w:ascii="Times New Roman" w:cs="Times New Roman" w:eastAsia="Times New Roman" w:hAnsi="Times New Roman"/>
          <w:sz w:val="18"/>
          <w:szCs w:val="18"/>
          <w:color w:val="auto"/>
        </w:rPr>
        <w:t>The Indenture shall have been duly executed and delivered by a duly authorized officer of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and the Securities shall have been duly executed and delivered by a duly authorized officer of the Company and duly authenticated by the Trustee.</w:t>
      </w:r>
    </w:p>
    <w:p>
      <w:pPr>
        <w:spacing w:after="0" w:line="65"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Underwriters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Underwriters may reasonably request.</w:t>
      </w:r>
    </w:p>
    <w:p>
      <w:pPr>
        <w:spacing w:after="0" w:line="16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60" w:firstLine="436"/>
        <w:spacing w:after="0" w:line="253"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agents,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w:t>
      </w:r>
    </w:p>
    <w:p>
      <w:pPr>
        <w:spacing w:after="0" w:line="81"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(i) the Company,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directors and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8" w:right="479" w:bottom="1440" w:gutter="0" w:footer="0" w:header="0"/>
        </w:sectPr>
      </w:pPr>
    </w:p>
    <w:bookmarkStart w:id="26" w:name="page27"/>
    <w:bookmarkEnd w:id="2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information set forth in the Preliminary Prospectus and the Prospectus under the caption “Underwriting”: the names of the Underwriters in paragraph 1, paragraph 4 (beginning “Notes sold by the underwriters…”) and paragraph 10 (concerning overallotment, stabilizing transactions and syndicate covering transactions).</w:t>
      </w:r>
    </w:p>
    <w:p>
      <w:pPr>
        <w:spacing w:after="0" w:line="77" w:lineRule="exact"/>
        <w:rPr>
          <w:sz w:val="20"/>
          <w:szCs w:val="20"/>
          <w:color w:val="auto"/>
        </w:rPr>
      </w:pPr>
    </w:p>
    <w:p>
      <w:pPr>
        <w:ind w:firstLine="436"/>
        <w:spacing w:after="0" w:line="25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b w:val="1"/>
          <w:bCs w:val="1"/>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liable for the fees and expenses of more than one separate firm (in addition to any local counsel) for all Indemnified Persons, and that all such fees and expenses shall be reimbursed as they are incurred. Any such separate firm for any Underwriter, its affiliates, agents, directors and officers and any control persons of such Underwriter shall be designated in writing by the Representatives and any such separate firm for the Company, its directors and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82" w:lineRule="exact"/>
        <w:rPr>
          <w:sz w:val="20"/>
          <w:szCs w:val="20"/>
          <w:color w:val="auto"/>
        </w:rPr>
      </w:pPr>
    </w:p>
    <w:p>
      <w:pPr>
        <w:ind w:firstLine="436"/>
        <w:spacing w:after="0" w:line="253"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as provided in this Agreement,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firstLine="436"/>
        <w:spacing w:after="0" w:line="253"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83" w:lineRule="exact"/>
        <w:rPr>
          <w:rFonts w:ascii="Times New Roman" w:cs="Times New Roman" w:eastAsia="Times New Roman" w:hAnsi="Times New Roman"/>
          <w:sz w:val="18"/>
          <w:szCs w:val="18"/>
          <w:color w:val="auto"/>
        </w:rPr>
      </w:pPr>
    </w:p>
    <w:p>
      <w:pPr>
        <w:ind w:right="420" w:firstLine="436"/>
        <w:spacing w:after="0" w:line="284"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right="20" w:firstLine="436"/>
        <w:spacing w:after="0" w:line="254"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r>
        <w:rPr>
          <w:rFonts w:ascii="Times New Roman" w:cs="Times New Roman" w:eastAsia="Times New Roman" w:hAnsi="Times New Roman"/>
          <w:sz w:val="18"/>
          <w:szCs w:val="18"/>
          <w:u w:val="single" w:color="auto"/>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29" w:name="page30"/>
    <w:bookmarkEnd w:id="29"/>
    <w:p>
      <w:pPr>
        <w:ind w:left="-20" w:firstLine="436"/>
        <w:spacing w:after="0" w:line="253" w:lineRule="auto"/>
        <w:tabs>
          <w:tab w:leader="none" w:pos="6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Underwriter</w:t>
      </w:r>
      <w:r>
        <w:rPr>
          <w:rFonts w:ascii="Times New Roman" w:cs="Times New Roman" w:eastAsia="Times New Roman" w:hAnsi="Times New Roman"/>
          <w:sz w:val="18"/>
          <w:szCs w:val="18"/>
          <w:color w:val="auto"/>
        </w:rPr>
        <w:t>. (a)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necessary to effect any such changes. 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includes, for all purposes of this Agreement unless the context otherwise requires, any person not listed in Schedule 1 hereto that, pursuant to this Section 10, purchases Securities that a defaulting Underwriter agreed but failed to purchase.</w:t>
      </w:r>
    </w:p>
    <w:p>
      <w:pPr>
        <w:spacing w:after="0" w:line="82" w:lineRule="exact"/>
        <w:rPr>
          <w:sz w:val="20"/>
          <w:szCs w:val="20"/>
          <w:color w:val="auto"/>
        </w:rPr>
      </w:pPr>
    </w:p>
    <w:p>
      <w:pPr>
        <w:ind w:left="-20" w:right="20" w:firstLine="436"/>
        <w:spacing w:after="0" w:line="256"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79" w:lineRule="exact"/>
        <w:rPr>
          <w:rFonts w:ascii="Times New Roman" w:cs="Times New Roman" w:eastAsia="Times New Roman" w:hAnsi="Times New Roman"/>
          <w:sz w:val="18"/>
          <w:szCs w:val="18"/>
          <w:color w:val="auto"/>
        </w:rPr>
      </w:pPr>
    </w:p>
    <w:p>
      <w:pPr>
        <w:ind w:left="-20" w:firstLine="436"/>
        <w:spacing w:after="0" w:line="256"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70" w:right="459" w:bottom="1440" w:gutter="0" w:footer="0" w:header="0"/>
        </w:sectPr>
      </w:pPr>
    </w:p>
    <w:bookmarkStart w:id="30" w:name="page31"/>
    <w:bookmarkEnd w:id="30"/>
    <w:p>
      <w:pPr>
        <w:ind w:left="4" w:firstLine="436"/>
        <w:spacing w:after="0" w:line="282" w:lineRule="auto"/>
        <w:tabs>
          <w:tab w:leader="none" w:pos="6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4" w:right="80" w:firstLine="436"/>
        <w:spacing w:after="0" w:line="252" w:lineRule="auto"/>
        <w:tabs>
          <w:tab w:leader="none" w:pos="7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Whether or not the transactions contemplated by this Agreement are consummated or this Agreement is terminated, the Company agrees to pay or cause to be paid all costs and expenses incident to the performance of their respective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in each case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of the Securities by, the Financial Industry Regulatory Authority, and the approval of the Securities for book-entry transfer through DTC; and</w:t>
      </w:r>
    </w:p>
    <w:p>
      <w:pPr>
        <w:spacing w:after="0" w:line="4"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by the Company in connection with any “road show” presentation to potential investors.</w:t>
      </w:r>
    </w:p>
    <w:p>
      <w:pPr>
        <w:spacing w:after="0" w:line="99" w:lineRule="exact"/>
        <w:rPr>
          <w:sz w:val="20"/>
          <w:szCs w:val="20"/>
          <w:color w:val="auto"/>
        </w:rPr>
      </w:pPr>
    </w:p>
    <w:p>
      <w:pPr>
        <w:ind w:left="4" w:right="260" w:firstLine="436"/>
        <w:spacing w:after="0" w:line="261" w:lineRule="auto"/>
        <w:tabs>
          <w:tab w:leader="none" w:pos="6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8(ii), (ii) the Company for any reason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of the Securities contemplated hereby.</w:t>
      </w:r>
    </w:p>
    <w:p>
      <w:pPr>
        <w:spacing w:after="0" w:line="71" w:lineRule="exact"/>
        <w:rPr>
          <w:rFonts w:ascii="Times New Roman" w:cs="Times New Roman" w:eastAsia="Times New Roman" w:hAnsi="Times New Roman"/>
          <w:sz w:val="18"/>
          <w:szCs w:val="18"/>
          <w:color w:val="auto"/>
        </w:rPr>
      </w:pPr>
    </w:p>
    <w:p>
      <w:pPr>
        <w:jc w:val="both"/>
        <w:ind w:left="4" w:right="40" w:firstLine="436"/>
        <w:spacing w:after="0" w:line="266" w:lineRule="auto"/>
        <w:tabs>
          <w:tab w:leader="none" w:pos="6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Section 11, the Underwriters shall be responsible for their fees and expenses related to the offering of the Securities. Each Underwriter shall be responsible to the other Underwriters for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hereunder) of the Underwriters’ total fees and expenses related to the offering of the Securities.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31" w:name="page32"/>
    <w:bookmarkEnd w:id="31"/>
    <w:p>
      <w:pPr>
        <w:ind w:right="220" w:firstLine="436"/>
        <w:spacing w:after="0" w:line="258"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any controlling persons referred to herein, and the affiliates, agents,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2" w:name="page33"/>
    <w:bookmarkEnd w:id="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35" w:lineRule="exact"/>
        <w:rPr>
          <w:sz w:val="20"/>
          <w:szCs w:val="20"/>
          <w:color w:val="auto"/>
        </w:rPr>
      </w:pPr>
    </w:p>
    <w:p>
      <w:pPr>
        <w:ind w:left="964" w:hanging="532"/>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w:t>
      </w:r>
    </w:p>
    <w:p>
      <w:pPr>
        <w:spacing w:after="0" w:line="31" w:lineRule="exact"/>
        <w:rPr>
          <w:sz w:val="20"/>
          <w:szCs w:val="20"/>
          <w:color w:val="auto"/>
        </w:rPr>
      </w:pPr>
    </w:p>
    <w:p>
      <w:pPr>
        <w:ind w:left="164" w:hanging="164"/>
        <w:spacing w:after="0"/>
        <w:tabs>
          <w:tab w:leader="none" w:pos="1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Dodd-Frank Wall Street Reform and Consumer Protection Act and the regulations promulgated thereunder.</w:t>
      </w:r>
    </w:p>
    <w:p>
      <w:pPr>
        <w:spacing w:after="0" w:line="206" w:lineRule="exact"/>
        <w:rPr>
          <w:rFonts w:ascii="Times New Roman" w:cs="Times New Roman" w:eastAsia="Times New Roman" w:hAnsi="Times New Roman"/>
          <w:sz w:val="18"/>
          <w:szCs w:val="18"/>
          <w:color w:val="auto"/>
        </w:rPr>
      </w:pPr>
    </w:p>
    <w:p>
      <w:pPr>
        <w:ind w:left="4" w:firstLine="436"/>
        <w:spacing w:after="0" w:line="254" w:lineRule="auto"/>
        <w:tabs>
          <w:tab w:leader="none" w:pos="7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 Notices. All notices and other communications hereunder shall be in writing and shall be deemed to have been duly given if mailed or transmitted and confirmed by any standard form of telecommunication. Notices to the Underwriters shall be given to the Representatives c/o BNP Paribas Securities Corp. 787 Seventh Avenue New York, New York 10019 Attention: Debt Syndicate Desk, Email: DL.US.Syndicate.Support@us.bnpparibas.com, Citigroup Global Markets Inc., 388 Greenwich Street, New York, NY 10013, facsimile: 646-291-1469, Attention: General Counsel; ING Financial Markets LLC, 1133 Avenue of the Americas, New York, NY 10036, Attention: Syndicate Desk, ING New York Toll Free: +1 (877) 446-4930, J.P. Morgan Securities LLC, 270 Park Avenue, New York, NY 10017, facsimile: (212) 834-6081, Attention: Investment Grade Syndicate and Wells Fargo Securities, LLC, 550 South Tryon Street, 5th Floor, Charlotte, North Carolina 28202, Attention: Transaction Management (email: tmgcapitalmarkets@wellsfargo.com). Notices to the Company shall be given to them at Xylem: 301 Water Street SE, Washington, DC 20003; Attention: Corporate Secretary.</w:t>
      </w:r>
    </w:p>
    <w:p>
      <w:pPr>
        <w:spacing w:after="0" w:line="78" w:lineRule="exact"/>
        <w:rPr>
          <w:sz w:val="20"/>
          <w:szCs w:val="20"/>
          <w:color w:val="auto"/>
        </w:rPr>
      </w:pPr>
    </w:p>
    <w:p>
      <w:pPr>
        <w:ind w:left="4" w:right="300" w:firstLine="436"/>
        <w:spacing w:after="0" w:line="284" w:lineRule="auto"/>
        <w:tabs>
          <w:tab w:leader="none" w:pos="6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6" w:right="459" w:bottom="1440" w:gutter="0" w:footer="0" w:header="0"/>
        </w:sectPr>
      </w:pPr>
    </w:p>
    <w:bookmarkStart w:id="33" w:name="page34"/>
    <w:bookmarkEnd w:id="33"/>
    <w:p>
      <w:pPr>
        <w:ind w:firstLine="436"/>
        <w:spacing w:after="0" w:line="284"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50" w:lineRule="exact"/>
        <w:rPr>
          <w:rFonts w:ascii="Times New Roman" w:cs="Times New Roman" w:eastAsia="Times New Roman" w:hAnsi="Times New Roman"/>
          <w:sz w:val="18"/>
          <w:szCs w:val="18"/>
          <w:color w:val="auto"/>
        </w:rPr>
      </w:pPr>
    </w:p>
    <w:p>
      <w:pPr>
        <w:ind w:right="720" w:firstLine="436"/>
        <w:spacing w:after="0" w:line="284"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w:t>
      </w:r>
    </w:p>
    <w:p>
      <w:pPr>
        <w:spacing w:after="0" w:line="50" w:lineRule="exact"/>
        <w:rPr>
          <w:rFonts w:ascii="Times New Roman" w:cs="Times New Roman" w:eastAsia="Times New Roman" w:hAnsi="Times New Roman"/>
          <w:sz w:val="18"/>
          <w:szCs w:val="18"/>
          <w:color w:val="auto"/>
        </w:rPr>
      </w:pPr>
    </w:p>
    <w:p>
      <w:pPr>
        <w:ind w:right="500" w:firstLine="436"/>
        <w:spacing w:after="0" w:line="284"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50" w:lineRule="exact"/>
        <w:rPr>
          <w:rFonts w:ascii="Times New Roman" w:cs="Times New Roman" w:eastAsia="Times New Roman" w:hAnsi="Times New Roman"/>
          <w:sz w:val="18"/>
          <w:szCs w:val="18"/>
          <w:color w:val="auto"/>
        </w:rPr>
      </w:pPr>
    </w:p>
    <w:p>
      <w:pPr>
        <w:ind w:firstLine="436"/>
        <w:spacing w:after="0" w:line="284" w:lineRule="auto"/>
        <w:tabs>
          <w:tab w:leader="none" w:pos="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6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 below.</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440" w:top="268" w:right="73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XYLEM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17145</wp:posOffset>
            </wp:positionV>
            <wp:extent cx="26231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Chris Peterson</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Title: Vice President, Chief Tax Officer, and Treasurer</w:t>
      </w:r>
    </w:p>
    <w:p>
      <w:pPr>
        <w:spacing w:after="0" w:line="21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9780"/>
          </w:cols>
          <w:pgMar w:left="1440" w:top="270"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May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themselves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Representatives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Rafael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Rafael Ribeiro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Adam D. Bordner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Christophe Dugardyn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Christophe Dugardyn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Londrigan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Robert Londrigan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Schedule 1</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080" w:type="dxa"/>
            <w:vAlign w:val="bottom"/>
            <w:vMerge w:val="restart"/>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9080" w:type="dxa"/>
            <w:vAlign w:val="bottom"/>
            <w:vMerge w:val="continue"/>
          </w:tcPr>
          <w:p>
            <w:pPr>
              <w:spacing w:after="0"/>
              <w:rPr>
                <w:sz w:val="15"/>
                <w:szCs w:val="15"/>
                <w:color w:val="auto"/>
              </w:rPr>
            </w:pPr>
          </w:p>
        </w:tc>
        <w:tc>
          <w:tcPr>
            <w:tcW w:w="11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of the 2033 Notes</w:t>
            </w:r>
          </w:p>
        </w:tc>
        <w:tc>
          <w:tcPr>
            <w:tcW w:w="0" w:type="dxa"/>
            <w:vAlign w:val="bottom"/>
          </w:tcPr>
          <w:p>
            <w:pPr>
              <w:spacing w:after="0"/>
              <w:rPr>
                <w:sz w:val="1"/>
                <w:szCs w:val="1"/>
                <w:color w:val="auto"/>
              </w:rPr>
            </w:pPr>
          </w:p>
        </w:tc>
      </w:tr>
      <w:tr>
        <w:trPr>
          <w:trHeight w:val="203"/>
        </w:trPr>
        <w:tc>
          <w:tcPr>
            <w:tcW w:w="9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BNP Paribas Securities Corp.</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ANZ Securities, Inc.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SEB Securities,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080" w:type="dxa"/>
            <w:vAlign w:val="bottom"/>
            <w:vMerge w:val="restart"/>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9080" w:type="dxa"/>
            <w:vAlign w:val="bottom"/>
            <w:vMerge w:val="continue"/>
          </w:tcPr>
          <w:p>
            <w:pPr>
              <w:spacing w:after="0"/>
              <w:rPr>
                <w:sz w:val="15"/>
                <w:szCs w:val="15"/>
                <w:color w:val="auto"/>
              </w:rPr>
            </w:pPr>
          </w:p>
        </w:tc>
        <w:tc>
          <w:tcPr>
            <w:tcW w:w="11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of the 2036 Notes</w:t>
            </w:r>
          </w:p>
        </w:tc>
        <w:tc>
          <w:tcPr>
            <w:tcW w:w="0" w:type="dxa"/>
            <w:vAlign w:val="bottom"/>
          </w:tcPr>
          <w:p>
            <w:pPr>
              <w:spacing w:after="0"/>
              <w:rPr>
                <w:sz w:val="1"/>
                <w:szCs w:val="1"/>
                <w:color w:val="auto"/>
              </w:rPr>
            </w:pPr>
          </w:p>
        </w:tc>
      </w:tr>
      <w:tr>
        <w:trPr>
          <w:trHeight w:val="203"/>
        </w:trPr>
        <w:tc>
          <w:tcPr>
            <w:tcW w:w="9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BNP Paribas Securities Corp.</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ANZ Securities, Inc.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SEB Securities,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52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r>
      <w:tr>
        <w:trPr>
          <w:trHeight w:val="4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Xylem Europe GmbH</w:t>
            </w:r>
          </w:p>
        </w:tc>
        <w:tc>
          <w:tcPr>
            <w:tcW w:w="520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Xylem Water Solutions U.S.A., Inc.</w:t>
            </w:r>
          </w:p>
        </w:tc>
        <w:tc>
          <w:tcPr>
            <w:tcW w:w="520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Evoqua Water Technologies LLC</w:t>
            </w:r>
          </w:p>
        </w:tc>
        <w:tc>
          <w:tcPr>
            <w:tcW w:w="520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Evoqua Water Technologies Corp.</w:t>
            </w:r>
          </w:p>
        </w:tc>
        <w:tc>
          <w:tcPr>
            <w:tcW w:w="520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Fluid Handling, LLC</w:t>
            </w:r>
          </w:p>
        </w:tc>
        <w:tc>
          <w:tcPr>
            <w:tcW w:w="520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Sensus USA Inc.</w:t>
            </w:r>
          </w:p>
        </w:tc>
        <w:tc>
          <w:tcPr>
            <w:tcW w:w="5200" w:type="dxa"/>
            <w:vAlign w:val="bottom"/>
          </w:tcPr>
          <w:p>
            <w:pPr>
              <w:jc w:val="center"/>
              <w:ind w:left="425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440" w:top="270"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Time of Sale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Pricing Term Sheet, dated May 19, 2026, substantially in the form of Annex B.</w:t>
      </w:r>
    </w:p>
    <w:p>
      <w:pPr>
        <w:sectPr>
          <w:pgSz w:w="11900" w:h="16838" w:orient="portrait"/>
          <w:cols w:equalWidth="0" w:num="1">
            <w:col w:w="11020"/>
          </w:cols>
          <w:pgMar w:left="440" w:top="270"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20" w:type="dxa"/>
            <w:vAlign w:val="bottom"/>
          </w:tcPr>
          <w:p>
            <w:pPr>
              <w:ind w:left="4020"/>
              <w:spacing w:after="0"/>
              <w:rPr>
                <w:sz w:val="20"/>
                <w:szCs w:val="20"/>
                <w:color w:val="auto"/>
              </w:rPr>
            </w:pPr>
            <w:r>
              <w:rPr>
                <w:rFonts w:ascii="Times New Roman" w:cs="Times New Roman" w:eastAsia="Times New Roman" w:hAnsi="Times New Roman"/>
                <w:sz w:val="18"/>
                <w:szCs w:val="18"/>
                <w:color w:val="auto"/>
                <w:w w:val="98"/>
              </w:rPr>
              <w:t>ANNEX B</w:t>
            </w:r>
          </w:p>
        </w:tc>
      </w:tr>
      <w:tr>
        <w:trPr>
          <w:trHeight w:val="432"/>
        </w:trPr>
        <w:tc>
          <w:tcPr>
            <w:tcW w:w="3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2"/>
          </w:tcPr>
          <w:p>
            <w:pPr>
              <w:jc w:val="center"/>
              <w:ind w:right="4750"/>
              <w:spacing w:after="0"/>
              <w:rPr>
                <w:sz w:val="20"/>
                <w:szCs w:val="20"/>
                <w:color w:val="auto"/>
              </w:rPr>
            </w:pPr>
            <w:r>
              <w:rPr>
                <w:rFonts w:ascii="Times New Roman" w:cs="Times New Roman" w:eastAsia="Times New Roman" w:hAnsi="Times New Roman"/>
                <w:sz w:val="18"/>
                <w:szCs w:val="18"/>
                <w:color w:val="auto"/>
                <w:w w:val="98"/>
              </w:rPr>
              <w:t>Xylem Inc.</w:t>
            </w:r>
          </w:p>
        </w:tc>
      </w:tr>
      <w:tr>
        <w:trPr>
          <w:trHeight w:val="392"/>
        </w:trPr>
        <w:tc>
          <w:tcPr>
            <w:tcW w:w="3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Pricing Term Sheet</w:t>
            </w:r>
          </w:p>
        </w:tc>
        <w:tc>
          <w:tcPr>
            <w:tcW w:w="4820" w:type="dxa"/>
            <w:vAlign w:val="bottom"/>
          </w:tcPr>
          <w:p>
            <w:pPr>
              <w:spacing w:after="0"/>
              <w:rPr>
                <w:sz w:val="24"/>
                <w:szCs w:val="24"/>
                <w:color w:val="auto"/>
              </w:rPr>
            </w:pPr>
          </w:p>
        </w:tc>
      </w:tr>
      <w:tr>
        <w:trPr>
          <w:trHeight w:val="434"/>
        </w:trPr>
        <w:tc>
          <w:tcPr>
            <w:tcW w:w="3160" w:type="dxa"/>
            <w:vAlign w:val="bottom"/>
          </w:tcPr>
          <w:p>
            <w:pPr>
              <w:spacing w:after="0"/>
              <w:rPr>
                <w:sz w:val="24"/>
                <w:szCs w:val="24"/>
                <w:color w:val="auto"/>
              </w:rPr>
            </w:pPr>
          </w:p>
        </w:tc>
        <w:tc>
          <w:tcPr>
            <w:tcW w:w="7860" w:type="dxa"/>
            <w:vAlign w:val="bottom"/>
            <w:gridSpan w:val="3"/>
          </w:tcPr>
          <w:p>
            <w:pPr>
              <w:jc w:val="center"/>
              <w:ind w:right="3090"/>
              <w:spacing w:after="0"/>
              <w:rPr>
                <w:sz w:val="20"/>
                <w:szCs w:val="20"/>
                <w:color w:val="auto"/>
              </w:rPr>
            </w:pPr>
            <w:r>
              <w:rPr>
                <w:rFonts w:ascii="Times New Roman" w:cs="Times New Roman" w:eastAsia="Times New Roman" w:hAnsi="Times New Roman"/>
                <w:sz w:val="18"/>
                <w:szCs w:val="18"/>
                <w:color w:val="auto"/>
                <w:w w:val="99"/>
              </w:rPr>
              <w:t>$500,000,000 5.200% Senior Notes due 2033</w:t>
            </w:r>
          </w:p>
        </w:tc>
      </w:tr>
      <w:tr>
        <w:trPr>
          <w:trHeight w:val="234"/>
        </w:trPr>
        <w:tc>
          <w:tcPr>
            <w:tcW w:w="3160" w:type="dxa"/>
            <w:vAlign w:val="bottom"/>
          </w:tcPr>
          <w:p>
            <w:pPr>
              <w:spacing w:after="0"/>
              <w:rPr>
                <w:sz w:val="20"/>
                <w:szCs w:val="20"/>
                <w:color w:val="auto"/>
              </w:rPr>
            </w:pPr>
          </w:p>
        </w:tc>
        <w:tc>
          <w:tcPr>
            <w:tcW w:w="7860" w:type="dxa"/>
            <w:vAlign w:val="bottom"/>
            <w:gridSpan w:val="3"/>
          </w:tcPr>
          <w:p>
            <w:pPr>
              <w:jc w:val="center"/>
              <w:ind w:right="3090"/>
              <w:spacing w:after="0"/>
              <w:rPr>
                <w:sz w:val="20"/>
                <w:szCs w:val="20"/>
                <w:color w:val="auto"/>
              </w:rPr>
            </w:pPr>
            <w:r>
              <w:rPr>
                <w:rFonts w:ascii="Times New Roman" w:cs="Times New Roman" w:eastAsia="Times New Roman" w:hAnsi="Times New Roman"/>
                <w:sz w:val="18"/>
                <w:szCs w:val="18"/>
                <w:color w:val="auto"/>
                <w:w w:val="99"/>
              </w:rPr>
              <w:t>$500,000,000 5.450% Senior Notes due 2036</w:t>
            </w:r>
          </w:p>
        </w:tc>
      </w:tr>
      <w:tr>
        <w:trPr>
          <w:trHeight w:val="432"/>
        </w:trPr>
        <w:tc>
          <w:tcPr>
            <w:tcW w:w="3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0" w:type="dxa"/>
            <w:vAlign w:val="bottom"/>
            <w:gridSpan w:val="2"/>
          </w:tcPr>
          <w:p>
            <w:pPr>
              <w:jc w:val="center"/>
              <w:ind w:right="4750"/>
              <w:spacing w:after="0"/>
              <w:rPr>
                <w:sz w:val="20"/>
                <w:szCs w:val="20"/>
                <w:color w:val="auto"/>
              </w:rPr>
            </w:pPr>
            <w:r>
              <w:rPr>
                <w:rFonts w:ascii="Times New Roman" w:cs="Times New Roman" w:eastAsia="Times New Roman" w:hAnsi="Times New Roman"/>
                <w:sz w:val="18"/>
                <w:szCs w:val="18"/>
                <w:color w:val="auto"/>
                <w:w w:val="99"/>
              </w:rPr>
              <w:t>May 19, 2026</w:t>
            </w:r>
          </w:p>
        </w:tc>
      </w:tr>
      <w:tr>
        <w:trPr>
          <w:trHeight w:val="432"/>
        </w:trPr>
        <w:tc>
          <w:tcPr>
            <w:tcW w:w="3160" w:type="dxa"/>
            <w:vAlign w:val="bottom"/>
          </w:tcPr>
          <w:p>
            <w:pPr>
              <w:spacing w:after="0"/>
              <w:rPr>
                <w:sz w:val="24"/>
                <w:szCs w:val="24"/>
                <w:color w:val="auto"/>
              </w:rPr>
            </w:pPr>
          </w:p>
        </w:tc>
        <w:tc>
          <w:tcPr>
            <w:tcW w:w="7860" w:type="dxa"/>
            <w:vAlign w:val="bottom"/>
            <w:gridSpan w:val="3"/>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Terms Applicable to Both Series of Notes</w:t>
            </w:r>
          </w:p>
        </w:tc>
      </w:tr>
      <w:tr>
        <w:trPr>
          <w:trHeight w:val="45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Xylem Inc.</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 (Moody’s / S&amp;P)*:</w:t>
            </w:r>
          </w:p>
        </w:tc>
        <w:tc>
          <w:tcPr>
            <w:tcW w:w="30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4"/>
                <w:szCs w:val="24"/>
                <w:color w:val="auto"/>
              </w:rPr>
            </w:pP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of the Notes:</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Format:</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May 19, 2026</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May 29, 2026 (T+7)</w:t>
            </w:r>
          </w:p>
        </w:tc>
      </w:tr>
      <w:tr>
        <w:trPr>
          <w:trHeight w:val="324"/>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Xylem intends to use the net proceeds from the 2033 notes for repay or</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redeem $500 million aggregate principal amount of its 3.250% Senior</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Notes maturing on November 1, 2026 at or prior to maturity and for</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general corporate purposes. Xylem intends to allocate an amount equal to</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the net proceeds from the sale of the 2036 notes to finance and/or</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refinance, in whole or in part, a portfolio of Eligible Blue Projects as</w:t>
            </w:r>
          </w:p>
        </w:tc>
      </w:tr>
      <w:tr>
        <w:trPr>
          <w:trHeight w:val="234"/>
        </w:trPr>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defined in “Use of Proceeds” in the prospectus supplement.</w:t>
            </w: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34"/>
        </w:trPr>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30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w:t>
            </w:r>
          </w:p>
        </w:tc>
        <w:tc>
          <w:tcPr>
            <w:tcW w:w="1660" w:type="dxa"/>
            <w:vAlign w:val="bottom"/>
          </w:tcPr>
          <w:p>
            <w:pPr>
              <w:spacing w:after="0"/>
              <w:rPr>
                <w:sz w:val="24"/>
                <w:szCs w:val="24"/>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ANZ Securities, Inc.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SEB Securities, Inc.</w:t>
            </w:r>
          </w:p>
        </w:tc>
      </w:t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234"/>
        </w:trPr>
        <w:tc>
          <w:tcPr>
            <w:tcW w:w="3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Academy Securities, Inc.</w:t>
            </w:r>
          </w:p>
        </w:tc>
      </w:tr>
    </w:tbl>
    <w:p>
      <w:pPr>
        <w:ind w:left="84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1" w:name="page42"/>
    <w:bookmarkEnd w:id="4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t>Terms Applicable to the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5.200% Senior Notes due 2033</w:t>
      </w:r>
    </w:p>
    <w:p>
      <w:pPr>
        <w:sectPr>
          <w:pgSz w:w="11900" w:h="16838" w:orient="portrait"/>
          <w:cols w:equalWidth="0" w:num="1">
            <w:col w:w="10880"/>
          </w:cols>
          <w:pgMar w:left="440" w:top="603" w:right="57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99.808% of the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4.125% due April 30,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97-28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xml:space="preserve"> ; 4.483%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 and December 1 of each year, commencing on December 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April 1, 2033 at +15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April 1,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Puttable at 101% of principal plus accrued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98419M AN0 / US98419MAN02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248920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220"/>
          </w:cols>
          <w:pgMar w:left="440" w:top="603" w:right="579" w:bottom="1440" w:gutter="0" w:footer="0" w:header="0"/>
          <w:type w:val="continuous"/>
        </w:sect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5.450% Senior Notes due 2036</w:t>
      </w:r>
    </w:p>
    <w:p>
      <w:pPr>
        <w:sectPr>
          <w:pgSz w:w="11900" w:h="16838" w:orient="portrait"/>
          <w:cols w:equalWidth="0" w:num="1">
            <w:col w:w="10880"/>
          </w:cols>
          <w:pgMar w:left="440" w:top="603" w:right="57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99.977% of the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4.375% due May 15,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97-25+; 4.653%</w:t>
      </w:r>
    </w:p>
    <w:p>
      <w:pPr>
        <w:sectPr>
          <w:pgSz w:w="11900" w:h="16838" w:orient="portrait"/>
          <w:cols w:equalWidth="0" w:num="2">
            <w:col w:w="4940" w:space="720"/>
            <w:col w:w="5220"/>
          </w:cols>
          <w:pgMar w:left="440" w:top="603" w:right="5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-213360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 and December 1 of each year, commencing on December 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 2036 at +15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March 1,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Puttable at 101% of principal plus accrued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98419M AP5 / US98419MAP59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240030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320"/>
          </w:cols>
          <w:pgMar w:left="440" w:top="266" w:right="479" w:bottom="1440" w:gutter="0" w:footer="0" w:header="0"/>
        </w:sect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subject to revision or withdrawal at any time.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as supplemented) with the SEC for the offering to which this communication relates. Before you invest, you should read the prospectus (as supplemented)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BNP Paribas Securities Corp. toll-free at (800) 854-5674, Citigroup Global Markets Inc. toll-free at (800) 831-9146, ING Financial Markets LLC toll-free at (877) 446-4930, J.P. Morgan Securities LLC collect at (212) 834-4533 or Wells Fargo Securities, LLC toll-free at (800) 645-3751.</w:t>
      </w:r>
    </w:p>
    <w:p>
      <w:pPr>
        <w:spacing w:after="0" w:line="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ectPr>
          <w:pgSz w:w="11900" w:h="16838" w:orient="portrait"/>
          <w:cols w:equalWidth="0" w:num="1">
            <w:col w:w="10980"/>
          </w:cols>
          <w:pgMar w:left="440" w:top="266" w:right="47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XYLEM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FIFTH SUPPLEMENTAL 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29,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Relating to</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$500,000,000 5.200% Senior Notes due 2033</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$500,000,000 5.450%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SUPPLEMENTAL INDENTURE</w:t>
      </w:r>
    </w:p>
    <w:p>
      <w:pPr>
        <w:spacing w:after="0" w:line="22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SUPPLEMENTAL INDENTURE No. 5 (this “Supplemental Indenture No. 5”), dated as of May 29, 2026, is between XYLEM INC., an Indiana corporation (the “Company”), and DEUTSCHE BANK TRUST COMPANY AMERICAS, a New York banking corporation, as Trustee (the “Trustee”).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dated as of March 11, 2016 between the Company and the Trustee (the “Original Indenture”), as amended and supplemented by a Supplemental Indenture No. 1 dated as of March 11, 2016 between the Company and the Trustee (“Supplemental Indenture No. 1”; the Original Indenture as so amended and supplemented, the “Base Indenture”; and the Base Indenture as further supplemented by this Supplemental Indenture No. 5, the “Indenture”), providing for the issuance from time to time of series of the Company’s Securities;</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Section 9.01(g) of the Base Indenture provides for the Company and the Trustee to enter into an indenture supplemental to the Base Indenture to establish the forms or terms of Securities of any series as permitted by Section 2.02 or Section 3.01 of the Base Indenture;</w:t>
      </w:r>
    </w:p>
    <w:p>
      <w:pPr>
        <w:spacing w:after="0" w:line="162"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pursuant to Section 3.01 of the Base Indenture, the Company wishes to provide for the issuance of two new series of Securities to be known respectively as its 5.200% Senior Notes due 2033 (the “2033 Notes”) and its 5.450% Senior Notes due 2036 (the “2036 Notes” and collectively with the 2033 Notes, the “Notes”), the form and terms of each such series of Notes and the terms, provisions and conditions thereof to be as set forth in this Supplemental Indenture No. 5; and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has requested that the Trustee execute and deliver this Supplemental Indenture No. 5 and all requirements necessary to make this Supplemental Indenture No. 5 a valid, binding and enforceable instrument in accordance with its terms, and to make the Notes, when executed by the Company and authenticated and delivered by the Trustee, the valid, binding and enforceable obligations of the Company, have been done and performed, and the execution and delivery of this Supplemental Indenture No. 5 has been duly authorized in all respects.</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set forth herein and for other good and valuable consideration, the receipt and sufficiency of which are hereby acknowledged, the parties hereto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Relation to Base Indenture</w:t>
      </w:r>
      <w:r>
        <w:rPr>
          <w:rFonts w:ascii="Times New Roman" w:cs="Times New Roman" w:eastAsia="Times New Roman" w:hAnsi="Times New Roman"/>
          <w:sz w:val="18"/>
          <w:szCs w:val="18"/>
          <w:color w:val="auto"/>
        </w:rPr>
        <w:t>. This Supplemental Indenture No. 5 constitutes an integral part of the Base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Definition of Terms</w:t>
      </w:r>
      <w:r>
        <w:rPr>
          <w:rFonts w:ascii="Times New Roman" w:cs="Times New Roman" w:eastAsia="Times New Roman" w:hAnsi="Times New Roman"/>
          <w:sz w:val="18"/>
          <w:szCs w:val="18"/>
          <w:color w:val="auto"/>
        </w:rPr>
        <w:t>. For all purposes of this Supplemental Indenture No. 5:</w:t>
      </w:r>
    </w:p>
    <w:p>
      <w:pPr>
        <w:sectPr>
          <w:pgSz w:w="11900" w:h="16838" w:orient="portrait"/>
          <w:cols w:equalWidth="0" w:num="1">
            <w:col w:w="11000"/>
          </w:cols>
          <w:pgMar w:left="440" w:top="266" w:right="459" w:bottom="1440" w:gutter="0" w:footer="0" w:header="0"/>
        </w:sectPr>
      </w:pPr>
    </w:p>
    <w:bookmarkStart w:id="45" w:name="page46"/>
    <w:bookmarkEnd w:id="45"/>
    <w:p>
      <w:pPr>
        <w:ind w:left="680" w:hanging="244"/>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terms used herein without definition shall have the meanings set forth in the Base Indenture;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defined anywhere in this Supplemental Indenture No. 5 has the same meaning throughout;</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of reference only and do not affect interpretation; and</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have the meanings given to them in this Section 1.02(e):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or Sunday, which is not a day on which banking institutions in The City of New York are authorized or required by law or executive order to close.</w:t>
      </w:r>
    </w:p>
    <w:p>
      <w:pPr>
        <w:spacing w:after="0" w:line="16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“Change of Control” shall mean the occurrence of any one of the following: (1) the direct or indirect sale, lease, transfer, conveyance or other disposition (other than by way of merger, amalgamation, arrangement or consolidation), in one or a series of related transactions, of all or substantially all of the Company’s properties or assets and those of the Company’s subsidiaries, taken as a whole, to one or more persons, other than to the Company or one of the Company’s subsidiaries; (2) the first day on which a majority of the members of the Company’s board of directors is not composed of directors who (a) were members of the Company’s board of directors on the issue date or (b) were nominated for election, elected or appointed to the Company’s board of directors with the approval of a majority of the directors who were members of the Company’s board of directors at the time of such nomination, election or appointment (either by a specific vote or by approval by such directors of the Company’s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the Company’s voting stock; (4) the Company consolidates with, or merges with or into, any person, or any person consolidates with, or merges with or into, the Company, in any such event pursuant to a transaction in which any of the outstanding voting stock of the Company or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immediately after giving effect to such transaction; or (5) the adoption of a plan relating to the Company’s liquidation or dissolution (other than the Company’s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Securities Exchange Act of 1934, as amended (the “Exchange Act”).</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 Offer” shall have the meaning set forth in Section 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Purchase Price” shall have the meaning set forth in Section 4.01(a).</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“Change of Control Triggering Event” shall mean the occurrence of both a Change of Control and a Ratings Downgrade Event. Notwithstanding the foregoing, no Change of Control Triggering Event will be deemed to have occurred in connection with any particular Change of Control unless and until such Change of Control has actually been consummated.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“Fitch” shall mean Fitch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“Global Note” shall have the meaning set forth in Section 2.04.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shall have the meaning set forth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“Maturity Date” shall mean June 1, 2033 in the case of the 2033 Notes and June 1, 2036 in the case of the 2036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“Moody’s” shall mean Moody’s Investors Service, Inc.</w:t>
      </w:r>
    </w:p>
    <w:p>
      <w:pPr>
        <w:spacing w:after="0" w:line="225"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“Officer’s Certificate” means a certificate signed by any of the Chairman, Chief Executive Officer, Chief Financial Officer, any Senior Vice President or Vice President, the Treasurer, and any Assistant Treasurer of the Company, or by any other officer of the Company pursuant to any applicable Board Resolution, and delivered to the Trustee. All references in the Indenture to Officers’ Certificate shall be replaced by Officer’s Certificate.</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“Par Call Date” shall mean, in the case of the 2033 Notes, April 1, 2033 (two months prior to their Maturity Date) and, in the case of the 2036 Notes, March 1, 2036 (three months prior to their Maturity Date).</w:t>
      </w:r>
    </w:p>
    <w:p>
      <w:pPr>
        <w:spacing w:after="0" w:line="162" w:lineRule="exact"/>
        <w:rPr>
          <w:sz w:val="20"/>
          <w:szCs w:val="20"/>
          <w:color w:val="auto"/>
        </w:rPr>
      </w:pPr>
    </w:p>
    <w:p>
      <w:pPr>
        <w:jc w:val="both"/>
        <w:ind w:right="60" w:firstLine="440"/>
        <w:spacing w:after="0" w:line="289" w:lineRule="auto"/>
        <w:rPr>
          <w:sz w:val="20"/>
          <w:szCs w:val="20"/>
          <w:color w:val="auto"/>
        </w:rPr>
      </w:pPr>
      <w:r>
        <w:rPr>
          <w:rFonts w:ascii="Times New Roman" w:cs="Times New Roman" w:eastAsia="Times New Roman" w:hAnsi="Times New Roman"/>
          <w:sz w:val="17"/>
          <w:szCs w:val="17"/>
          <w:color w:val="auto"/>
        </w:rPr>
        <w:t>“Rating Agency” shall mean (1) each of Fitch, Moody’s and S&amp;P; or (2) if any of Moody’s Fitch or S&amp;P ceases to rate the Notes or fails to make a rating of the Notes publicly available for reasons outside of the Company’s control, a “nationally recognized statistical rating organization” as defined under Section 3(a)(62) of the Exchange Act selected by the Company as a replacement Rating Agency for Moody’s, Fitch or S&amp;P as the case may be.</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“Ratings Downgrade Event” shall mean that the Notes cease to be rated equal to or higher than BBB- (or the equivalent) by Fitch, Baa3 (or the equivalent) by Moody’s or BBB- (or the equivalent) by S&amp;P, and the equivalent investment grade credit rating from any replacement Rating Agency or replacement Rating Agencies selected by the Company on any date, during the 60-day period commencing upon the earlier of (1) the first public announcement of the Change of Control or the Company’s intention to effect a Change of Control and (2) the consummation of such Change of Control, which period will be extended following consummation of a Change of Control for so long as the rating of the Notes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7" w:name="page48"/>
    <w:bookmarkEnd w:id="47"/>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Date” shall mean, with respect to any redemption of the Notes, the date fixed for such redemption pursuant to the Indenture and such Notes.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shall mean S&amp;P Global Ratings, a division of S&amp;P Global Inc.</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for a series of the Notes, the yield applicable to such series of the Notes determined by the Company in accordance with the following two paragraphs.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Treasury Rate applicable to a series of the Notes shall be determined by the Company after 4:15 p.m., New York City time (or after such time as yields on U.S. government securities are posted daily by the Board of Governors of the Federal Reserve System), on the third Business Day preceding the relevant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applicable Treasury Rate, the Company shall select, as applicable: (1) the yield for the Treasury constant maturity on H.15 exactly equal to the period from the relevant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relevant Redemption Date.</w:t>
      </w:r>
    </w:p>
    <w:p>
      <w:pPr>
        <w:spacing w:after="0" w:line="19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on the third Business Day preceding the relevant Redemption Date H.15 TCM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8" w:name="page49"/>
    <w:bookmarkEnd w:id="4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terms “Company,” “Trustee,” “Indenture,” “Base Indenture,” “Supplemental Indenture No. 5,” “2033 Notes,” “2036 Notes” and “Notes” shall have the respective meanings set forth in the preamble and recitals to this Supplemental Indenture No. 5.</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TERMS AND CONDITIONS OF THE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Principal Amount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right="200"/>
        <w:spacing w:after="0" w:line="258" w:lineRule="auto"/>
        <w:rPr>
          <w:sz w:val="20"/>
          <w:szCs w:val="20"/>
          <w:color w:val="auto"/>
        </w:rPr>
      </w:pPr>
      <w:r>
        <w:rPr>
          <w:rFonts w:ascii="Times New Roman" w:cs="Times New Roman" w:eastAsia="Times New Roman" w:hAnsi="Times New Roman"/>
          <w:sz w:val="18"/>
          <w:szCs w:val="18"/>
          <w:color w:val="auto"/>
        </w:rPr>
        <w:t>The 2033 Notes may be issued from time to time upon receipt by the Trustee of an Authentication Order pursuant to Section 3.03 of the Base Indenture. The initial issue date shall be May 29, 2026. There is hereby authorized a series of Securities designated as the 5.200% Senior Notes due 2033 limited in aggregate principal amount to $500,000,000 (except for additional Notes of such series authenticated and delivered in accordance with Section 3.01 of the Base Indenture and upon registration of transfer of, or in exchange for, or in lieu of, other Notes pursuant to the Base Indenture).</w:t>
      </w:r>
    </w:p>
    <w:p>
      <w:pPr>
        <w:spacing w:after="0" w:line="183" w:lineRule="exact"/>
        <w:rPr>
          <w:sz w:val="20"/>
          <w:szCs w:val="20"/>
          <w:color w:val="auto"/>
        </w:rPr>
      </w:pPr>
    </w:p>
    <w:p>
      <w:pPr>
        <w:ind w:left="440" w:right="200"/>
        <w:spacing w:after="0" w:line="258" w:lineRule="auto"/>
        <w:rPr>
          <w:sz w:val="20"/>
          <w:szCs w:val="20"/>
          <w:color w:val="auto"/>
        </w:rPr>
      </w:pPr>
      <w:r>
        <w:rPr>
          <w:rFonts w:ascii="Times New Roman" w:cs="Times New Roman" w:eastAsia="Times New Roman" w:hAnsi="Times New Roman"/>
          <w:sz w:val="18"/>
          <w:szCs w:val="18"/>
          <w:color w:val="auto"/>
        </w:rPr>
        <w:t>The 2036 Notes may be issued from time to time upon receipt by the Trustee of an Authentication Order pursuant to Section 3.03 of the Base Indenture. The initial issue date shall be May 29, 2026. There is hereby authorized a series of Securities designated as the 5.450% Senior Notes due 2036 limited in aggregate principal amount to $500,000,000 (except for additional Notes of such series authenticated and delivered in accordance with Section 3.01 of the Base Indenture and upon registration of transfer of, or in exchange for, or in lieu of, other Notes pursuant to the Base Indenture).</w:t>
      </w:r>
    </w:p>
    <w:p>
      <w:pPr>
        <w:spacing w:after="0" w:line="181"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date upon which all outstanding principal of the 2033 Notes shall become due and payable, together with any accrued and unpaid interest thereon, is June 1, 2033. The date upon which all outstanding principal of the 2036 Notes shall become due and payable, together with any accrued and unpaid interest thereon, is June 1, 2036.</w:t>
      </w:r>
    </w:p>
    <w:p>
      <w:pPr>
        <w:spacing w:after="0" w:line="17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Payment and Appointment</w:t>
      </w:r>
      <w:r>
        <w:rPr>
          <w:rFonts w:ascii="Times New Roman" w:cs="Times New Roman" w:eastAsia="Times New Roman" w:hAnsi="Times New Roman"/>
          <w:sz w:val="18"/>
          <w:szCs w:val="18"/>
          <w:color w:val="auto"/>
        </w:rPr>
        <w:t>. Principal of, premium, if any, and interest on the Notes will be payable at the designated corporate trust office of the Paying Agent or, at the Company’s option, payment of interest may be made by check mailed to the holders of the Notes (each, a “Holder” and together, the “Holders”)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 of The Depository Trust Company, New York, New York (“DTC”) will be made through the facilities of the common depositary.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Paying Agent, transfer agent and Security Registrar with respect to the Notes shall initially be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shall be issuable in minimum denominations of $2,000 and integral multiples of $1,000 in excess thereof.</w:t>
      </w:r>
    </w:p>
    <w:p>
      <w:pPr>
        <w:spacing w:after="0" w:line="22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Global Note</w:t>
      </w:r>
      <w:r>
        <w:rPr>
          <w:rFonts w:ascii="Times New Roman" w:cs="Times New Roman" w:eastAsia="Times New Roman" w:hAnsi="Times New Roman"/>
          <w:sz w:val="18"/>
          <w:szCs w:val="18"/>
          <w:color w:val="auto"/>
        </w:rPr>
        <w:t>. The Notes shall be issued initially in the form of one or more fully registered global notes (each, a “Global Note”) and such Global Notes shall be deposited with, or on behalf of the DTC and registered in the name of Cede &amp; Co., the nominee of DTC. Unless and until such Global Note is exchanged for Notes in certificated form, such Global Note may be transferred, in whole but not in part, and any payments on the Notes shall be made, only to the DTC or another nominee of the DTC, or to a successor the DTC selected or approved by the Company or to a nominee of such successor depositary.</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 The 2033 Notes will bear interest at a rate of 5.200% per annum and the 2036 Notes will bear interest at a rate of 5.450% per annum, each from May 29, 2026, or from the most recent date to which interest has been paid or provided for, payable semi-annually in arrears on June 1 and December 1 of each year (each, an “Interest Payment Date”), commencing December 1, 2026 to Holders of record at the close of business on the 15th calendar day (whether or not a Business Day) immediately preceding the Interest Payment Date; provided, however, that interest payable on the applicable Maturity Date of the Notes or any Redemption Date of the Notes shall be payable to the person to whom the principal of such Notes shall be payable.</w:t>
      </w:r>
    </w:p>
    <w:p>
      <w:pPr>
        <w:spacing w:after="0" w:line="76" w:lineRule="exact"/>
        <w:rPr>
          <w:sz w:val="20"/>
          <w:szCs w:val="20"/>
          <w:color w:val="auto"/>
        </w:rPr>
      </w:pPr>
    </w:p>
    <w:p>
      <w:pPr>
        <w:ind w:right="20" w:firstLine="436"/>
        <w:spacing w:after="0" w:line="256"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No Sinking Fund</w:t>
      </w:r>
      <w:r>
        <w:rPr>
          <w:rFonts w:ascii="Times New Roman" w:cs="Times New Roman" w:eastAsia="Times New Roman" w:hAnsi="Times New Roman"/>
          <w:sz w:val="18"/>
          <w:szCs w:val="18"/>
          <w:color w:val="auto"/>
        </w:rPr>
        <w:t>. The Notes are not entitled to the benefit of any sinking fund.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No Guarantee</w:t>
      </w:r>
      <w:r>
        <w:rPr>
          <w:rFonts w:ascii="Times New Roman" w:cs="Times New Roman" w:eastAsia="Times New Roman" w:hAnsi="Times New Roman"/>
          <w:sz w:val="18"/>
          <w:szCs w:val="18"/>
          <w:color w:val="auto"/>
        </w:rPr>
        <w:t>. The Notes will not be guaranteed by any Person or Persons.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REDEMPTION OF THE NOTES</w:t>
      </w:r>
    </w:p>
    <w:p>
      <w:pPr>
        <w:spacing w:after="0" w:line="20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Optional Redemption by Company</w:t>
      </w:r>
      <w:r>
        <w:rPr>
          <w:rFonts w:ascii="Times New Roman" w:cs="Times New Roman" w:eastAsia="Times New Roman" w:hAnsi="Times New Roman"/>
          <w:sz w:val="18"/>
          <w:szCs w:val="18"/>
          <w:color w:val="auto"/>
        </w:rPr>
        <w:t>. (a) Prior to the applicable Par Call Date, the Company may redeem the Notes of any series at its option, in whole or in part, at any time and from time to time, at a redemption price (expressed as a percentage of principal amount and rounded to three decimal places) equal to the greater of:</w:t>
      </w:r>
    </w:p>
    <w:p>
      <w:pPr>
        <w:spacing w:after="0" w:line="67" w:lineRule="exact"/>
        <w:rPr>
          <w:sz w:val="20"/>
          <w:szCs w:val="20"/>
          <w:color w:val="auto"/>
        </w:rPr>
      </w:pPr>
    </w:p>
    <w:p>
      <w:pPr>
        <w:ind w:right="100"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of such series discounted to the relevant Redemption Date (assuming such Notes matured on the applicable Par Call Date) on a semi-annual basis (assuming a 360-day year consisting of twelve 30-day months) at the Treasury Rate plus 15 basis points for the 2033 Notes, and 15 basis points for the 2036 Notes less (b) interest accrued and unpaid to the relevant Redemption Date, and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100% of the principal amount of the Notes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Redemption Date.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for a series of Notes, the Company may redeem the Notes of such series, in whole or in part, at any time and from time to time, at a redemption price equal to 100% of the principal amount of such Notes being redeemed plus accrued and unpaid interest thereon to the relevant Redemption Date</w:t>
      </w:r>
    </w:p>
    <w:p>
      <w:pPr>
        <w:spacing w:after="0" w:line="68" w:lineRule="exact"/>
        <w:rPr>
          <w:sz w:val="20"/>
          <w:szCs w:val="20"/>
          <w:color w:val="auto"/>
        </w:rPr>
      </w:pPr>
    </w:p>
    <w:p>
      <w:pPr>
        <w:jc w:val="both"/>
        <w:ind w:right="100" w:firstLine="436"/>
        <w:spacing w:after="0" w:line="261"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optional redemption price, on and after the Redemption Date, interest will cease to accrue on the applicable Notes or portions thereof called for redemption. On or before the Redemption Date, the Company shall deposit with the Paying Agent or set aside, segregate and hold in trust (if the Company is acting as Paying Agent), funds sufficient to pay the optional redemption price of, and accrued and unpaid interest on, such Notes to be redeemed on that Redemption Date.</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relevant redemption price shall be conclusive and binding for all purposes of this Section 3.01, absent manifest error.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relevant Redemption Date to each Holder of Notes to be redeemed.</w:t>
      </w:r>
    </w:p>
    <w:p>
      <w:pPr>
        <w:spacing w:after="0" w:line="16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Securities to be Redeemed.</w:t>
      </w:r>
      <w:r>
        <w:rPr>
          <w:rFonts w:ascii="Times New Roman" w:cs="Times New Roman" w:eastAsia="Times New Roman" w:hAnsi="Times New Roman"/>
          <w:sz w:val="18"/>
          <w:szCs w:val="18"/>
          <w:color w:val="auto"/>
        </w:rPr>
        <w:t xml:space="preserve"> In the case of a partial redemption, selection of the Notes for redemption will be made pro rata, by lot or by such other method as the Trustee deems appropriate and fair, subject, in the case of Global Notes, to the applicable procedures of DTC (or any successor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such depositary.</w:t>
      </w:r>
    </w:p>
    <w:p>
      <w:pPr>
        <w:spacing w:after="0" w:line="18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xml:space="preserve"> 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entity). If such redemption is subject to satisfaction of one or more conditions precedent, such notice shall describe each such condition, and such notice may be rescinded in the event that any or all such conditions shall not have been satisfied or otherwise waived on or prior to the fifth business day immediately preceding the relevant Redemption Date.</w:t>
      </w:r>
    </w:p>
    <w:p>
      <w:pPr>
        <w:spacing w:after="0" w:line="18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Rescission of Redemption.</w:t>
      </w:r>
      <w:r>
        <w:rPr>
          <w:rFonts w:ascii="Times New Roman" w:cs="Times New Roman" w:eastAsia="Times New Roman" w:hAnsi="Times New Roman"/>
          <w:sz w:val="18"/>
          <w:szCs w:val="18"/>
          <w:color w:val="auto"/>
        </w:rPr>
        <w:t xml:space="preserve"> The Company shall notify Holders (with a copy to the Trustee) of any such rescission as soon as practicable, and in no case less than five (5) business days immediately preceding the relevant Redemption Date, after the Company determines that such conditions precedent will not be able to be satisfied or the Company is not able or willing to waive such conditions precedent, in each case subject to policies and procedures of DTC (or any successor depositary). In any event, the Company shall provide written notice to Holders and the Trustee prior to the close of business on the fifth business day prior to the relevant Redemption Date if any such redemption has been rescinded or delayed. The Company may by five (5) business days (or such shorter period to which the Trustee may in its sole discretion agree) advance written notice to the Trustee (accompanied by an officer’s certificate to the Trustee’s satisfaction, and a copy of the written notice (prepared by the Company at its cost and expense) that such redemption has been rescinded or delayed) request that the Trustee provide such notice to each Holder of the Notes in the same manner in which the notice of redemption was given. Once notice of redemption is mailed or sent, subject to the satisfaction of any condition precedent provided in the notice of redemption, the Notes called for redemption will become due and payable on the Redemption Date and at the applicable redemption price as set forth in Section 3.01.</w:t>
      </w:r>
    </w:p>
    <w:p>
      <w:pPr>
        <w:spacing w:after="0" w:line="192" w:lineRule="exact"/>
        <w:rPr>
          <w:sz w:val="20"/>
          <w:szCs w:val="20"/>
          <w:color w:val="auto"/>
        </w:rPr>
      </w:pPr>
    </w:p>
    <w:p>
      <w:pPr>
        <w:jc w:val="both"/>
        <w:ind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i w:val="1"/>
          <w:iCs w:val="1"/>
          <w:color w:val="auto"/>
        </w:rPr>
        <w:t>No Other Redemption</w:t>
      </w:r>
      <w:r>
        <w:rPr>
          <w:rFonts w:ascii="Times New Roman" w:cs="Times New Roman" w:eastAsia="Times New Roman" w:hAnsi="Times New Roman"/>
          <w:sz w:val="17"/>
          <w:szCs w:val="17"/>
          <w:color w:val="auto"/>
        </w:rPr>
        <w:t>. Except as set forth in Section 3.01 and Section 3.02, the Notes shall not be redeemable by the Company prior to the applicable Maturity Date. The provisions of this Article 3 shall supersede any conflicting provisions contained in Article 11 of the Base Indenture.</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CONTROL TRIGGERING EVENT</w:t>
      </w:r>
    </w:p>
    <w:p>
      <w:pPr>
        <w:spacing w:after="0" w:line="20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(a) If a Change of Control Triggering Event occurs with respect to a series of Notes, unless the Company has exercised its right to redeem the Notes of such series, the Company shall make an offer (the “Change of Control Offer”) to repurchase all or, at the Holder’s option, any part (equal to $2,000 or any multiple of $1,000 in excess thereof) of each Holder’s Notes of such series at 101% of the aggregate principal amount thereof plus accrued and unpaid interest, if any, to, but not including, the date of purchase (the “Change of Control Purchase Price”) in accordance with the procedures set forth in this Section 4.01.</w:t>
      </w:r>
    </w:p>
    <w:p>
      <w:pPr>
        <w:spacing w:after="0" w:line="77" w:lineRule="exact"/>
        <w:rPr>
          <w:sz w:val="20"/>
          <w:szCs w:val="20"/>
          <w:color w:val="auto"/>
        </w:rPr>
      </w:pPr>
    </w:p>
    <w:p>
      <w:pPr>
        <w:ind w:firstLine="436"/>
        <w:spacing w:after="0" w:line="255"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make the Change of Control Offer by mailing, or causing to be mailed, a notice to all Holders of Notes of such series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8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payment date of the Change of Control Purchase Price as specified in the notice, the Company shall, to the extent lawful:</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Purchase Price in respect of all Notes or portions of Notes properly tendered and not withdrawn pursuant to the Change of Control Offer;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53" w:lineRule="exact"/>
        <w:rPr>
          <w:rFonts w:ascii="Times New Roman" w:cs="Times New Roman" w:eastAsia="Times New Roman" w:hAnsi="Times New Roman"/>
          <w:sz w:val="18"/>
          <w:szCs w:val="18"/>
          <w:color w:val="auto"/>
        </w:rPr>
      </w:pPr>
    </w:p>
    <w:p>
      <w:pPr>
        <w:ind w:right="280" w:firstLine="436"/>
        <w:spacing w:after="0" w:line="261"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spacing w:after="0" w:line="71"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52" w:name="page53"/>
    <w:bookmarkEnd w:id="52"/>
    <w:p>
      <w:pPr>
        <w:ind w:right="20" w:firstLine="436"/>
        <w:spacing w:after="0" w:line="282" w:lineRule="auto"/>
        <w:tabs>
          <w:tab w:leader="none" w:pos="6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spacing w:after="0" w:line="53"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securities laws or regulations conflicts with the offer provisions in respect of a Change of Control of the Notes, the Company will comply with those securities laws and regulations and will not be deemed to have breached its obligations under such offer provisions by virtue of any such conflict.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NOTES</w:t>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Form of Notes</w:t>
      </w:r>
      <w:r>
        <w:rPr>
          <w:rFonts w:ascii="Times New Roman" w:cs="Times New Roman" w:eastAsia="Times New Roman" w:hAnsi="Times New Roman"/>
          <w:sz w:val="18"/>
          <w:szCs w:val="18"/>
          <w:color w:val="auto"/>
        </w:rPr>
        <w:t>. The 2033 Notes and the Trustee’s Certificate of Authentication to be endorsed thereon are to be substantially in the forms attached as Exhibit A hereto, with such changes therein as the officers of the Company executing the Notes (by manual or facsimile signature) may approve, such approval to be conclusively evidenced by their execution thereof. The 2036 Notes and the Trustee’s Certificate of Authentication to be endorsed thereon are to be substantially in the forms attached as Exhibit B hereto, with such changes therein as the officers of the Company executing the Notes (by manual or facsimile signature) may approve, such approval to be conclusively evidenced by their execution thereof.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ORIGINAL ISSUE OF NOTES</w:t>
      </w:r>
    </w:p>
    <w:p>
      <w:pPr>
        <w:spacing w:after="0" w:line="20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Original Issue of Notes</w:t>
      </w:r>
      <w:r>
        <w:rPr>
          <w:rFonts w:ascii="Times New Roman" w:cs="Times New Roman" w:eastAsia="Times New Roman" w:hAnsi="Times New Roman"/>
          <w:sz w:val="18"/>
          <w:szCs w:val="18"/>
          <w:color w:val="auto"/>
        </w:rPr>
        <w:t>. 2033 Notes having an aggregate principal amount of $500,000,000 and 2036 Notes having an aggregate principal amount of $500,000,000 (subject to provisions of the Base Indenture with respect to authentication and delivery of additional Notes in accordance with Section 3.01 of the Base Indenture and upon registration of transfer of, or in exchange for, or in lieu of, other Notes) may from time to time, upon execution of this Supplemental Indenture No. 5, be executed by the Company and delivered to the Trustee for authentication, and the Trustee shall thereupon authenticate and deliver said Notes to or upon the written order of the Company pursuant to Section 3.03 of the Base Indenture without any further action by the Company (other than as required by the Base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Ratification of Indenture</w:t>
      </w:r>
      <w:r>
        <w:rPr>
          <w:rFonts w:ascii="Times New Roman" w:cs="Times New Roman" w:eastAsia="Times New Roman" w:hAnsi="Times New Roman"/>
          <w:sz w:val="18"/>
          <w:szCs w:val="18"/>
          <w:color w:val="auto"/>
        </w:rPr>
        <w:t>. The Base Indenture, as supplemented by this Supplemental Indenture No. 5, is in all respects ratified and confirmed, and this Supplemental Indenture No. 5 shall be deemed part of the Base Indenture in the manner and to the extent herein and therein provided. All provisions included in this Supplemental Indenture No. 5 supersede any conflicting provisions included in the Base Indenture unless not permitted by law.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3" w:name="page54"/>
    <w:bookmarkEnd w:id="53"/>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Times New Roman" w:cs="Times New Roman" w:eastAsia="Times New Roman" w:hAnsi="Times New Roman"/>
          <w:sz w:val="18"/>
          <w:szCs w:val="18"/>
          <w:i w:val="1"/>
          <w:iCs w:val="1"/>
          <w:color w:val="auto"/>
        </w:rPr>
        <w:t>Trustee Not Responsible for Recitals</w:t>
      </w:r>
      <w:r>
        <w:rPr>
          <w:rFonts w:ascii="Times New Roman" w:cs="Times New Roman" w:eastAsia="Times New Roman" w:hAnsi="Times New Roman"/>
          <w:sz w:val="18"/>
          <w:szCs w:val="18"/>
          <w:color w:val="auto"/>
        </w:rPr>
        <w:t>. The recitals contained herein shall be taken as statements of the Company and the Trustee assumes no responsibility for their correctness. The Trustee makes no representations as to the validity or sufficiency of this Supplemental Indenture No. 5 or any of the terms or provisions hereof. The Trustee shall not be accountable for the use or application by the Company of the Notes or the proceeds thereof. The Trustee accepts the amendments of the Base Indenture effected by this Supplemental Indenture, but on the terms and conditions set forth in the Base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proper authorization hereof by the Company by action or otherwise, (ii) the due execution hereof by the Company or (iii) the consequences of any amendment herein provided for, and the Trustee makes no representation with respect to any such matters.</w:t>
      </w:r>
    </w:p>
    <w:p>
      <w:pPr>
        <w:spacing w:after="0" w:line="188" w:lineRule="exact"/>
        <w:rPr>
          <w:sz w:val="20"/>
          <w:szCs w:val="20"/>
          <w:color w:val="auto"/>
        </w:rPr>
      </w:pPr>
    </w:p>
    <w:p>
      <w:pPr>
        <w:ind w:right="7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NO. 5 AND EACH NOTE SHALL BE GOVERNED BY AND CONSTRUED IN ACCORDANCE WITH THE LAWS OF THE STATE OF NEW YORK.</w:t>
      </w:r>
    </w:p>
    <w:p>
      <w:pPr>
        <w:spacing w:after="0" w:line="158"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this Supplemental Indenture No. 5 or in the Notes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Supplemental Indenture No. 5 may be executed in any number of counterparts each of which, when so executed, shall be deemed to be an original, but all of which shall together constitute but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Facsimile, documents executed, scanned and transmitted electronically and electronic signatures, including those created or transmitted through a software platform or application, shall be deemed original signatures for purposes of this Supplemental Indenture No. 5 and all other related documents and all matters and agreements related thereto, with such facsimile, scanned and electronic signatures having the same legal effect as original signatures. The parties agree that this Supplemental Indenture No. 5 or any other related document or any instrument, agreement or document necessary for the consummation of the transactions contemplated by this Supplemental Indenture No. 5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68" w:right="519" w:bottom="1440" w:gutter="0" w:footer="0" w:header="0"/>
        </w:sectPr>
      </w:pPr>
    </w:p>
    <w:bookmarkStart w:id="54" w:name="page55"/>
    <w:bookmarkEnd w:id="5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55" w:name="page56"/>
    <w:bookmarkEnd w:id="5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No. 5 to be duly executed as of the day and year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XYLEM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Peterson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Chief</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  Tax Officer, and Treasurer</w:t>
      </w:r>
    </w:p>
    <w:p>
      <w:pPr>
        <w:spacing w:after="0" w:line="2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0"/>
          </w:cols>
          <w:pgMar w:left="440" w:top="270" w:right="939" w:bottom="1440" w:gutter="0" w:footer="0" w:header="0"/>
        </w:sectPr>
      </w:pPr>
    </w:p>
    <w:bookmarkStart w:id="56" w:name="page57"/>
    <w:bookmarkEnd w:id="5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Arian Kalaba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Arian Kalaba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Bono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660"/>
          </w:cols>
          <w:pgMar w:left="1440" w:top="270" w:right="7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THE DEPOSITARY OR A NOMINEE OF THE DEPOSITARY. THIS NOTE IS EXCHANGEABLE FOR SECURITIES REGISTERED IN THE NAME OF A PERSON OTHER THAN THE DEPOSITARY OR A NOMINEE OF THE DEPOSITARY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NEW YORK, NEW YORK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XYLEM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5.200% Senior Notes due 2033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 1</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98419M AN0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US98419MAN02</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XYLEM INC., a corporation organized and existing under the laws of Indiana (hereinafter called the “Company”, which term includes any successor corporation under the Indenture hereinafter referred to), for value received, hereby promises to pay to Cede &amp; Co. as nominee of the Depository Trust Company, the principal sum of $500,000,000, or such other amount as indicated on the Schedule of Increases or Decreases In Note attached hereto, on June 1, 2033 (such date is hereinafter referred to as the “Maturity Date”), and to pay interest at a rate of 5.200% per annum from May 29, 2026, or from the most recent date to which interest has been paid or provided for, payable semi-annually in arrears on June 1 and December 1 of each year (each, an “Interest Payment Date”), commencing on December 1, 2026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58" w:name="page59"/>
    <w:bookmarkEnd w:id="5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0"/>
          </w:cols>
          <w:pgMar w:left="440" w:top="270" w:right="49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XYLEM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Peterson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Chief</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  Tax Officer, and Treasurer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Kelly C. O’Shea</w:t>
      </w:r>
    </w:p>
    <w:p>
      <w:pPr>
        <w:spacing w:after="0" w:line="27"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8"/>
          <w:szCs w:val="18"/>
          <w:color w:val="auto"/>
        </w:rPr>
        <w:t>Title: VP, Chief Corporate Counsel</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  and Corporate Secretary</w:t>
      </w:r>
    </w:p>
    <w:p>
      <w:pPr>
        <w:spacing w:after="0" w:line="21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19"/>
          </w:cols>
          <w:pgMar w:left="440" w:top="270" w:right="1440" w:bottom="1440" w:gutter="0" w:footer="0" w:header="0"/>
        </w:sectPr>
      </w:pPr>
    </w:p>
    <w:bookmarkStart w:id="60" w:name="page61"/>
    <w:bookmarkEnd w:id="60"/>
    <w:p>
      <w:pPr>
        <w:ind w:left="3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is one of the Securities of the series designated therein referred to in the within-mentioned Indenture.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66"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Note is one of a duly authorized issue of securities of the Company (herein called the “Notes”), issued and to be issued in one or more series under an Indenture (the “Original Indenture”), dated as of March 11, 2016, between the Company and Deutsche Bank Trust Company Americas, as Trustee (herein called the “Trustee”, which term includes any successor trustee), as amended and supplemented by Supplemental Indenture No. 1, dated as of March 11, 2016, between the Company and the Trustee (“Supplemental Indenture No. 1”; the Original Indenture, as so amended and supplemented, the “Base Indenture”) and as further supplemented by Supplemental Indenture No. 5, dated as of May 29, 2026, between the Company and the Trustee (“Supplemental Indenture No. 5”; the Base Indenture as so further supplemented, the “Indenture”), to which Indenture reference is hereby made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$500,000,000.</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Note that are defined in the Indenture shall have the meaning assigned to them in the Indenture.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Principal of, premium, if any, and interest on the Notes will be payable at the office of the Paying Agent or, at the Company’s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 of The Depository Trust Company, New York, New York (“DTC”) will be made through the facilities of the common depositary.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Paying Agent, transfer agent and Security Registrar with respect to the Notes shall initially be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shall be issuable in minimum denominations of $2,000 and integral multiples of $1,000 in excess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of this series are not entitled to the benefit of any sinking fund.</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Prior to April 1, 2033, the Company may redeem the Notes at its option, in whole or in part, at any time and from time to time, at a redemption price (expressed as a percentage of principal amount and rounded to three decimal places) equal to the greater of:</w:t>
      </w:r>
    </w:p>
    <w:p>
      <w:pPr>
        <w:spacing w:after="0" w:line="54" w:lineRule="exact"/>
        <w:rPr>
          <w:sz w:val="20"/>
          <w:szCs w:val="20"/>
          <w:color w:val="auto"/>
        </w:rPr>
      </w:pPr>
    </w:p>
    <w:p>
      <w:pPr>
        <w:ind w:left="440" w:right="100" w:hanging="4"/>
        <w:spacing w:after="0" w:line="266"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discounted to the Redemption Date (assuming the Notes matured on April 1, 2033) on a semi-annual basis (assuming a 360-day year consisting of twelve 30-day months) at the Treasury Rate plus 15 basis points less (b) interest accrued and unpaid to the Redemption Date, and</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66" w:right="459" w:bottom="1440" w:gutter="0" w:footer="0" w:header="0"/>
        </w:sectPr>
      </w:pPr>
    </w:p>
    <w:bookmarkStart w:id="62" w:name="page63"/>
    <w:bookmarkEnd w:id="6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after April 1, 2033,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right to redeem the Notes, the Company shall make an offer (the “Change of Control Offer”) to repurchase all or, at the Holder’s option, any part (equal to $2,000 or any multiple of $1,000 in excess thereof) of each Holder’s Notes at 101% of the aggregate principal amount thereof plus accrued and unpaid interest, if any, to, but not including, the date of purchase (the “Change of Control Purchase Price”) in accordance with the procedures set forth herein and in Supplemental Indenture No. 5.</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make the Change of Control Offer by mailing, or causing to be mailed, a notice to all Holders of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payment date of the Change of Control Purchase Price as specified in the notice, the Company shall, to the extent lawful:</w:t>
      </w:r>
    </w:p>
    <w:p>
      <w:pPr>
        <w:spacing w:after="0" w:line="117" w:lineRule="exact"/>
        <w:rPr>
          <w:sz w:val="20"/>
          <w:szCs w:val="20"/>
          <w:color w:val="auto"/>
        </w:rPr>
      </w:pPr>
    </w:p>
    <w:p>
      <w:pPr>
        <w:ind w:left="1080" w:hanging="221"/>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Purchase Price in respect of all Notes or portions of Notes properly tendered and not withdrawn pursuant to the Change of Control Offer;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2"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70" w:right="459" w:bottom="1440" w:gutter="0" w:footer="0" w:header="0"/>
        </w:sectPr>
      </w:pPr>
    </w:p>
    <w:bookmarkStart w:id="63" w:name="page64"/>
    <w:bookmarkEnd w:id="63"/>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of the obligations of the Company at any time upon compliance by the Company with certain conditions set forth therein, which provisions apply to the Notes of this series.</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principal amount of the Notes of each series affected thereby and at the time Outstanding. The Indenture also contains provisions permitting the Holders of specified percentages in principal amount of the Notes of a series at the time Outstanding, on behalf of the Holders of all Notes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of authorized denominations and for the same aggregate principal amount, will be issued to the designated transferee or transferees.</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that may be imposed in connection with any transfer or exchange of Securities, other than exchanges pursuant to Sections 3.04, 3.06, 9.06 and 11.07 of the Base Indenture.</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and except as provided for in the Indenture,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80"/>
          </w:cols>
          <w:pgMar w:left="440" w:top="270" w:right="479" w:bottom="1440" w:gutter="0" w:footer="0" w:header="0"/>
        </w:sectPr>
      </w:pPr>
    </w:p>
    <w:bookmarkStart w:id="64" w:name="page65"/>
    <w:bookmarkEnd w:id="6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of this series are issuable in minimum denominations of $2,000 and integral multiples of $1,000 in excess thereof. As provided in the Indenture and subject to certain limitations therein set forth, Notes of this series are exchangeable for a like aggregate principal amount of Notes of this series of a different authorized denomination, as requested by the Holder surrendering the same.</w:t>
      </w:r>
    </w:p>
    <w:p>
      <w:pPr>
        <w:spacing w:after="0" w:line="176"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 A-8</w:t>
      </w:r>
    </w:p>
    <w:p>
      <w:pPr>
        <w:sectPr>
          <w:pgSz w:w="11900" w:h="16838" w:orient="portrait"/>
          <w:cols w:equalWidth="0" w:num="1">
            <w:col w:w="10880"/>
          </w:cols>
          <w:pgMar w:left="440" w:top="270" w:right="579" w:bottom="1440" w:gutter="0" w:footer="0" w:header="0"/>
        </w:sectPr>
      </w:pPr>
    </w:p>
    <w:bookmarkStart w:id="65" w:name="page66"/>
    <w:bookmarkEnd w:id="65"/>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assigns and transfers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assignee’s 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737235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 and zip code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999"/>
        <w:spacing w:after="0" w:line="516" w:lineRule="auto"/>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 or her. Date: ______________</w:t>
      </w:r>
    </w:p>
    <w:p>
      <w:pPr>
        <w:spacing w:after="0" w:line="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Signature</w:t>
        <w:tab/>
        <w:t> </w:t>
      </w:r>
    </w:p>
    <w:p>
      <w:pPr>
        <w:spacing w:after="0" w:line="27"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Guarantee</w:t>
      </w:r>
      <w:r>
        <w:rPr>
          <w:sz w:val="20"/>
          <w:szCs w:val="20"/>
          <w:color w:val="auto"/>
        </w:rPr>
        <w:tab/>
      </w: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5715</wp:posOffset>
            </wp:positionV>
            <wp:extent cx="22288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019"/>
          </w:cols>
          <w:pgMar w:left="440" w:top="266"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GUARANTEE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Securities Exchange Act of 1934, as amended.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00"/>
          </w:cols>
          <w:pgMar w:left="440" w:top="270" w:right="4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NOTE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initial principal amount of this Note is $500,000,000. The following increases or decreases in the principal amount of this Note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0"/>
          </w:cols>
          <w:pgMar w:left="440" w:top="266" w:right="4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THE DEPOSITARY OR A NOMINEE OF THE DEPOSITARY. THIS NOTE IS EXCHANGEABLE FOR SECURITIES REGISTERED IN THE NAME OF A PERSON OTHER THAN THE DEPOSITARY OR A NOMINEE OF THE DEPOSITARY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NEW YORK, NEW YORK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XYLEM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5.450% Senior Notes due 2036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No.1</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98419M AP5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US98419MAP59</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XYLEM INC., a corporation organized and existing under the laws of Indiana (hereinafter called the “Company”, which term includes any successor corporation under the Indenture hereinafter referred to), for value received, hereby promises to pay to Cede &amp; Co. as nominee of the Depository Trust Company, the principal sum of $500,000,000, or such other amount as indicated on the Schedule of Increases or Decreases In Note attached hereto, on June 1, 2036 (such date is hereinafter referred to as the “Maturity Date”), and to pay interest at a rate of 5.450% per annum from May 29, 2026, or from the most recent date to which interest has been paid or provided for, payable semi-annually in arrears on June 1 and December 1 of each year (each, an “Interest Payment Date”), commencing on December 1, 2026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66" w:right="439" w:bottom="1440" w:gutter="0" w:footer="0" w:header="0"/>
        </w:sectPr>
      </w:pPr>
    </w:p>
    <w:bookmarkStart w:id="69" w:name="page70"/>
    <w:bookmarkEnd w:id="69"/>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60"/>
          </w:cols>
          <w:pgMar w:left="440" w:top="270" w:right="49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XYLEM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is one of the Securities of the series designated therein referred to in the within-mentioned Indenture.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019"/>
          </w:cols>
          <w:pgMar w:left="440" w:top="270"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Note is one of a duly authorized issue of securities of the Company (herein called the “Notes”), issued and to be issued in one or more series under an Indenture (the “Original Indenture”), dated as of March 11, 2016, between the Company and Deutsche Bank Trust Company Americas, as Trustee (herein called the “Trustee”, which term includes any successor trustee), as amended and supplemented by Supplemental Indenture No. 1, dated as of March 11, 2016, between the Company and the Trustee (“Supplemental Indenture No. 1”; the Original Indenture, as so amended and supplemented, the “Base Indenture”) and as further supplemented by Supplemental Indenture No. 5, dated as of May 29, 2026, between the Company and the Trustee (“Supplemental Indenture No. 5”; the Base Indenture as so further supplemented, the “Indenture”), to which Indenture reference is hereby made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$500,000,000.</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Note that are defined in the Indenture shall have the meaning assigned to them in the Indenture.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Principal of, premium, if any, and interest on the Notes will be payable at the office of the Paying Agent or, at the Company’s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 of The Depository Trust Company, New York, New York (“DTC”) will be made through the facilities of the common depositary.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Paying Agent, transfer agent and Security Registrar with respect to the Notes shall initially be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shall be issuable in minimum denominations of $2,000 and integral multiples of $1,000 in excess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of this series are not entitled to the benefit of any sinking fund.</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Prior to March 1, 2036, the Company may redeem the Notes at its option, in whole or in part, at any time and from time to time, at a redemption price (expressed as a percentage of principal amount and rounded to three decimal places) equal to the greater of:</w:t>
      </w:r>
    </w:p>
    <w:p>
      <w:pPr>
        <w:spacing w:after="0" w:line="54" w:lineRule="exact"/>
        <w:rPr>
          <w:sz w:val="20"/>
          <w:szCs w:val="20"/>
          <w:color w:val="auto"/>
        </w:rPr>
      </w:pPr>
    </w:p>
    <w:p>
      <w:pPr>
        <w:ind w:left="440" w:hanging="4"/>
        <w:spacing w:after="0" w:line="26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discounted to the Redemption Date (assuming the Notes matured on March 1, 2036) on a semi-annual basis (assuming a 360-day year consisting of twelve 30-day months) at the Treasury Rate plus 15 basis points less (b) interest accrued and unpaid to the Redemption Date, and</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00"/>
          </w:cols>
          <w:pgMar w:left="440" w:top="266" w:right="459" w:bottom="1440" w:gutter="0" w:footer="0" w:header="0"/>
        </w:sectPr>
      </w:pPr>
    </w:p>
    <w:bookmarkStart w:id="72" w:name="page73"/>
    <w:bookmarkEnd w:id="7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after March 1, 2036,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right to redeem the Notes, the Company shall make an offer (the “Change of Control Offer”) to repurchase all or, at the Holder’s option, any part (equal to $2,000 or any multiple of $1,000 in excess thereof) of each Holder’s Notes at 101% of the aggregate principal amount thereof plus accrued and unpaid interest, if any, to, but not including, the date of purchase (the “Change of Control Purchase Price”) in accordance with the procedures set forth herein and in Supplemental Indenture No. 5.</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make the Change of Control Offer by mailing, or causing to be mailed, a notice to all Holders of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payment date of the Change of Control Purchase Price as specified in the notice, the Company shall, to the extent lawful:</w:t>
      </w:r>
    </w:p>
    <w:p>
      <w:pPr>
        <w:spacing w:after="0" w:line="117" w:lineRule="exact"/>
        <w:rPr>
          <w:sz w:val="20"/>
          <w:szCs w:val="20"/>
          <w:color w:val="auto"/>
        </w:rPr>
      </w:pPr>
    </w:p>
    <w:p>
      <w:pPr>
        <w:ind w:left="1080" w:hanging="221"/>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Purchase Price in respect of all Notes or portions of Notes properly tendered and not withdrawn pursuant to the Change of Control Offer;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2"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00"/>
          </w:cols>
          <w:pgMar w:left="440" w:top="270" w:right="459" w:bottom="1440" w:gutter="0" w:footer="0" w:header="0"/>
        </w:sectPr>
      </w:pPr>
    </w:p>
    <w:bookmarkStart w:id="73" w:name="page74"/>
    <w:bookmarkEnd w:id="73"/>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of the obligations of the Company at any time upon compliance by the Company with certain conditions set forth therein, which provisions apply to the Notes of this series.</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principal amount of the Notes of each series affected thereby and at the time Outstanding. The Indenture also contains provisions permitting the Holders of specified percentages in principal amount of the Notes of a series at the time Outstanding, on behalf of the Holders of all Notes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of authorized denominations and for the same aggregate principal amount, will be issued to the designated transferee or transferees.</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that may be imposed in connection with any transfer or exchange of Securities, other than exchanges pursuant to Sections 3.04, 3.06, 9.06 and 11.07 of the Base Indenture.</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and except as provided for in the Indenture,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980"/>
          </w:cols>
          <w:pgMar w:left="440" w:top="270" w:right="479" w:bottom="1440" w:gutter="0" w:footer="0" w:header="0"/>
        </w:sectPr>
      </w:pPr>
    </w:p>
    <w:bookmarkStart w:id="74" w:name="page75"/>
    <w:bookmarkEnd w:id="7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of this series are issuable in minimum denominations of $2,000 and integral multiples of $1,000 in excess thereof. As provided in the Indenture and subject to certain limitations therein set forth, Notes of this series are exchangeable for a like aggregate principal amount of Notes of this series of a different authorized denomination, as requested by the Holder surrendering the same.</w:t>
      </w:r>
    </w:p>
    <w:p>
      <w:pPr>
        <w:spacing w:after="0" w:line="176"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 B-7</w:t>
      </w:r>
    </w:p>
    <w:p>
      <w:pPr>
        <w:sectPr>
          <w:pgSz w:w="11900" w:h="16838" w:orient="portrait"/>
          <w:cols w:equalWidth="0" w:num="1">
            <w:col w:w="10880"/>
          </w:cols>
          <w:pgMar w:left="440" w:top="270" w:right="579" w:bottom="1440" w:gutter="0" w:footer="0" w:header="0"/>
        </w:sectPr>
      </w:pPr>
    </w:p>
    <w:bookmarkStart w:id="75" w:name="page76"/>
    <w:bookmarkEnd w:id="75"/>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assigns and transfers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assignee’s 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737235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 and zip code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999"/>
        <w:spacing w:after="0" w:line="516" w:lineRule="auto"/>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 or her. Date: ______________</w:t>
      </w:r>
    </w:p>
    <w:p>
      <w:pPr>
        <w:spacing w:after="0" w:line="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Signature</w:t>
        <w:tab/>
        <w:t> </w:t>
      </w:r>
    </w:p>
    <w:p>
      <w:pPr>
        <w:spacing w:after="0" w:line="27"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Guarantee</w:t>
      </w:r>
      <w:r>
        <w:rPr>
          <w:sz w:val="20"/>
          <w:szCs w:val="20"/>
          <w:color w:val="auto"/>
        </w:rPr>
        <w:tab/>
      </w: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5715</wp:posOffset>
            </wp:positionV>
            <wp:extent cx="22288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0019"/>
          </w:cols>
          <w:pgMar w:left="440" w:top="266"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GUARANTEE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Securities Exchange Act of 1934, as amended.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000"/>
          </w:cols>
          <w:pgMar w:left="440" w:top="270" w:right="4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NOTE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initial principal amount of this Note is $500,000,000. The following increases or decreases in the principal amount of this Note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020"/>
          </w:cols>
          <w:pgMar w:left="440" w:top="266" w:right="4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85950" cy="334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Xylem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Water Street 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20003</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Xylem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Registration Statement on Form S-3 (File No. 333-273653)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acted as counsel to Xylem Inc., an Indiana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S-3, file no. 333-273653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included therein, the preliminary prospectus supplement, dated May 19, 2026, filed with the Commission on May 19, 2026 pursuant to Rule 424(b) of the Securities Act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the final prospectus supplement, dated May 19, 2026 filed with the Commission on May 22, 2026 pursuant to Rule 424(b) of the Securities Act (the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collectively with the Preliminary Prospectus Supplement,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the offering by the Company pursuant thereto of $500,000,000 principal amount of the Company’s 5.200% Senior Blue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and $500,000,000 principal amount of the Company’s 5.450% Senior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together with the 2033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Notes have been issued pursuant to the Indenture, dated as of March 11, 2016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Deutsche Bank Trust Company Americas, as trustee (the “Trustee”), as modified by the Supplemental Indenture No. 1, dated March 11, 2016 (the “</w:t>
      </w:r>
      <w:r>
        <w:rPr>
          <w:rFonts w:ascii="Times New Roman" w:cs="Times New Roman" w:eastAsia="Times New Roman" w:hAnsi="Times New Roman"/>
          <w:sz w:val="18"/>
          <w:szCs w:val="18"/>
          <w:u w:val="single" w:color="auto"/>
          <w:color w:val="auto"/>
        </w:rPr>
        <w:t>First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as further modified in respect of the Notes by the Supplemental Indenture No. 5, dated May 29, 2026, relating to the Notes (the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and the First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Trustee.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originals, or copies certified or otherwise identified to our satisfaction as being true and complete copies of the originals, of the Base Indenture, the First Supplemental Indenture, the Fifth Supplemental Indenture, and the Notes and such other documents, corporate records, certificates of officers of the Company and of public officials and other instruments as we have deemed necessary or advisable to enable us to render this opinion.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this opinion, we have relied to the extent we deemed appropriate and without independent investigation upon statements and representations of officers and other representatives of the Company and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 | New York, NY 10166-0193 | T: 212.351.4000 | F: 212.351.4035 | gibsondunn.com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103970035.8</w:t>
      </w:r>
    </w:p>
    <w:p>
      <w:pPr>
        <w:sectPr>
          <w:pgSz w:w="11900" w:h="16838" w:orient="portrait"/>
          <w:cols w:equalWidth="0" w:num="1">
            <w:col w:w="11020"/>
          </w:cols>
          <w:pgMar w:left="440" w:top="117"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85950" cy="3346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885950" cy="334645"/>
                    </a:xfrm>
                    <a:prstGeom prst="rect">
                      <a:avLst/>
                    </a:prstGeom>
                    <a:noFill/>
                  </pic:spPr>
                </pic:pic>
              </a:graphicData>
            </a:graphic>
          </wp:anchor>
        </w:drawing>
        <w:t>Xylem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set forth herein, we are of the opinion that, assuming the Company is validly existing and has all requisite power to execute, deliver and perform its obligations under, and has duly executed and delivered, the Base Indenture, the First Supplemental Indenture and the Fifth Supplemental Indenture and the certificates evidencing the global Notes (collectively, the “</w:t>
      </w:r>
      <w:r>
        <w:rPr>
          <w:rFonts w:ascii="Times New Roman" w:cs="Times New Roman" w:eastAsia="Times New Roman" w:hAnsi="Times New Roman"/>
          <w:sz w:val="18"/>
          <w:szCs w:val="18"/>
          <w:u w:val="single" w:color="auto"/>
          <w:color w:val="auto"/>
        </w:rPr>
        <w:t>Specified Note Documents</w:t>
      </w:r>
      <w:r>
        <w:rPr>
          <w:rFonts w:ascii="Times New Roman" w:cs="Times New Roman" w:eastAsia="Times New Roman" w:hAnsi="Times New Roman"/>
          <w:sz w:val="18"/>
          <w:szCs w:val="18"/>
          <w:color w:val="auto"/>
        </w:rPr>
        <w:t>”), and the Trustee has duly authorized and validly executed and delivered the Specified Note Documents, and the Notes have been authenticated in accordance with the terms of the Indenture, the Notes are legal, valid and binding obligations of the Company, enforceable against the Company in accordance with their respective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expressed above is subject to the following additional exceptions, qualifications, limitations and assumptions:</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 The opinion above is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C. 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due to the negligence or willful misconduct of the indemnified party, (iii) any waiver of the right to jury trial or (iv) any provision to the effect that every right or remedy is cumulative and may be exercised in addition to any other right or remedy or that the election of some particular remedy does not preclude recourse to one or more others.</w:t>
      </w:r>
    </w:p>
    <w:p>
      <w:pPr>
        <w:sectPr>
          <w:pgSz w:w="11900" w:h="16838" w:orient="portrait"/>
          <w:cols w:equalWidth="0" w:num="1">
            <w:col w:w="10980"/>
          </w:cols>
          <w:pgMar w:left="440" w:top="101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85950" cy="3346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334645"/>
                    </a:xfrm>
                    <a:prstGeom prst="rect">
                      <a:avLst/>
                    </a:prstGeom>
                    <a:noFill/>
                  </pic:spPr>
                </pic:pic>
              </a:graphicData>
            </a:graphic>
          </wp:anchor>
        </w:drawing>
        <w:t>Xylem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“Legal Matters” and “Legal Matters”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ectPr>
          <w:pgSz w:w="11900" w:h="16838" w:orient="portrait"/>
          <w:cols w:equalWidth="0" w:num="1">
            <w:col w:w="10780"/>
          </w:cols>
          <w:pgMar w:left="440" w:top="1012" w:right="6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6"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11 S. Meridian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19810" cy="488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line="7"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Indianapolis, IN 46204-3535 U.S.A.</w:t>
      </w:r>
    </w:p>
    <w:p>
      <w:pPr>
        <w:spacing w:after="0" w:line="9"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(317) 236-1313</w:t>
      </w:r>
    </w:p>
    <w:p>
      <w:pPr>
        <w:spacing w:after="0" w:line="9"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Fax (317) 231-7433</w:t>
      </w:r>
    </w:p>
    <w:p>
      <w:pPr>
        <w:spacing w:after="0" w:line="112"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18"/>
          <w:szCs w:val="18"/>
          <w:color w:val="auto"/>
        </w:rPr>
        <w:t>www.btlaw.com</w:t>
      </w:r>
    </w:p>
    <w:p>
      <w:pPr>
        <w:spacing w:after="0" w:line="225" w:lineRule="exact"/>
        <w:rPr>
          <w:sz w:val="20"/>
          <w:szCs w:val="20"/>
          <w:color w:val="auto"/>
        </w:rPr>
      </w:pPr>
    </w:p>
    <w:p>
      <w:pPr>
        <w:ind w:left="10004"/>
        <w:spacing w:after="0"/>
        <w:rPr>
          <w:sz w:val="20"/>
          <w:szCs w:val="20"/>
          <w:color w:val="auto"/>
        </w:rPr>
      </w:pPr>
      <w:r>
        <w:rPr>
          <w:rFonts w:ascii="Times New Roman" w:cs="Times New Roman" w:eastAsia="Times New Roman" w:hAnsi="Times New Roman"/>
          <w:sz w:val="18"/>
          <w:szCs w:val="18"/>
          <w:color w:val="auto"/>
        </w:rPr>
        <w:t>May 29,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Xylem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301 Water Street, 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20003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special Indiana counsel to Xylem Inc.,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of $500,000,000 aggregate principal amount of its 5.200% Senior Notes due 2033 and $500,000,000 aggregate principal amount of its 5.450% Senior Blue Notes due 2036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to be issued pursuant to the Registration Statement on Form S-3 (File No. 333-273653) originally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August 3, 2023 and which became effectively automatically upon filing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related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the preliminary prospectus supplement thereto dated May 19, 2026 filed with the Commission on that same date pursuant to Rule 424(b) of the Securities Act (the “</w:t>
      </w:r>
      <w:r>
        <w:rPr>
          <w:rFonts w:ascii="Times New Roman" w:cs="Times New Roman" w:eastAsia="Times New Roman" w:hAnsi="Times New Roman"/>
          <w:sz w:val="18"/>
          <w:szCs w:val="18"/>
          <w:b w:val="1"/>
          <w:bCs w:val="1"/>
          <w:i w:val="1"/>
          <w:iCs w:val="1"/>
          <w:color w:val="auto"/>
        </w:rPr>
        <w:t>Preliminary Prospectus Supplement</w:t>
      </w:r>
      <w:r>
        <w:rPr>
          <w:rFonts w:ascii="Times New Roman" w:cs="Times New Roman" w:eastAsia="Times New Roman" w:hAnsi="Times New Roman"/>
          <w:sz w:val="18"/>
          <w:szCs w:val="18"/>
          <w:color w:val="auto"/>
        </w:rPr>
        <w:t>”), and the final prospectus supplement thereto dated May 19, 2026 filed with the Commission on May 22, 2026 pursuant to Rule 424(b) of the Securities Act (the “</w:t>
      </w:r>
      <w:r>
        <w:rPr>
          <w:rFonts w:ascii="Times New Roman" w:cs="Times New Roman" w:eastAsia="Times New Roman" w:hAnsi="Times New Roman"/>
          <w:sz w:val="18"/>
          <w:szCs w:val="18"/>
          <w:b w:val="1"/>
          <w:bCs w:val="1"/>
          <w:i w:val="1"/>
          <w:iCs w:val="1"/>
          <w:color w:val="auto"/>
        </w:rPr>
        <w:t>Final Prospectus Supplement</w:t>
      </w:r>
      <w:r>
        <w:rPr>
          <w:rFonts w:ascii="Times New Roman" w:cs="Times New Roman" w:eastAsia="Times New Roman" w:hAnsi="Times New Roman"/>
          <w:sz w:val="18"/>
          <w:szCs w:val="18"/>
          <w:color w:val="auto"/>
        </w:rPr>
        <w:t>,” and collectively with the Preliminary Prospectus Supplement,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Base Prospectus and the Prospectus Supplement are collectively referred to herein as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are to be issued by the Company pursuant 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dated as of May 19, 2026, by and among the Company and the several underwriters listed in Schedule 1 to the Underwriting Agreement, for whom BNP Paribas Securities Corp., Citigroup Global Markets Inc., ING Financial Markets LLC, J.P. Morgan Securities LLC, and Wells Fargo Securities, LLC are acting as representatives, and an Indenture dated as of March 11, 2016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between the Company and Deutsche Bank Trust Company Americas, as indenture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supplemented by the First Supplemental Indenture dated as of March 11, 2016 (the “</w:t>
      </w:r>
      <w:r>
        <w:rPr>
          <w:rFonts w:ascii="Times New Roman" w:cs="Times New Roman" w:eastAsia="Times New Roman" w:hAnsi="Times New Roman"/>
          <w:sz w:val="18"/>
          <w:szCs w:val="18"/>
          <w:b w:val="1"/>
          <w:bCs w:val="1"/>
          <w:i w:val="1"/>
          <w:iCs w:val="1"/>
          <w:color w:val="auto"/>
        </w:rPr>
        <w:t>First Supplemental Indenture</w:t>
      </w:r>
      <w:r>
        <w:rPr>
          <w:rFonts w:ascii="Times New Roman" w:cs="Times New Roman" w:eastAsia="Times New Roman" w:hAnsi="Times New Roman"/>
          <w:sz w:val="18"/>
          <w:szCs w:val="18"/>
          <w:color w:val="auto"/>
        </w:rPr>
        <w:t>”), and the Fifth Supplemental Indenture dated as of May 29, 2026 (the “</w:t>
      </w:r>
      <w:r>
        <w:rPr>
          <w:rFonts w:ascii="Times New Roman" w:cs="Times New Roman" w:eastAsia="Times New Roman" w:hAnsi="Times New Roman"/>
          <w:sz w:val="18"/>
          <w:szCs w:val="18"/>
          <w:b w:val="1"/>
          <w:bCs w:val="1"/>
          <w:i w:val="1"/>
          <w:iCs w:val="1"/>
          <w:color w:val="auto"/>
        </w:rPr>
        <w:t>Fifth Supplemental Indenture</w:t>
      </w:r>
      <w:r>
        <w:rPr>
          <w:rFonts w:ascii="Times New Roman" w:cs="Times New Roman" w:eastAsia="Times New Roman" w:hAnsi="Times New Roman"/>
          <w:sz w:val="18"/>
          <w:szCs w:val="18"/>
          <w:color w:val="auto"/>
        </w:rPr>
        <w:t>, and collectively with the Base Indenture and the First Supplemental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the Trustee, establishing the terms of the Notes.</w:t>
      </w:r>
    </w:p>
    <w:p>
      <w:pPr>
        <w:spacing w:after="0" w:line="187"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In rendering the opinions set forth below, we have examined and relied upon copies, certified or otherwise identified to our satisfaction, of such documents and records of the Company and such statutes, regulations, and other instruments as we deemed necessary or advisable for purposes of the opinions expressed herein, including (i) the Registration Statement; (ii) the Prospectus; (iii) the Underwriting Agreement, Indenture, and the certificates evidencing the global Notes (collectively, the “</w:t>
      </w:r>
      <w:r>
        <w:rPr>
          <w:rFonts w:ascii="Times New Roman" w:cs="Times New Roman" w:eastAsia="Times New Roman" w:hAnsi="Times New Roman"/>
          <w:sz w:val="17"/>
          <w:szCs w:val="17"/>
          <w:b w:val="1"/>
          <w:bCs w:val="1"/>
          <w:i w:val="1"/>
          <w:iCs w:val="1"/>
          <w:color w:val="auto"/>
        </w:rPr>
        <w:t>Notes Documents</w:t>
      </w:r>
      <w:r>
        <w:rPr>
          <w:rFonts w:ascii="Times New Roman" w:cs="Times New Roman" w:eastAsia="Times New Roman" w:hAnsi="Times New Roman"/>
          <w:sz w:val="17"/>
          <w:szCs w:val="17"/>
          <w:color w:val="auto"/>
        </w:rPr>
        <w:t>”); (iv) the Fourth Amended and Restated Articles of Incorporation of the Company;</w:t>
      </w:r>
    </w:p>
    <w:p>
      <w:pPr>
        <w:spacing w:after="0" w:line="3" w:lineRule="exact"/>
        <w:rPr>
          <w:sz w:val="20"/>
          <w:szCs w:val="20"/>
          <w:color w:val="auto"/>
        </w:rPr>
      </w:pPr>
    </w:p>
    <w:p>
      <w:pPr>
        <w:ind w:left="4" w:right="20" w:hanging="4"/>
        <w:spacing w:after="0" w:line="253"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Amended and Restated By-Laws of the Company; (vi) certain resolutions adopted by the Board of Directors of the Company; and (vii) such other certificates, instruments, and documents as we have considered necessary for purposes of this opinion letter. As to certain matters of fact material to our opinions, we have relied, to the extent that we deem such reliance proper, upon certificates of public officials and officers or other representatives of the Company, and we have not otherwise independently investigated or verified such facts. We are opining herein as to the Indiana Business Corporation Law,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147320</wp:posOffset>
            </wp:positionV>
            <wp:extent cx="4937760" cy="282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37760" cy="28257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Xylem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rendering the opinions set forth herein, we have assumed (i) that all information contained in all documents reviewed by us is true and correct; (ii) that all signatures on all documents examined by us are genuine; (iii) that all documents submitted to us as originals are authentic and all documents submitted to us as copies conform to the originals of those documents; (iv) the legal capacity of all natural persons; and (v) the authority of all persons signing all documents submitted to us on behalf of the parties to such documents.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qualifications, limitations, and exceptions set forth herein, we are of the opinion that:</w:t>
      </w:r>
    </w:p>
    <w:p>
      <w:pPr>
        <w:spacing w:after="0" w:line="117" w:lineRule="exact"/>
        <w:rPr>
          <w:sz w:val="20"/>
          <w:szCs w:val="20"/>
          <w:color w:val="auto"/>
        </w:rPr>
      </w:pPr>
    </w:p>
    <w:p>
      <w:pPr>
        <w:ind w:left="440" w:right="60" w:firstLine="419"/>
        <w:spacing w:after="0" w:line="282" w:lineRule="auto"/>
        <w:tabs>
          <w:tab w:leader="none" w:pos="10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under the laws of the State of Indiana and has all requisite corporate power to execute and deliver the Notes Documents and to perform its obligations thereunder.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Notes Documents and the performance of its obligations thereunder have been duly authorized by all necessary corporate action.</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herein other than as expressly stated above. The opinions set forth herein are expressed as of the date hereof, and we disclaim any undertaking to advise the Company or any other party of any subsequent changes to the matters stated, represented, or assumed herein or any subsequent changes in applicable law.</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5.2 to a Current Report on Form 8-K to be filed by the Company with the Commission, to the incorporation by reference of this opinion letter in the Registration Statement, and to the reference to us under the heading “Legal Matters” in the Prospectus that is a part of the Registration Statement. However, in giving such consent,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Barnes &amp; Thornburg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499870" cy="317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99870" cy="317500"/>
                    </a:xfrm>
                    <a:prstGeom prst="rect">
                      <a:avLst/>
                    </a:prstGeom>
                    <a:noFill/>
                  </pic:spPr>
                </pic:pic>
              </a:graphicData>
            </a:graphic>
          </wp:anchor>
        </w:drawing>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lowerLetter"/>
      <w:start w:val="5"/>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lowerLetter"/>
      <w:start w:val="3"/>
    </w:lvl>
  </w:abstractNum>
  <w:abstractNum w:abstractNumId="8">
    <w:nsid w:val="419AC241"/>
    <w:multiLevelType w:val="hybridMultilevel"/>
    <w:lvl w:ilvl="0">
      <w:lvlJc w:val="left"/>
      <w:lvlText w:val="(%1)"/>
      <w:numFmt w:val="lowerLetter"/>
      <w:start w:val="5"/>
    </w:lvl>
  </w:abstractNum>
  <w:abstractNum w:abstractNumId="9">
    <w:nsid w:val="5577F8E1"/>
    <w:multiLevelType w:val="hybridMultilevel"/>
    <w:lvl w:ilvl="0">
      <w:lvlJc w:val="left"/>
      <w:lvlText w:val="(%1)"/>
      <w:numFmt w:val="lowerLetter"/>
      <w:start w:val="7"/>
    </w:lvl>
  </w:abstractNum>
  <w:abstractNum w:abstractNumId="10">
    <w:nsid w:val="440BADFC"/>
    <w:multiLevelType w:val="hybridMultilevel"/>
    <w:lvl w:ilvl="0">
      <w:lvlJc w:val="left"/>
      <w:lvlText w:val="(%1)"/>
      <w:numFmt w:val="lowerLetter"/>
      <w:start w:val="10"/>
    </w:lvl>
  </w:abstractNum>
  <w:abstractNum w:abstractNumId="11">
    <w:nsid w:val="5072367"/>
    <w:multiLevelType w:val="hybridMultilevel"/>
    <w:lvl w:ilvl="0">
      <w:lvlJc w:val="left"/>
      <w:lvlText w:val="(%1)"/>
      <w:numFmt w:val="lowerLetter"/>
      <w:start w:val="13"/>
    </w:lvl>
  </w:abstractNum>
  <w:abstractNum w:abstractNumId="12">
    <w:nsid w:val="3804823E"/>
    <w:multiLevelType w:val="hybridMultilevel"/>
    <w:lvl w:ilvl="0">
      <w:lvlJc w:val="left"/>
      <w:lvlText w:val="(%1)"/>
      <w:numFmt w:val="lowerLetter"/>
      <w:start w:val="18"/>
    </w:lvl>
  </w:abstractNum>
  <w:abstractNum w:abstractNumId="13">
    <w:nsid w:val="77465F01"/>
    <w:multiLevelType w:val="hybridMultilevel"/>
    <w:lvl w:ilvl="0">
      <w:lvlJc w:val="left"/>
      <w:lvlText w:val="(%1)"/>
      <w:numFmt w:val="lowerLetter"/>
      <w:start w:val="22"/>
    </w:lvl>
  </w:abstractNum>
  <w:abstractNum w:abstractNumId="14">
    <w:nsid w:val="7724C67E"/>
    <w:multiLevelType w:val="hybridMultilevel"/>
    <w:lvl w:ilvl="0">
      <w:lvlJc w:val="left"/>
      <w:lvlText w:val="(%1)"/>
      <w:numFmt w:val="lowerLetter"/>
      <w:start w:val="26"/>
    </w:lvl>
  </w:abstractNum>
  <w:abstractNum w:abstractNumId="15">
    <w:nsid w:val="5C482A97"/>
    <w:multiLevelType w:val="hybridMultilevel"/>
    <w:lvl w:ilvl="0">
      <w:lvlJc w:val="left"/>
      <w:lvlText w:val="%1"/>
      <w:numFmt w:val="lowerLetter"/>
      <w:start w:val="1"/>
    </w:lvl>
    <w:lvl w:ilvl="1">
      <w:lvlJc w:val="left"/>
      <w:lvlText w:val="(%2)"/>
      <w:numFmt w:val="lowerLetter"/>
      <w:start w:val="27"/>
    </w:lvl>
  </w:abstractNum>
  <w:abstractNum w:abstractNumId="16">
    <w:nsid w:val="2463B9EA"/>
    <w:multiLevelType w:val="hybridMultilevel"/>
    <w:lvl w:ilvl="0">
      <w:lvlJc w:val="left"/>
      <w:lvlText w:val="(%1)"/>
      <w:numFmt w:val="lowerLetter"/>
      <w:start w:val="9"/>
    </w:lvl>
    <w:lvl w:ilvl="1">
      <w:lvlJc w:val="left"/>
      <w:lvlText w:val="%2"/>
      <w:numFmt w:val="lowerLetter"/>
      <w:start w:val="1"/>
    </w:lvl>
  </w:abstractNum>
  <w:abstractNum w:abstractNumId="17">
    <w:nsid w:val="5E884ADC"/>
    <w:multiLevelType w:val="hybridMultilevel"/>
    <w:lvl w:ilvl="0">
      <w:lvlJc w:val="left"/>
      <w:lvlText w:val="(%1)"/>
      <w:numFmt w:val="lowerLetter"/>
      <w:start w:val="28"/>
    </w:lvl>
  </w:abstractNum>
  <w:abstractNum w:abstractNumId="18">
    <w:nsid w:val="51EAD36B"/>
    <w:multiLevelType w:val="hybridMultilevel"/>
    <w:lvl w:ilvl="0">
      <w:lvlJc w:val="left"/>
      <w:lvlText w:val="(%1)"/>
      <w:numFmt w:val="lowerLetter"/>
      <w:start w:val="30"/>
    </w:lvl>
  </w:abstractNum>
  <w:abstractNum w:abstractNumId="19">
    <w:nsid w:val="2D517796"/>
    <w:multiLevelType w:val="hybridMultilevel"/>
    <w:lvl w:ilvl="0">
      <w:lvlJc w:val="left"/>
      <w:lvlText w:val="(%1)"/>
      <w:numFmt w:val="lowerLetter"/>
      <w:start w:val="35"/>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2"/>
    </w:lvl>
  </w:abstractNum>
  <w:abstractNum w:abstractNumId="22">
    <w:nsid w:val="3855585C"/>
    <w:multiLevelType w:val="hybridMultilevel"/>
    <w:lvl w:ilvl="0">
      <w:lvlJc w:val="left"/>
      <w:lvlText w:val="(%1)"/>
      <w:numFmt w:val="lowerRoman"/>
      <w:start w:val="6"/>
    </w:lvl>
    <w:lvl w:ilvl="1">
      <w:lvlJc w:val="left"/>
      <w:lvlText w:val="(%2)"/>
      <w:numFmt w:val="lowerLetter"/>
      <w:start w:val="5"/>
    </w:lvl>
  </w:abstractNum>
  <w:abstractNum w:abstractNumId="23">
    <w:nsid w:val="70A64E2A"/>
    <w:multiLevelType w:val="hybridMultilevel"/>
    <w:lvl w:ilvl="0">
      <w:lvlJc w:val="left"/>
      <w:lvlText w:val="(%1)"/>
      <w:numFmt w:val="lowerLetter"/>
      <w:start w:val="7"/>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6"/>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Letter"/>
      <w:start w:val="1"/>
    </w:lvl>
    <w:lvl w:ilvl="1">
      <w:lvlJc w:val="left"/>
      <w:lvlText w:val="(%2)"/>
      <w:numFmt w:val="lowerLetter"/>
      <w:start w:val="3"/>
    </w:lvl>
  </w:abstractNum>
  <w:abstractNum w:abstractNumId="28">
    <w:nsid w:val="2CD89A32"/>
    <w:multiLevelType w:val="hybridMultilevel"/>
    <w:lvl w:ilvl="0">
      <w:lvlJc w:val="left"/>
      <w:lvlText w:val="(%1)"/>
      <w:numFmt w:val="lowerLetter"/>
      <w:start w:val="35"/>
    </w:lvl>
    <w:lvl w:ilvl="1">
      <w:lvlJc w:val="left"/>
      <w:lvlText w:val="(%2)"/>
      <w:numFmt w:val="lowerLetter"/>
      <w:start w:val="7"/>
    </w:lvl>
  </w:abstractNum>
  <w:abstractNum w:abstractNumId="29">
    <w:nsid w:val="57E4CCAF"/>
    <w:multiLevelType w:val="hybridMultilevel"/>
    <w:lvl w:ilvl="0">
      <w:lvlJc w:val="left"/>
      <w:lvlText w:val="(%1)"/>
      <w:numFmt w:val="lowerLetter"/>
      <w:start w:val="9"/>
    </w:lvl>
  </w:abstractNum>
  <w:abstractNum w:abstractNumId="30">
    <w:nsid w:val="7A6D8D3C"/>
    <w:multiLevelType w:val="hybridMultilevel"/>
    <w:lvl w:ilvl="0">
      <w:lvlJc w:val="left"/>
      <w:lvlText w:val="(%1)"/>
      <w:numFmt w:val="lowerLetter"/>
      <w:start w:val="15"/>
    </w:lvl>
  </w:abstractNum>
  <w:abstractNum w:abstractNumId="31">
    <w:nsid w:val="4B588F54"/>
    <w:multiLevelType w:val="hybridMultilevel"/>
    <w:lvl w:ilvl="0">
      <w:lvlJc w:val="left"/>
      <w:lvlText w:val="%1."/>
      <w:numFmt w:val="decimal"/>
      <w:start w:val="7"/>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3"/>
    </w:lvl>
  </w:abstractNum>
  <w:abstractNum w:abstractNumId="34">
    <w:nsid w:val="38437FDB"/>
    <w:multiLevelType w:val="hybridMultilevel"/>
    <w:lvl w:ilvl="0">
      <w:lvlJc w:val="left"/>
      <w:lvlText w:val="(%1)"/>
      <w:numFmt w:val="lowerLetter"/>
      <w:start w:val="4"/>
    </w:lvl>
  </w:abstractNum>
  <w:abstractNum w:abstractNumId="35">
    <w:nsid w:val="7644A45C"/>
    <w:multiLevelType w:val="hybridMultilevel"/>
    <w:lvl w:ilvl="0">
      <w:lvlJc w:val="left"/>
      <w:lvlText w:val="(%1)"/>
      <w:numFmt w:val="lowerLetter"/>
      <w:start w:val="5"/>
    </w:lvl>
  </w:abstractNum>
  <w:abstractNum w:abstractNumId="36">
    <w:nsid w:val="32FFF902"/>
    <w:multiLevelType w:val="hybridMultilevel"/>
    <w:lvl w:ilvl="0">
      <w:lvlJc w:val="left"/>
      <w:lvlText w:val="%1."/>
      <w:numFmt w:val="decimal"/>
      <w:start w:val="8"/>
    </w:lvl>
  </w:abstractNum>
  <w:abstractNum w:abstractNumId="37">
    <w:nsid w:val="684A481A"/>
    <w:multiLevelType w:val="hybridMultilevel"/>
    <w:lvl w:ilvl="0">
      <w:lvlJc w:val="left"/>
      <w:lvlText w:val="%1."/>
      <w:numFmt w:val="decimal"/>
      <w:start w:val="10"/>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4"/>
    </w:lvl>
  </w:abstractNum>
  <w:abstractNum w:abstractNumId="40">
    <w:nsid w:val="3DC240FB"/>
    <w:multiLevelType w:val="hybridMultilevel"/>
    <w:lvl w:ilvl="0">
      <w:lvlJc w:val="left"/>
      <w:lvlText w:val="%1"/>
      <w:numFmt w:val="lowerRoman"/>
      <w:start w:val="1"/>
    </w:lvl>
    <w:lvl w:ilvl="1">
      <w:lvlJc w:val="left"/>
      <w:lvlText w:val="%2."/>
      <w:numFmt w:val="decimal"/>
      <w:start w:val="11"/>
    </w:lvl>
  </w:abstractNum>
  <w:abstractNum w:abstractNumId="41">
    <w:nsid w:val="1BA026FA"/>
    <w:multiLevelType w:val="hybridMultilevel"/>
    <w:lvl w:ilvl="0">
      <w:lvlJc w:val="left"/>
      <w:lvlText w:val="(%1)"/>
      <w:numFmt w:val="lowerRoman"/>
      <w:start w:val="9"/>
    </w:lvl>
    <w:lvl w:ilvl="1">
      <w:lvlJc w:val="left"/>
      <w:lvlText w:val="%2"/>
      <w:numFmt w:val="decimal"/>
      <w:start w:val="1"/>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decimal"/>
      <w:start w:val="12"/>
    </w:lvl>
    <w:lvl w:ilvl="1">
      <w:lvlJc w:val="left"/>
      <w:lvlText w:val="(%2)"/>
      <w:numFmt w:val="lowerLetter"/>
      <w:start w:val="1"/>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upperLetter"/>
      <w:start w:val="35"/>
    </w:lvl>
    <w:lvl w:ilvl="1">
      <w:lvlJc w:val="left"/>
      <w:lvlText w:val="%2."/>
      <w:numFmt w:val="decimal"/>
      <w:start w:val="16"/>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lowerLetter"/>
      <w:start w:val="3"/>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2"/>
    </w:lvl>
  </w:abstractNum>
  <w:abstractNum w:abstractNumId="52">
    <w:nsid w:val="39386575"/>
    <w:multiLevelType w:val="hybridMultilevel"/>
    <w:lvl w:ilvl="0">
      <w:lvlJc w:val="left"/>
      <w:lvlText w:val="(%1)"/>
      <w:numFmt w:val="lowerLetter"/>
      <w:start w:val="2"/>
    </w:lvl>
    <w:lvl w:ilvl="1">
      <w:lvlJc w:val="left"/>
      <w:lvlText w:val="(%2)"/>
      <w:numFmt w:val="lowerRoman"/>
      <w:start w:val="1"/>
    </w:lvl>
  </w:abstractNum>
  <w:abstractNum w:abstractNumId="53">
    <w:nsid w:val="1CF10FD8"/>
    <w:multiLevelType w:val="hybridMultilevel"/>
    <w:lvl w:ilvl="0">
      <w:lvlJc w:val="left"/>
      <w:lvlText w:val="(%1)"/>
      <w:numFmt w:val="lowerLetter"/>
      <w:start w:val="6"/>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Roman"/>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lowerRoman"/>
      <w:start w:val="5"/>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2026-05-29T17:02:03Z</dcterms:created>
  <dcterms:modified xsi:type="dcterms:W3CDTF">2026-05-29T17:02:03Z</dcterms:modified>
</cp:coreProperties>
</file>