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660" w:right="800" w:hanging="3634"/>
        <w:spacing w:after="0" w:line="461" w:lineRule="auto"/>
        <w:tabs>
          <w:tab w:leader="none" w:pos="12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45"/>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1"/>
                <w:szCs w:val="21"/>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39"/>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2.250% Senior Notes due 2023</w:t>
            </w:r>
          </w:p>
        </w:tc>
        <w:tc>
          <w:tcPr>
            <w:tcW w:w="100" w:type="dxa"/>
            <w:vAlign w:val="bottom"/>
          </w:tcPr>
          <w:p>
            <w:pPr>
              <w:spacing w:after="0"/>
              <w:rPr>
                <w:sz w:val="20"/>
                <w:szCs w:val="20"/>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XYL23</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6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21"/>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7" w:lineRule="exact"/>
        <w:rPr>
          <w:sz w:val="20"/>
          <w:szCs w:val="20"/>
          <w:color w:val="auto"/>
        </w:rPr>
      </w:pPr>
    </w:p>
    <w:p>
      <w:pPr>
        <w:ind w:right="54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29, 2022, there were 180,092,712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760" w:type="dxa"/>
            <w:vAlign w:val="bottom"/>
            <w:gridSpan w:val="8"/>
          </w:tcPr>
          <w:p>
            <w:pPr>
              <w:jc w:val="center"/>
              <w:ind w:right="344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00" w:type="dxa"/>
            <w:vAlign w:val="bottom"/>
            <w:gridSpan w:val="13"/>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60" w:type="dxa"/>
            <w:vAlign w:val="bottom"/>
            <w:gridSpan w:val="12"/>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sz w:val="20"/>
                <w:szCs w:val="20"/>
                <w:color w:val="auto"/>
              </w:rPr>
            </w:pPr>
            <w:r>
              <w:rPr>
                <w:rFonts w:ascii="Arial" w:cs="Arial" w:eastAsia="Arial" w:hAnsi="Arial"/>
                <w:sz w:val="18"/>
                <w:szCs w:val="18"/>
                <w:color w:val="0000FF"/>
              </w:rPr>
              <w:t>Condensed Consolidated Income Statements for the Three Months Ended March 31, 2022</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and 2021 (Unaudited)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19"/>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Ended</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March 31, 2022 and 2021 (Unaudited)</w:t>
            </w:r>
          </w:p>
        </w:tc>
        <w:tc>
          <w:tcPr>
            <w:tcW w:w="16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gridSpan w:val="19"/>
            <w:vMerge w:val="restart"/>
          </w:tcPr>
          <w:p>
            <w:pPr>
              <w:spacing w:after="0"/>
              <w:rPr>
                <w:sz w:val="20"/>
                <w:szCs w:val="20"/>
                <w:color w:val="auto"/>
              </w:rPr>
            </w:pPr>
            <w:r>
              <w:rPr>
                <w:rFonts w:ascii="Arial" w:cs="Arial" w:eastAsia="Arial" w:hAnsi="Arial"/>
                <w:sz w:val="18"/>
                <w:szCs w:val="18"/>
                <w:color w:val="0000FF"/>
              </w:rPr>
              <w:t>Condensed Consolidated Balance Sheets as of March 31, 2022 and December 31, 2021</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19"/>
            <w:vMerge w:val="continue"/>
          </w:tcPr>
          <w:p>
            <w:pPr>
              <w:spacing w:after="0"/>
              <w:rPr>
                <w:sz w:val="17"/>
                <w:szCs w:val="17"/>
                <w:color w:val="auto"/>
              </w:rPr>
            </w:pP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8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(Unaudited)</w:t>
            </w:r>
          </w:p>
        </w:tc>
        <w:tc>
          <w:tcPr>
            <w:tcW w:w="240" w:type="dxa"/>
            <w:vAlign w:val="bottom"/>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19"/>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Three Months Ended March 31,</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2022 and 2021 (Unaudited)</w:t>
            </w:r>
          </w:p>
        </w:tc>
        <w:tc>
          <w:tcPr>
            <w:tcW w:w="3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620" w:type="dxa"/>
            <w:vAlign w:val="bottom"/>
            <w:tcBorders>
              <w:left w:val="single" w:sz="8" w:color="0000FF"/>
            </w:tcBorders>
            <w:gridSpan w:val="2"/>
            <w:shd w:val="clear" w:color="auto" w:fill="0000FF"/>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gridSpan w:val="4"/>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4"/>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20" w:type="dxa"/>
            <w:vAlign w:val="bottom"/>
            <w:gridSpan w:val="5"/>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4"/>
          </w:tcPr>
          <w:p>
            <w:pPr>
              <w:spacing w:after="0"/>
              <w:rPr>
                <w:sz w:val="18"/>
                <w:szCs w:val="18"/>
                <w:color w:val="auto"/>
              </w:rPr>
            </w:pPr>
          </w:p>
        </w:tc>
        <w:tc>
          <w:tcPr>
            <w:tcW w:w="3080" w:type="dxa"/>
            <w:vAlign w:val="bottom"/>
            <w:gridSpan w:val="7"/>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3"/>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00" w:type="dxa"/>
            <w:vAlign w:val="bottom"/>
            <w:gridSpan w:val="13"/>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00" w:type="dxa"/>
            <w:vAlign w:val="bottom"/>
            <w:gridSpan w:val="13"/>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0"/>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5240" w:type="dxa"/>
            <w:vAlign w:val="bottom"/>
            <w:gridSpan w:val="9"/>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5860" w:type="dxa"/>
            <w:vAlign w:val="bottom"/>
            <w:gridSpan w:val="11"/>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00" w:type="dxa"/>
            <w:vAlign w:val="bottom"/>
            <w:gridSpan w:val="14"/>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80" w:type="dxa"/>
            <w:vAlign w:val="bottom"/>
          </w:tcPr>
          <w:p>
            <w:pPr>
              <w:spacing w:after="0"/>
              <w:rPr>
                <w:sz w:val="21"/>
                <w:szCs w:val="21"/>
                <w:color w:val="auto"/>
              </w:rPr>
            </w:pPr>
          </w:p>
        </w:tc>
        <w:tc>
          <w:tcPr>
            <w:tcW w:w="7160" w:type="dxa"/>
            <w:vAlign w:val="bottom"/>
          </w:tcPr>
          <w:p>
            <w:pPr>
              <w:ind w:left="4160"/>
              <w:spacing w:after="0"/>
              <w:rPr>
                <w:sz w:val="20"/>
                <w:szCs w:val="20"/>
                <w:color w:val="auto"/>
              </w:rPr>
            </w:pPr>
            <w:r>
              <w:rPr>
                <w:rFonts w:ascii="Arial" w:cs="Arial" w:eastAsia="Arial" w:hAnsi="Arial"/>
                <w:sz w:val="18"/>
                <w:szCs w:val="18"/>
                <w:b w:val="1"/>
                <w:bCs w:val="1"/>
                <w:color w:val="auto"/>
              </w:rPr>
              <w:t>PART I</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100"/>
              <w:spacing w:after="0"/>
              <w:rPr>
                <w:sz w:val="20"/>
                <w:szCs w:val="20"/>
                <w:color w:val="auto"/>
              </w:rPr>
            </w:pPr>
            <w:r>
              <w:rPr>
                <w:rFonts w:ascii="Arial" w:cs="Arial" w:eastAsia="Arial" w:hAnsi="Arial"/>
                <w:sz w:val="18"/>
                <w:szCs w:val="18"/>
                <w:b w:val="1"/>
                <w:bCs w:val="1"/>
                <w:color w:val="auto"/>
              </w:rPr>
              <w:t>CONDENSED CONSOLIDATED FINANCIAL STATEMENTS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XYLEM INC. AND SUBSIDIARIES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CONDENSED CONSOLIDATED INCOME STATEMENTS (Unaudited)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4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8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Gain from sale of business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1"/>
        </w:trPr>
        <w:tc>
          <w:tcPr>
            <w:tcW w:w="11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7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9"/>
        </w:trPr>
        <w:tc>
          <w:tcPr>
            <w:tcW w:w="1180" w:type="dxa"/>
            <w:vAlign w:val="bottom"/>
          </w:tcPr>
          <w:p>
            <w:pPr>
              <w:ind w:left="360"/>
              <w:spacing w:after="0"/>
              <w:rPr>
                <w:sz w:val="20"/>
                <w:szCs w:val="20"/>
                <w:color w:val="auto"/>
              </w:rPr>
            </w:pPr>
            <w:r>
              <w:rPr>
                <w:rFonts w:ascii="Arial" w:cs="Arial" w:eastAsia="Arial" w:hAnsi="Arial"/>
                <w:sz w:val="18"/>
                <w:szCs w:val="18"/>
                <w:color w:val="auto"/>
              </w:rPr>
              <w:t>Diluted</w:t>
            </w:r>
          </w:p>
        </w:tc>
        <w:tc>
          <w:tcPr>
            <w:tcW w:w="7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360"/>
              <w:spacing w:after="0"/>
              <w:rPr>
                <w:sz w:val="20"/>
                <w:szCs w:val="20"/>
                <w:color w:val="auto"/>
              </w:rPr>
            </w:pPr>
            <w:r>
              <w:rPr>
                <w:rFonts w:ascii="Arial" w:cs="Arial" w:eastAsia="Arial" w:hAnsi="Arial"/>
                <w:sz w:val="18"/>
                <w:szCs w:val="18"/>
                <w:color w:val="auto"/>
              </w:rPr>
              <w:t>Basic</w:t>
            </w:r>
          </w:p>
        </w:tc>
        <w:tc>
          <w:tcPr>
            <w:tcW w:w="7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420" w:type="dxa"/>
            <w:vAlign w:val="bottom"/>
          </w:tcPr>
          <w:p>
            <w:pPr>
              <w:ind w:left="360"/>
              <w:spacing w:after="0"/>
              <w:rPr>
                <w:sz w:val="20"/>
                <w:szCs w:val="20"/>
                <w:color w:val="auto"/>
              </w:rPr>
            </w:pPr>
            <w:r>
              <w:rPr>
                <w:rFonts w:ascii="Arial" w:cs="Arial" w:eastAsia="Arial" w:hAnsi="Arial"/>
                <w:sz w:val="18"/>
                <w:szCs w:val="18"/>
                <w:color w:val="auto"/>
              </w:rPr>
              <w:t>Amount of loss (gain) reclassified into net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42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related to items of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5"/>
        </w:trPr>
        <w:tc>
          <w:tcPr>
            <w:tcW w:w="7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4"/>
        </w:trPr>
        <w:tc>
          <w:tcPr>
            <w:tcW w:w="75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$37 and $44 in</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540" w:type="dxa"/>
            <w:vAlign w:val="bottom"/>
          </w:tcPr>
          <w:p>
            <w:pPr>
              <w:ind w:left="360"/>
              <w:spacing w:after="0"/>
              <w:rPr>
                <w:sz w:val="20"/>
                <w:szCs w:val="20"/>
                <w:color w:val="auto"/>
              </w:rPr>
            </w:pPr>
            <w:r>
              <w:rPr>
                <w:rFonts w:ascii="Arial" w:cs="Arial" w:eastAsia="Arial" w:hAnsi="Arial"/>
                <w:sz w:val="18"/>
                <w:szCs w:val="18"/>
                <w:color w:val="auto"/>
              </w:rPr>
              <w:t>2022 and 2021, respectively</w:t>
            </w: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0"/>
        </w:trPr>
        <w:tc>
          <w:tcPr>
            <w:tcW w:w="7540" w:type="dxa"/>
            <w:vAlign w:val="bottom"/>
          </w:tcPr>
          <w:p>
            <w:pPr>
              <w:ind w:left="140"/>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40" w:type="dxa"/>
            <w:vAlign w:val="bottom"/>
            <w:shd w:val="clear" w:color="auto" w:fill="CCEEFF"/>
          </w:tcPr>
          <w:p>
            <w:pPr>
              <w:ind w:left="480"/>
              <w:spacing w:after="0" w:line="183" w:lineRule="exact"/>
              <w:rPr>
                <w:sz w:val="20"/>
                <w:szCs w:val="20"/>
                <w:color w:val="auto"/>
              </w:rPr>
            </w:pPr>
            <w:r>
              <w:rPr>
                <w:rFonts w:ascii="Arial" w:cs="Arial" w:eastAsia="Arial" w:hAnsi="Arial"/>
                <w:sz w:val="18"/>
                <w:szCs w:val="18"/>
                <w:color w:val="auto"/>
              </w:rPr>
              <w:t>Authorized 750.0 shares, issued 195.9 shares and 195.6 shares in 2022 and 2021,</w:t>
            </w:r>
          </w:p>
        </w:tc>
        <w:tc>
          <w:tcPr>
            <w:tcW w:w="3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Treasury stock – at cost 15.8 shares and 15.2 shares in 2022 and 2021, respectively</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from sale of business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restructuring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receivables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Changes in inventories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accounts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8500" w:type="dxa"/>
            <w:vAlign w:val="bottom"/>
          </w:tcPr>
          <w:p>
            <w:pPr>
              <w:ind w:left="140"/>
              <w:spacing w:after="0"/>
              <w:rPr>
                <w:sz w:val="20"/>
                <w:szCs w:val="20"/>
                <w:color w:val="auto"/>
              </w:rPr>
            </w:pPr>
            <w:r>
              <w:rPr>
                <w:rFonts w:ascii="Arial" w:cs="Arial" w:eastAsia="Arial" w:hAnsi="Arial"/>
                <w:sz w:val="16"/>
                <w:szCs w:val="16"/>
                <w:color w:val="auto"/>
              </w:rPr>
              <w:t>Proceeds from sale of business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500" w:type="dxa"/>
            <w:vAlign w:val="bottom"/>
          </w:tcPr>
          <w:p>
            <w:pPr>
              <w:ind w:left="140"/>
              <w:spacing w:after="0"/>
              <w:rPr>
                <w:sz w:val="20"/>
                <w:szCs w:val="20"/>
                <w:color w:val="auto"/>
              </w:rPr>
            </w:pPr>
            <w:r>
              <w:rPr>
                <w:rFonts w:ascii="Arial" w:cs="Arial" w:eastAsia="Arial" w:hAnsi="Arial"/>
                <w:sz w:val="16"/>
                <w:szCs w:val="16"/>
                <w:color w:val="auto"/>
              </w:rPr>
              <w:t>Cash received from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850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3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1,117</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56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(net of refunds received)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17, "Segment Information", to the condensed consolidated financial statements for further segment background information.</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2021 ("2021 Annual Report") in preparing these unaudited condensed consolidated financial statements. These condensed consolidated financial statements should be read in conjunction with the audited consolidated financial statements and the notes included in our 2021 Annual Report.</w:t>
      </w:r>
    </w:p>
    <w:p>
      <w:pPr>
        <w:spacing w:after="0" w:line="73"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the novel coronavirus ("COVID-19") disease in March 2020, declared a pandemic by the World Health Organization, has created significant global volatility, uncertainty and macroeconomic disruption. The COVID-19 pandemic also has caused increased uncertainty in estimates and assumptions affecting the condensed consolidated financial statements. Actual results could differ from these estimates.</w:t>
      </w:r>
    </w:p>
    <w:p>
      <w:pPr>
        <w:spacing w:after="0" w:line="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7"/>
          </w:tcPr>
          <w:p>
            <w:pPr>
              <w:jc w:val="center"/>
              <w:ind w:right="3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8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7"/>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393</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8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80"/>
              <w:spacing w:after="0"/>
              <w:rPr>
                <w:sz w:val="20"/>
                <w:szCs w:val="20"/>
                <w:color w:val="auto"/>
              </w:rPr>
            </w:pPr>
            <w:r>
              <w:rPr>
                <w:rFonts w:ascii="Arial" w:cs="Arial" w:eastAsia="Arial" w:hAnsi="Arial"/>
                <w:sz w:val="18"/>
                <w:szCs w:val="18"/>
                <w:color w:val="auto"/>
              </w:rPr>
              <w:t>Commercial Building Services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Building Services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220" w:type="dxa"/>
            <w:vAlign w:val="bottom"/>
          </w:tcPr>
          <w:p>
            <w:pPr>
              <w:ind w:left="280"/>
              <w:spacing w:after="0"/>
              <w:rPr>
                <w:sz w:val="20"/>
                <w:szCs w:val="20"/>
                <w:color w:val="auto"/>
              </w:rPr>
            </w:pPr>
            <w:r>
              <w:rPr>
                <w:rFonts w:ascii="Arial" w:cs="Arial" w:eastAsia="Arial" w:hAnsi="Arial"/>
                <w:sz w:val="18"/>
                <w:szCs w:val="18"/>
                <w:color w:val="auto"/>
              </w:rPr>
              <w:t>Industrial Water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8220" w:type="dxa"/>
            <w:vAlign w:val="bottom"/>
          </w:tcPr>
          <w:p>
            <w:pPr>
              <w:ind w:left="28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3"/>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*Items in the prior year footnote disclosures for Applied Water were reclassified to conform to the current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844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4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right="740" w:hanging="328"/>
        <w:spacing w:after="0" w:line="28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Contract Balances</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Excludes receivable balances, which are disclosed on the Condensed Consolidated Balance Sheets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March 31, 2022, the aggregate amount of the transaction price allocated to performance obligations that are unsatisfied or partially unsatisfied for contracts with performance obligations, amount to $379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02"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the three months ended March 31, 2022, we incurred restructuring charges that were less than $1 million.</w:t>
      </w:r>
    </w:p>
    <w:p>
      <w:pPr>
        <w:spacing w:after="0" w:line="59"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During the three months ended March 31, 2021, we recognized restructuring charges of $5 million of which $4 million relates to actions previously announced in 2020 arising as a result of the COVID-19 pandemic.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7"/>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2021</w:t>
            </w:r>
          </w:p>
        </w:tc>
      </w:tr>
      <w:tr>
        <w:trPr>
          <w:trHeight w:val="211"/>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852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52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38" w:lineRule="exact"/>
        <w:rPr>
          <w:sz w:val="20"/>
          <w:szCs w:val="20"/>
          <w:color w:val="auto"/>
        </w:rPr>
      </w:pPr>
    </w:p>
    <w:p>
      <w:pPr>
        <w:ind w:right="320"/>
        <w:spacing w:after="0" w:line="295"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three months ended March 31,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charges, net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March 31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7"/>
        </w:trPr>
        <w:tc>
          <w:tcPr>
            <w:tcW w:w="844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2" w:lineRule="exact"/>
        <w:rPr>
          <w:sz w:val="20"/>
          <w:szCs w:val="20"/>
          <w:color w:val="auto"/>
        </w:rPr>
      </w:pPr>
    </w:p>
    <w:p>
      <w:pPr>
        <w:ind w:left="340" w:right="180" w:hanging="332"/>
        <w:spacing w:after="0" w:line="304"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in 2022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2022</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200"/>
        <w:spacing w:after="0" w:line="287" w:lineRule="auto"/>
        <w:rPr>
          <w:sz w:val="20"/>
          <w:szCs w:val="20"/>
          <w:color w:val="auto"/>
        </w:rPr>
      </w:pPr>
      <w:r>
        <w:rPr>
          <w:rFonts w:ascii="Arial" w:cs="Arial" w:eastAsia="Arial" w:hAnsi="Arial"/>
          <w:sz w:val="18"/>
          <w:szCs w:val="18"/>
          <w:color w:val="auto"/>
        </w:rPr>
        <w:t>The Water Infrastructure and Measurement &amp; Control Solutions actions commenced in 2021 consist primarily of severance charges. These actions are expected to continue through the end of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income tax provision for the three months ended March 31, 2022 was $16 million resulting in an effective tax rate of 16.4%, compared to a $27 million expense resulting in an effective tax rate of 23.3% for the same period in 2021. The effective tax rate for the three-month period ended March 31, 2022 was lower than the U.S. federal statutory rate primarily due to favorable earnings mix and tax settlement benefits, partially offset by the Global Intangible Low Taxed Income ("GILTI") inclusion.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however, there can be no assurance that any final determination by the authorities will not be materially different than our position. As of March 31, 2022, we have not recorded any unrecognized tax benefits related to this uncertain tax position.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204"/>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8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2021</w:t>
            </w:r>
          </w:p>
        </w:tc>
      </w:tr>
      <w:tr>
        <w:trPr>
          <w:trHeight w:val="224"/>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870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180,252</w:t>
            </w:r>
          </w:p>
        </w:tc>
      </w:tr>
      <w:tr>
        <w:trPr>
          <w:trHeight w:val="230"/>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180,267</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8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181,021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181,474</w:t>
            </w:r>
          </w:p>
        </w:tc>
      </w:tr>
      <w:tr>
        <w:trPr>
          <w:trHeight w:val="223"/>
        </w:trPr>
        <w:tc>
          <w:tcPr>
            <w:tcW w:w="870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bl>
    <w:p>
      <w:pPr>
        <w:spacing w:after="0" w:line="242" w:lineRule="exact"/>
        <w:rPr>
          <w:sz w:val="20"/>
          <w:szCs w:val="20"/>
          <w:color w:val="auto"/>
        </w:rPr>
      </w:pPr>
    </w:p>
    <w:p>
      <w:pPr>
        <w:ind w:left="340" w:right="520" w:hanging="332"/>
        <w:spacing w:after="0" w:line="286"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stockholders are considered participating securities for purposes of computing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left="340" w:right="40" w:hanging="332"/>
        <w:spacing w:after="0" w:line="259"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13, "Share-Based Compensation Plans", to the condensed consolidated financial statements for further detail on the performance share units.</w:t>
      </w:r>
    </w:p>
    <w:p>
      <w:pPr>
        <w:spacing w:after="0" w:line="127"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8160" w:type="dxa"/>
            <w:vAlign w:val="bottom"/>
          </w:tcPr>
          <w:p>
            <w:pPr>
              <w:spacing w:after="0"/>
              <w:rPr>
                <w:sz w:val="20"/>
                <w:szCs w:val="20"/>
                <w:color w:val="auto"/>
              </w:rPr>
            </w:pPr>
            <w:r>
              <w:rPr>
                <w:rFonts w:ascii="Arial" w:cs="Arial" w:eastAsia="Arial" w:hAnsi="Arial"/>
                <w:sz w:val="14"/>
                <w:szCs w:val="14"/>
                <w:color w:val="auto"/>
              </w:rPr>
              <w:t>(in thousands)</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800" w:type="dxa"/>
            <w:vAlign w:val="bottom"/>
          </w:tcPr>
          <w:p>
            <w:pPr>
              <w:jc w:val="right"/>
              <w:ind w:right="428"/>
              <w:spacing w:after="0"/>
              <w:rPr>
                <w:sz w:val="20"/>
                <w:szCs w:val="20"/>
                <w:color w:val="auto"/>
              </w:rPr>
            </w:pPr>
            <w:r>
              <w:rPr>
                <w:rFonts w:ascii="Arial" w:cs="Arial" w:eastAsia="Arial" w:hAnsi="Arial"/>
                <w:sz w:val="14"/>
                <w:szCs w:val="14"/>
                <w:color w:val="auto"/>
              </w:rPr>
              <w:t>2021</w:t>
            </w:r>
          </w:p>
        </w:tc>
      </w:tr>
    </w:tbl>
    <w:p>
      <w:pPr>
        <w:spacing w:after="0" w:line="1" w:lineRule="exact"/>
        <w:rPr>
          <w:sz w:val="20"/>
          <w:szCs w:val="20"/>
          <w:color w:val="auto"/>
        </w:rPr>
      </w:pPr>
    </w:p>
    <w:p>
      <w:pPr>
        <w:sectPr>
          <w:pgSz w:w="11900" w:h="16838" w:orient="portrait"/>
          <w:cols w:equalWidth="0" w:num="1">
            <w:col w:w="11240"/>
          </w:cols>
          <w:pgMar w:left="320" w:top="1205" w:right="339" w:bottom="1440" w:gutter="0" w:footer="0" w:header="0"/>
        </w:sectPr>
      </w:pPr>
    </w:p>
    <w:p>
      <w:pPr>
        <w:ind w:left="140"/>
        <w:spacing w:after="0"/>
        <w:rPr>
          <w:sz w:val="20"/>
          <w:szCs w:val="20"/>
          <w:color w:val="auto"/>
        </w:rPr>
      </w:pPr>
      <w:r>
        <w:rPr>
          <w:rFonts w:ascii="Arial" w:cs="Arial" w:eastAsia="Arial" w:hAnsi="Arial"/>
          <w:sz w:val="16"/>
          <w:szCs w:val="16"/>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926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Restricted stock units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926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total inventories are summarized as follows: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ind w:left="380"/>
        <w:spacing w:after="0"/>
        <w:tabs>
          <w:tab w:leader="none" w:pos="1760" w:val="left"/>
        </w:tabs>
        <w:rPr>
          <w:sz w:val="20"/>
          <w:szCs w:val="20"/>
          <w:color w:val="auto"/>
        </w:rPr>
      </w:pPr>
      <w:r>
        <w:rPr>
          <w:rFonts w:ascii="Arial" w:cs="Arial" w:eastAsia="Arial" w:hAnsi="Arial"/>
          <w:sz w:val="18"/>
          <w:szCs w:val="18"/>
          <w:b w:val="1"/>
          <w:bCs w:val="1"/>
          <w:color w:val="auto"/>
        </w:rPr>
        <w:t>1,335</w:t>
      </w:r>
      <w:r>
        <w:rPr>
          <w:sz w:val="20"/>
          <w:szCs w:val="20"/>
          <w:color w:val="auto"/>
        </w:rPr>
        <w:tab/>
      </w:r>
      <w:r>
        <w:rPr>
          <w:rFonts w:ascii="Arial" w:cs="Arial" w:eastAsia="Arial" w:hAnsi="Arial"/>
          <w:sz w:val="18"/>
          <w:szCs w:val="18"/>
          <w:color w:val="auto"/>
        </w:rPr>
        <w:t>1,249</w:t>
      </w:r>
    </w:p>
    <w:p>
      <w:pPr>
        <w:spacing w:after="0" w:line="40" w:lineRule="exact"/>
        <w:rPr>
          <w:sz w:val="20"/>
          <w:szCs w:val="20"/>
          <w:color w:val="auto"/>
        </w:rPr>
      </w:pPr>
    </w:p>
    <w:p>
      <w:pPr>
        <w:ind w:left="1940" w:hanging="1418"/>
        <w:spacing w:after="0"/>
        <w:tabs>
          <w:tab w:leader="none" w:pos="19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285</w:t>
      </w:r>
    </w:p>
    <w:p>
      <w:pPr>
        <w:spacing w:after="0" w:line="23" w:lineRule="exact"/>
        <w:rPr>
          <w:sz w:val="20"/>
          <w:szCs w:val="20"/>
          <w:color w:val="auto"/>
        </w:rPr>
      </w:pPr>
    </w:p>
    <w:p>
      <w:pPr>
        <w:ind w:left="1940" w:hanging="1418"/>
        <w:spacing w:after="0"/>
        <w:tabs>
          <w:tab w:leader="none" w:pos="19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352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color w:val="auto"/>
        </w:rPr>
        <w:t>December 31,</w:t>
      </w:r>
    </w:p>
    <w:p>
      <w:pPr>
        <w:spacing w:after="0" w:line="2"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color w:val="auto"/>
        </w:rPr>
        <w:t>2021</w:t>
      </w:r>
    </w:p>
    <w:p>
      <w:pPr>
        <w:spacing w:after="0" w:line="10" w:lineRule="exact"/>
        <w:rPr>
          <w:sz w:val="20"/>
          <w:szCs w:val="20"/>
          <w:color w:val="auto"/>
        </w:rPr>
      </w:pPr>
    </w:p>
    <w:p>
      <w:pPr>
        <w:sectPr>
          <w:pgSz w:w="11900" w:h="16838" w:orient="portrait"/>
          <w:cols w:equalWidth="0" w:num="2">
            <w:col w:w="7880" w:space="720"/>
            <w:col w:w="2640"/>
          </w:cols>
          <w:pgMar w:left="320" w:top="120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1"/>
        </w:trPr>
        <w:tc>
          <w:tcPr>
            <w:tcW w:w="8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three months ended March 31, 2022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80" w:type="dxa"/>
            <w:vAlign w:val="bottom"/>
          </w:tcPr>
          <w:p>
            <w:pPr>
              <w:spacing w:after="0"/>
              <w:rPr>
                <w:sz w:val="14"/>
                <w:szCs w:val="1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as of January 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i w:val="1"/>
                <w:iCs w:val="1"/>
                <w:color w:val="auto"/>
              </w:rPr>
              <w:t>Activity in 2022</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Balance as of March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2021</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5"/>
        </w:trPr>
        <w:tc>
          <w:tcPr>
            <w:tcW w:w="3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Amortization expense related to finite-lived intangible assets was $30 million and $32 million for the three-month periods ended March 31, 2022 and 2021,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$457 million and $301 million as of March 31, 2022 and December 31, 2021, respectively. As of March 31, 2022, our most significant foreign currency derivatives included contracts to sell U.S. Dollar and purchase Euro, purchase Swedish Krona and sell Euro, sell British Pound and purchase Euro, sell Canadian Dollar and purchase Euro, purchase U.S. Dollar and sell Canadian Dollar, sell Australian Dollar and purchase Euro, and to purchase Polish Zloty and sell Euro. The purchased notional amounts associated with these currency derivatives are $186 million, $140 million, $49 million, $ 23 million, $22 million, $20 million and $17 million, respectively. As of December 31, 2021 the purchased notional amounts associated with these currency derivatives are $130 million, $88 million, $31 million, $14 million, $14 million, $13 million and $11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$1,135 million and $1,151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$556 million and $563 million as of March 31, 2022 and December 31, 2021, respectively, net of unamortized discount, as a hedge of a net investment in certain foreign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Amount of loss (gain) reclassified from OCI into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reclassified from OCI into cost of revenue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7"/>
        </w:trPr>
        <w:tc>
          <w:tcPr>
            <w:tcW w:w="8600" w:type="dxa"/>
            <w:vAlign w:val="bottom"/>
          </w:tcPr>
          <w:p>
            <w:pPr>
              <w:ind w:left="220"/>
              <w:spacing w:after="0"/>
              <w:rPr>
                <w:sz w:val="20"/>
                <w:szCs w:val="20"/>
                <w:color w:val="auto"/>
              </w:rPr>
            </w:pPr>
            <w:r>
              <w:rPr>
                <w:rFonts w:ascii="Arial" w:cs="Arial" w:eastAsia="Arial" w:hAnsi="Arial"/>
                <w:sz w:val="18"/>
                <w:szCs w:val="18"/>
                <w:color w:val="auto"/>
              </w:rPr>
              <w:t>Amount of gain recognized in OCI</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$7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 gains or losses on the net investment hedges are expected to be reclassified into earnings over their duration.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fair value of our long-term debt, due in 2023, designated as a net investment hedge was $564 million and $577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Credit Facilities and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18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2023 (a)</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3.250% Senior Notes due 2026 (a)</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1.950% Senior Notes due 2028 (a)</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2.250% Senior Notes due 2031 (a)</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4.375% Senior Notes due 2046 (a)</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20" w:hanging="332"/>
        <w:spacing w:after="0" w:line="261"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2023 was $564 million and $577 million as of March 31, 2022 and December 31, 2021, respectively. The fair value of our Senior Notes due 2026 was $499 million and $537 million as of March 31, 2022 and December 31, 2021 respectively. The fair value of our Senior Notes due 2028 was $463 million and $497 million as of March 31, 2022 and December 31, 2021, respectively. The fair value of our Senior Notes due 2031 was $454 million and $496 million as of March 31, 2022 and December 31, 2021, respectively. The fair value of our Senior Notes due 2046 was $413 million and $481 million as of March 31, 2022 and December 31, 2021, respectively.</w:t>
      </w:r>
    </w:p>
    <w:p>
      <w:pPr>
        <w:spacing w:after="0" w:line="81"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78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March 31, 2022, we are in compliance with all covenants for the Green Bond.</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March 31, 2022, we are in compliance with all covenants for the 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 As of March 31, 2022, the 2019 Credit Facility was undrawn and we are in compliance with all revolver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March 31, 2022 and December 31, 2021, none of the Company's $600 million U.S. Dollar commercial paper program was outstanding. We have the ability to continue borrowing under this program going forward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$557 million) which may be denominated in a variety of currencies. The maximum issuing balance may be increased in accordance with the Dealer Agreement. As of March 31, 2022 and December 31, 2021,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r>
      <w:tr>
        <w:trPr>
          <w:trHeight w:val="212"/>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center"/>
              <w:ind w:left="69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(2)</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9"/>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center"/>
              <w:ind w:left="694"/>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3</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9"/>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23"/>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99"/>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7</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8</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net" in the Condensed Consolidated Income Statements.</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The total net periodic benefit cost for other post-retirement employee benefit plans was less than $1 million, including net credits recognized into other comprehensive income of less than $1 million, for both the three months ended March 31, 2022 and 2021,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$5 million and $6 million to our defined benefit plans during the three months ended March 31, 2022 and 2021,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$11 million and $19 million are expected to be made during the remainder of 2022.</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mid-2022.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($0.30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3,206</w:t>
            </w:r>
          </w:p>
        </w:tc>
        <w:tc>
          <w:tcPr>
            <w:tcW w:w="0" w:type="dxa"/>
            <w:vAlign w:val="bottom"/>
          </w:tcPr>
          <w:p>
            <w:pPr>
              <w:spacing w:after="0"/>
              <w:rPr>
                <w:sz w:val="1"/>
                <w:szCs w:val="1"/>
                <w:color w:val="auto"/>
              </w:rPr>
            </w:pPr>
          </w:p>
        </w:tc>
      </w:tr>
      <w:tr>
        <w:trPr>
          <w:trHeight w:val="423"/>
        </w:trPr>
        <w:tc>
          <w:tcPr>
            <w:tcW w:w="9020" w:type="dxa"/>
            <w:vAlign w:val="bottom"/>
            <w:gridSpan w:val="16"/>
          </w:tcPr>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Share-Based Compensation Plans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Share-based compensation expense was $ 9 million during both the three months ended March 31, 2022 and 2021. The unrecognized compensation expense related to our stock options, restricted stock units and performance share units was $10 million, $38 million and $20 million, respectively, at March 31, 2022 and is expected to be recognized over a weighted average period of 2.2, 2.3 and 2.6 years, respectively. The amount of cash received from the exercise of stock options was $1 million and $3 million for the three months ended March 31, 2022 and 2021,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three months ended March 31, 2022</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718"/>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center"/>
              <w:ind w:left="698"/>
              <w:spacing w:after="0"/>
              <w:rPr>
                <w:sz w:val="20"/>
                <w:szCs w:val="20"/>
                <w:color w:val="auto"/>
              </w:rPr>
            </w:pPr>
            <w:r>
              <w:rPr>
                <w:rFonts w:ascii="Arial" w:cs="Arial" w:eastAsia="Arial" w:hAnsi="Arial"/>
                <w:sz w:val="18"/>
                <w:szCs w:val="18"/>
                <w:b w:val="1"/>
                <w:bCs w:val="1"/>
                <w:color w:val="auto"/>
                <w:w w:val="99"/>
              </w:rPr>
              <w:t>44</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March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center"/>
              <w:ind w:left="698"/>
              <w:spacing w:after="0"/>
              <w:rPr>
                <w:sz w:val="20"/>
                <w:szCs w:val="20"/>
                <w:color w:val="auto"/>
              </w:rPr>
            </w:pPr>
            <w:r>
              <w:rPr>
                <w:rFonts w:ascii="Arial" w:cs="Arial" w:eastAsia="Arial" w:hAnsi="Arial"/>
                <w:sz w:val="18"/>
                <w:szCs w:val="18"/>
                <w:b w:val="1"/>
                <w:bCs w:val="1"/>
                <w:color w:val="auto"/>
                <w:w w:val="99"/>
              </w:rPr>
              <w:t>41</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center"/>
              <w:ind w:left="698"/>
              <w:spacing w:after="0"/>
              <w:rPr>
                <w:sz w:val="20"/>
                <w:szCs w:val="20"/>
                <w:color w:val="auto"/>
              </w:rPr>
            </w:pPr>
            <w:r>
              <w:rPr>
                <w:rFonts w:ascii="Arial" w:cs="Arial" w:eastAsia="Arial" w:hAnsi="Arial"/>
                <w:sz w:val="18"/>
                <w:szCs w:val="18"/>
                <w:b w:val="1"/>
                <w:bCs w:val="1"/>
                <w:color w:val="auto"/>
                <w:w w:val="99"/>
              </w:rPr>
              <w:t>44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three months ended March 31, 2022 was $0.6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2022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19.86</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2022</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three months ended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2022. The fair value of the ROIC performance share units is equal to the closing share price on the date of the grant: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3"/>
                <w:szCs w:val="13"/>
                <w:color w:val="auto"/>
              </w:rPr>
            </w:pPr>
          </w:p>
        </w:tc>
        <w:tc>
          <w:tcPr>
            <w:tcW w:w="15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86.76</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March 31, 2022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88.90</w:t>
            </w: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 Includes ROIC performance share unit awards forfeited during the period as a result of the final performance condition not being achieved on vest date.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three months ended March 31, 2022:</w:t>
      </w:r>
    </w:p>
    <w:tbl>
      <w:tblPr>
        <w:tblLayout w:type="fixed"/>
        <w:tblInd w:w="0" w:type="dxa"/>
        <w:tblCellMar>
          <w:top w:w="0" w:type="dxa"/>
          <w:left w:w="0" w:type="dxa"/>
          <w:bottom w:w="0" w:type="dxa"/>
          <w:right w:w="0" w:type="dxa"/>
        </w:tblCellMar>
      </w:tblPr>
      <w:tr>
        <w:trPr>
          <w:trHeight w:val="145"/>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3"/>
                <w:szCs w:val="13"/>
                <w:color w:val="auto"/>
              </w:rPr>
            </w:pPr>
          </w:p>
        </w:tc>
        <w:tc>
          <w:tcPr>
            <w:tcW w:w="15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71.14</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89.62</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March 31, 2022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100.73</w:t>
            </w: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firstLine="8"/>
        <w:spacing w:after="0" w:line="304"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2022 grants: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three months ended March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100"/>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34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80"/>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86.76</w:t>
            </w:r>
          </w:p>
        </w:tc>
      </w:tr>
      <w:tr>
        <w:trPr>
          <w:trHeight w:val="248"/>
        </w:trPr>
        <w:tc>
          <w:tcPr>
            <w:tcW w:w="7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March 31, 2022</w:t>
            </w:r>
          </w:p>
        </w:tc>
        <w:tc>
          <w:tcPr>
            <w:tcW w:w="13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shares will vest contingent upon the achievement of a pre-set, three-year Revenue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 Stock</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the three months ended March 31, 2022 and March 31, 2021, the Company repurchased less than 0.6 million shares of common stock for $51 million and approximately 0.7 million shares of common stock for $67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approximately 0.5 million shares repurchased for $45 million under the program for the three months ended March 31, 2022. For the three months ended March 31, 2021, we repurchased approximately 0.6 million shares for $60 million. There are up to $182 million in shares that may still be purchased under this plan as of March 31, 2022.</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Aside from the aforementioned repurchase program, we repurchased approximately 0.1 million shares and approximately 0.1 million shares for $6 million and $7 million for the three months ended March 31, 2022 and 2021, respectively, in relation to settlement of employee tax withholding obligations due as a result of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15.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three months ended March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ind w:left="140"/>
              <w:spacing w:after="0" w:line="183"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5"/>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three months ended March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4, "Income Taxes", of our condensed consolidated financial statements for a description of a pending tax litigation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140"/>
        <w:spacing w:after="0" w:line="262"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$4 million as of March 31, 2022 and December 31, 2021 for these general legal matters.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March 31, 2022 and December 31, 2021, the amount of surety bonds, bank guarantees, insurance letters of credit, stand-by letters of credit as well as revenue and customs guarantees was $431 million and $415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and $3 million as of March 31, 2022 and December 31, 2021 for environmental matters.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March 31</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17. Segment Information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has three reportable segments: Water Infrastructure, Applied Water and Measurement &amp; Control Solutions.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6" w:name="page27"/>
    <w:bookmarkEnd w:id="26"/>
    <w:p>
      <w:pPr>
        <w:spacing w:after="0" w:line="279"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 Note 1 in the 2021 Annual Report. The following table contains financial information for each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2"/>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0" w:hanging="332"/>
        <w:spacing w:after="0" w:line="266"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76"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7" w:name="page28"/>
    <w:bookmarkEnd w:id="27"/>
    <w:p>
      <w:pPr>
        <w:ind w:left="1560" w:right="1640" w:hanging="1538"/>
        <w:spacing w:after="0" w:line="249" w:lineRule="auto"/>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i w:val="1"/>
          <w:iCs w:val="1"/>
          <w:color w:val="auto"/>
        </w:rPr>
        <w:t>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 share growth.</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w:t>
      </w:r>
    </w:p>
    <w:p>
      <w:pPr>
        <w:spacing w:after="0" w:line="226" w:lineRule="auto"/>
        <w:rPr>
          <w:sz w:val="20"/>
          <w:szCs w:val="20"/>
          <w:color w:val="auto"/>
        </w:rPr>
      </w:pPr>
      <w:r>
        <w:rPr>
          <w:rFonts w:ascii="Arial" w:cs="Arial" w:eastAsia="Arial" w:hAnsi="Arial"/>
          <w:sz w:val="18"/>
          <w:szCs w:val="18"/>
          <w:i w:val="1"/>
          <w:iCs w:val="1"/>
          <w:color w:val="auto"/>
        </w:rPr>
        <w:t>control. Additionally, many of these risks and uncertainties are, and may continue to be, amplified by impacts from Russia's recent invasion of Ukraine, as well as the ongoing coronavirus (“COVID-19”) pandemic. Important factors that could cause our actual results, performance and</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i w:val="1"/>
          <w:iCs w:val="1"/>
          <w:color w:val="auto"/>
        </w:rPr>
        <w:t>achievements, or industry results to differ materially from estimates or projections contained in or implied by our forward-looking statements include, among others, the following: overall industry and economic conditions, including industrial, governmental, and public and private sector spending and the strength of the residential and commercial real estate markets; geopolitical events, including the war between Russia and Ukraine, and regulatory, economic and other risks associated with our global sales and operations, including with respect to domestic content requirements applicable to projects with governmental funding; continued uncertainty around the ongoing COVID-19 pandemic’s magnitude, duration and impacts on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products; disruptions in operations at our facilities or that of</w:t>
      </w:r>
    </w:p>
    <w:p>
      <w:pPr>
        <w:spacing w:after="0" w:line="6" w:lineRule="exact"/>
        <w:rPr>
          <w:sz w:val="20"/>
          <w:szCs w:val="20"/>
          <w:color w:val="auto"/>
        </w:rPr>
      </w:pPr>
    </w:p>
    <w:p>
      <w:pPr>
        <w:ind w:right="360"/>
        <w:spacing w:after="0"/>
        <w:rPr>
          <w:sz w:val="20"/>
          <w:szCs w:val="20"/>
          <w:color w:val="auto"/>
        </w:rPr>
      </w:pPr>
      <w:r>
        <w:rPr>
          <w:rFonts w:ascii="Arial" w:cs="Arial" w:eastAsia="Arial" w:hAnsi="Arial"/>
          <w:sz w:val="17"/>
          <w:szCs w:val="17"/>
          <w:i w:val="1"/>
          <w:iCs w:val="1"/>
          <w:color w:val="auto"/>
        </w:rPr>
        <w:t>third parties upon which we rely; ability to retain and attract senior management and other diverse and key talent, as well as increasing competition for overall talent and labor; difficulty predicting our financial results; defects, security, warranty and liability claims, and recalls</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i w:val="1"/>
          <w:iCs w:val="1"/>
          <w:color w:val="auto"/>
        </w:rPr>
        <w:t>with respect to products; availability, regulation or interference with radio spectrum used by certain of our products; uncertainty related to restructuring and realignment actions and related charges and savings; our ability to continue strategic investments for growth; our ability to successfully identify, execute and integrate acquisitions; volatility in served markets or impacts on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competition, and the environment and climate change; changes in our effective tax rates or tax expenses; legal, governmental or regulatory claims, investigations or proceedings and associated contingent liabilities; and other factors set forth under “Item 1A. Risk Factors” in our Annual Report on Form 10-K for the year ended December 31, 2021 ("2021 Annual Report") and in subsequent filings we make with the Securities and Exchange Commission (“SEC”).</w:t>
      </w:r>
    </w:p>
    <w:p>
      <w:pPr>
        <w:spacing w:after="0" w:line="9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 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74" w:lineRule="exact"/>
        <w:rPr>
          <w:sz w:val="20"/>
          <w:szCs w:val="20"/>
          <w:color w:val="auto"/>
        </w:rPr>
      </w:pPr>
    </w:p>
    <w:p>
      <w:pPr>
        <w:ind w:left="660" w:right="4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10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Given the magnitude and duration of the COVID-19 pandemic and its economic consequences, it has become more difficult to distinguish specific aspects of our operational and financial performance that are most directly related to the pandemic from those more broadly</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influenced by ongoing macroeconomic, market and industry dynamics that may be, to varying degrees, related to the pandemic and its consequences.</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markets and operations have largely demonstrated resilience against the effects of the pandemic. However, we have experienced, and expect to continue experiencing shortages in the supply of components, including electronics, particularly semiconductors ("chips"), parts and</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raw materials. To counteract these impacts, we are taking various actions, including building inventory to support backlog execution and redesigning our products. We expect chip supply to improve in each successive quarter in 2022. We have also experienced, and continue to experience, increased inflation, freight and logistics costs, and are engaging in various mitigation strategies, including enhanced price realization efforts.</w:t>
      </w:r>
    </w:p>
    <w:p>
      <w:pPr>
        <w:spacing w:after="0" w:line="208"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color w:val="auto"/>
        </w:rPr>
        <w:t>We continue to assess the evolving nature of the pandemic and its possible implications to our business, employees, supply chain, customers and communities, and take appropriate actions in an effort to mitigate adverse consequences.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240"/>
        <w:spacing w:after="0" w:line="256" w:lineRule="auto"/>
        <w:rPr>
          <w:sz w:val="20"/>
          <w:szCs w:val="20"/>
          <w:color w:val="auto"/>
        </w:rPr>
      </w:pPr>
      <w:r>
        <w:rPr>
          <w:rFonts w:ascii="Arial" w:cs="Arial" w:eastAsia="Arial" w:hAnsi="Arial"/>
          <w:sz w:val="18"/>
          <w:szCs w:val="18"/>
          <w:color w:val="auto"/>
        </w:rPr>
        <w:t>Risk related to the impact of COVID-19 as well as our supply chain and macroeconomic issues, including inflation, are described in further detail under "Item 1A. Risk Factors" in the Company's 2021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Xylem reported revenue for the first quarter of 2022 of $ 1,272 million, an increase of 1.3% compared to $1,256 million reported in the first quarter of 2021. On a constant currency basis, revenue increased by $49 million, or 3.9%, driven by organic revenue growth in the Applied</w:t>
      </w:r>
    </w:p>
    <w:p>
      <w:pPr>
        <w:spacing w:after="0" w:line="1"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Water and Water Infrastructure segments, partially offset by organic declines in Measurement &amp; Control Solutions. These results were driven by organic growth in the industrial, commercial and residential end markets, partially offset by organic declines in utilities as expected due to the impact of chip availability.</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generated operating income of $111 million (margin of 8.7%) during the first quarter of 2022, as compared to $133 million (margin of 10.6%) in 2021. Operating income in the first quarter of 2022 benefited from a decrease in restructuring and realignment costs of $4 million as compared to the first quarter of 2021 and a decrease in special charges of $1 million. Excluding the impact of these items, adjusted operating income was $116 million (adjusted margin of 9.1%) during the first quarter of 2022 as compared to $143 million (adjusted margin of 11.4%) in 2021. The decrease in adjusted operating margin was primarily due to cost inflation and increased logistics cost, as well as increased spending on strategic investments. These impacts were partially offset by improved price realization and cost reductions from our productivity and other cost saving initiatives.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March 31, 2022 include the following:</w:t>
      </w:r>
    </w:p>
    <w:p>
      <w:pPr>
        <w:spacing w:after="0" w:line="11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Orders of $1,715 million, up 11.5% from $1,538 million in the prior year, and up 14.5%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share of $0.45, down 6.25% when compared to the prior year ($0.47, down 16.1% on an adjusted basis).</w:t>
      </w:r>
    </w:p>
    <w:p>
      <w:pPr>
        <w:spacing w:after="0" w:line="117" w:lineRule="exact"/>
        <w:rPr>
          <w:rFonts w:ascii="Arial" w:cs="Arial" w:eastAsia="Arial" w:hAnsi="Arial"/>
          <w:sz w:val="18"/>
          <w:szCs w:val="18"/>
          <w:color w:val="auto"/>
        </w:rPr>
      </w:pPr>
    </w:p>
    <w:p>
      <w:pPr>
        <w:ind w:left="340" w:right="160" w:hanging="332"/>
        <w:spacing w:after="0" w:line="28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as a percent of revenue of 6.4%, down 50 basis points compared to 6.9% in the prior year. EBITDA margin of 13.1%, down 240 basis points when compared to 15.5% in the prior year (14.2%, down 290 basis points on an adjusted basis)</w:t>
      </w:r>
    </w:p>
    <w:p>
      <w:pPr>
        <w:spacing w:after="0" w:line="44"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cash flow used in operating activities of $81 million for the three months ended March 31, 2022, an increase of $55 million of cash used during the same period of the prior year. Negative free cash flow of $130 million, down $65 million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79" w:lineRule="exact"/>
        <w:rPr>
          <w:sz w:val="20"/>
          <w:szCs w:val="20"/>
          <w:color w:val="auto"/>
        </w:rPr>
      </w:pPr>
    </w:p>
    <w:p>
      <w:pPr>
        <w:ind w:left="660" w:right="2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7"/>
                <w:szCs w:val="17"/>
                <w:color w:val="auto"/>
              </w:rPr>
            </w:pPr>
          </w:p>
        </w:tc>
      </w:tr>
      <w:tr>
        <w:trPr>
          <w:trHeight w:val="224"/>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center"/>
              <w:ind w:left="55"/>
              <w:spacing w:after="0"/>
              <w:rPr>
                <w:sz w:val="20"/>
                <w:szCs w:val="20"/>
                <w:color w:val="auto"/>
              </w:rPr>
            </w:pPr>
            <w:r>
              <w:rPr>
                <w:rFonts w:ascii="Arial" w:cs="Arial" w:eastAsia="Arial" w:hAnsi="Arial"/>
                <w:sz w:val="18"/>
                <w:szCs w:val="18"/>
                <w:b w:val="1"/>
                <w:bCs w:val="1"/>
                <w:color w:val="auto"/>
              </w:rPr>
              <w:t>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Restructuring and realignment, net of tax of $1 and $2</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left="55"/>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 net of tax of $1 and $0</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55"/>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Tax-related special items</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left="35"/>
              <w:spacing w:after="0"/>
              <w:rPr>
                <w:sz w:val="20"/>
                <w:szCs w:val="20"/>
                <w:color w:val="auto"/>
              </w:rPr>
            </w:pPr>
            <w:r>
              <w:rPr>
                <w:rFonts w:ascii="Arial" w:cs="Arial" w:eastAsia="Arial" w:hAnsi="Arial"/>
                <w:sz w:val="18"/>
                <w:szCs w:val="18"/>
                <w:b w:val="1"/>
                <w:bCs w:val="1"/>
                <w:color w:val="auto"/>
                <w:w w:val="97"/>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 net of tax of $0</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35"/>
              <w:spacing w:after="0"/>
              <w:rPr>
                <w:sz w:val="20"/>
                <w:szCs w:val="20"/>
                <w:color w:val="auto"/>
              </w:rPr>
            </w:pPr>
            <w:r>
              <w:rPr>
                <w:rFonts w:ascii="Arial" w:cs="Arial" w:eastAsia="Arial" w:hAnsi="Arial"/>
                <w:sz w:val="18"/>
                <w:szCs w:val="18"/>
                <w:b w:val="1"/>
                <w:bCs w:val="1"/>
                <w:color w:val="auto"/>
                <w:w w:val="97"/>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center"/>
              <w:ind w:left="55"/>
              <w:spacing w:after="0"/>
              <w:rPr>
                <w:sz w:val="20"/>
                <w:szCs w:val="20"/>
                <w:color w:val="auto"/>
              </w:rPr>
            </w:pPr>
            <w:r>
              <w:rPr>
                <w:rFonts w:ascii="Arial" w:cs="Arial" w:eastAsia="Arial" w:hAnsi="Arial"/>
                <w:sz w:val="18"/>
                <w:szCs w:val="18"/>
                <w:b w:val="1"/>
                <w:bCs w:val="1"/>
                <w:color w:val="auto"/>
              </w:rPr>
              <w:t>0.47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60" w:right="2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expenses" and "adjusted gross profit" defined as operating expenses and gross profit, respectively, adjusted to exclude restructuring and realignment costs and special charges.</w:t>
      </w:r>
    </w:p>
    <w:p>
      <w:pPr>
        <w:spacing w:after="0" w:line="44"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44"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328" w:right="120"/>
        <w:spacing w:after="0" w:line="287" w:lineRule="auto"/>
        <w:rPr>
          <w:sz w:val="20"/>
          <w:szCs w:val="20"/>
          <w:color w:val="auto"/>
        </w:rPr>
      </w:pPr>
      <w:r>
        <w:rPr>
          <w:rFonts w:ascii="Arial" w:cs="Arial" w:eastAsia="Arial" w:hAnsi="Arial"/>
          <w:sz w:val="18"/>
          <w:szCs w:val="18"/>
          <w:color w:val="auto"/>
        </w:rPr>
        <w:t>EBITDA to exclude share-based compensation charges, restructuring and realignment costs, special charges and gain or loss from sale of businesses, and "adjusted EBITDA margin" defined as adjusted EBITDA divided by total revenue.</w:t>
      </w:r>
    </w:p>
    <w:p>
      <w:pPr>
        <w:spacing w:after="0" w:line="45" w:lineRule="exact"/>
        <w:rPr>
          <w:sz w:val="20"/>
          <w:szCs w:val="20"/>
          <w:color w:val="auto"/>
        </w:rPr>
      </w:pPr>
    </w:p>
    <w:p>
      <w:pPr>
        <w:ind w:left="328" w:right="320" w:hanging="328"/>
        <w:spacing w:after="0" w:line="287"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31" w:lineRule="exact"/>
        <w:rPr>
          <w:rFonts w:ascii="Arial" w:cs="Arial" w:eastAsia="Arial" w:hAnsi="Arial"/>
          <w:sz w:val="18"/>
          <w:szCs w:val="18"/>
          <w:color w:val="auto"/>
        </w:rPr>
      </w:pPr>
    </w:p>
    <w:p>
      <w:pPr>
        <w:ind w:left="328" w:right="80" w:hanging="328"/>
        <w:spacing w:after="0" w:line="256" w:lineRule="auto"/>
        <w:tabs>
          <w:tab w:leader="none" w:pos="317" w:val="left"/>
        </w:tabs>
        <w:numPr>
          <w:ilvl w:val="0"/>
          <w:numId w:val="16"/>
        </w:numPr>
        <w:rPr>
          <w:rFonts w:ascii="Arial" w:cs="Arial" w:eastAsia="Arial" w:hAnsi="Arial"/>
          <w:sz w:val="16"/>
          <w:szCs w:val="16"/>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71" w:lineRule="exact"/>
        <w:rPr>
          <w:rFonts w:ascii="Arial" w:cs="Arial" w:eastAsia="Arial" w:hAnsi="Arial"/>
          <w:sz w:val="16"/>
          <w:szCs w:val="16"/>
          <w:color w:val="auto"/>
        </w:rPr>
      </w:pPr>
    </w:p>
    <w:p>
      <w:pPr>
        <w:ind w:left="328" w:right="480" w:hanging="328"/>
        <w:spacing w:after="0" w:line="287"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58" w:lineRule="exact"/>
        <w:rPr>
          <w:rFonts w:ascii="Arial" w:cs="Arial" w:eastAsia="Arial" w:hAnsi="Arial"/>
          <w:sz w:val="18"/>
          <w:szCs w:val="18"/>
          <w:color w:val="auto"/>
        </w:rPr>
      </w:pPr>
    </w:p>
    <w:p>
      <w:pPr>
        <w:ind w:left="328" w:hanging="328"/>
        <w:spacing w:after="0" w:line="254" w:lineRule="auto"/>
        <w:tabs>
          <w:tab w:leader="none" w:pos="316" w:val="left"/>
        </w:tabs>
        <w:numPr>
          <w:ilvl w:val="0"/>
          <w:numId w:val="16"/>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125" w:lineRule="exact"/>
        <w:rPr>
          <w:sz w:val="20"/>
          <w:szCs w:val="20"/>
          <w:color w:val="auto"/>
        </w:rPr>
      </w:pPr>
    </w:p>
    <w:tbl>
      <w:tblPr>
        <w:tblLayout w:type="fixed"/>
        <w:tblInd w:w="348"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2"/>
        </w:trPr>
        <w:tc>
          <w:tcPr>
            <w:tcW w:w="68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4"/>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7"/>
                <w:szCs w:val="17"/>
                <w:color w:val="auto"/>
              </w:rPr>
            </w:pPr>
          </w:p>
        </w:tc>
        <w:tc>
          <w:tcPr>
            <w:tcW w:w="440" w:type="dxa"/>
            <w:vAlign w:val="bottom"/>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93"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2022 Outlook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total revenue growth in the range of 1% to 3% in 2022, with organic revenue growth anticipated to be in the range of 4% to 6%.</w:t>
      </w:r>
    </w:p>
    <w:p>
      <w:pPr>
        <w:spacing w:after="0"/>
        <w:rPr>
          <w:sz w:val="20"/>
          <w:szCs w:val="20"/>
          <w:color w:val="auto"/>
        </w:rPr>
      </w:pPr>
      <w:r>
        <w:rPr>
          <w:rFonts w:ascii="Arial" w:cs="Arial" w:eastAsia="Arial" w:hAnsi="Arial"/>
          <w:sz w:val="18"/>
          <w:szCs w:val="18"/>
          <w:color w:val="auto"/>
        </w:rPr>
        <w:t>The following is a summary of our organic revenue outlook by end markets:</w:t>
      </w:r>
    </w:p>
    <w:p>
      <w:pPr>
        <w:spacing w:after="0" w:line="221" w:lineRule="exact"/>
        <w:rPr>
          <w:sz w:val="20"/>
          <w:szCs w:val="20"/>
          <w:color w:val="auto"/>
        </w:rPr>
      </w:pPr>
    </w:p>
    <w:p>
      <w:pPr>
        <w:ind w:left="660" w:right="20" w:hanging="328"/>
        <w:spacing w:after="0" w:line="243"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Utilities revenue decreased by approximately 3% in the first quarter on an organic basis driven by weakness in the emerging markets and the United States, partially offset by strength in western Europe. For 2022, we expect organic revenue growth in the low-single-digit range, as utilities remain focused on mission-critical applications in wastewater; although we expect uneven growth from China and India as multi-year government funding programs are deployed. On the clean water side, the timing of large project deployments has been impacted by the global shortage of electronic components. We anticipate that these deployments will ramp up when supply constraints gradually ease through 2022 based on our strong backlog position and orders momentum. Additionally, we can expect healthy momentum in the global test and treatment markets and rising demand and focus on pipeline assessment services.</w:t>
      </w:r>
    </w:p>
    <w:p>
      <w:pPr>
        <w:spacing w:after="0" w:line="72" w:lineRule="exact"/>
        <w:rPr>
          <w:rFonts w:ascii="Arial" w:cs="Arial" w:eastAsia="Arial" w:hAnsi="Arial"/>
          <w:sz w:val="17"/>
          <w:szCs w:val="17"/>
          <w:color w:val="auto"/>
        </w:rPr>
      </w:pPr>
    </w:p>
    <w:p>
      <w:pPr>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Industrial revenue increased by approximately 10% in the first quarter on an organic basis driven by strength across all major geographic regions. For 2022, we expect organic revenue growth in the mid-single-digit range on steady global demand. We continue to see healthy growth in our dewatering business, especially in the emerging markets from strong mining demand as well as sustained demand in light industrial activity in the U.S. and western Europe reflecting our strong orders and backlog.</w:t>
      </w:r>
    </w:p>
    <w:p>
      <w:pPr>
        <w:spacing w:after="0" w:line="68" w:lineRule="exact"/>
        <w:rPr>
          <w:rFonts w:ascii="Arial" w:cs="Arial" w:eastAsia="Arial" w:hAnsi="Arial"/>
          <w:sz w:val="18"/>
          <w:szCs w:val="18"/>
          <w:color w:val="auto"/>
        </w:rPr>
      </w:pPr>
    </w:p>
    <w:p>
      <w:pPr>
        <w:ind w:left="660" w:right="24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commercial markets, organic revenue in the first quarter increased by approximately 11% driven by the U.S. and western Europe. For 2022, we expect organic revenue growth in the mid-single to high-single digit range. We expect solid replacement business in the U.S. and new production introductions. In Europe we can expect modest share gains, with demand for eco-friendly products supported by increase in funding for green buildings.</w:t>
      </w:r>
    </w:p>
    <w:p>
      <w:pPr>
        <w:spacing w:after="0" w:line="68"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residential markets, organic revenue increased by approximately 15% in the first quarter driven by strength in the U.S. with relatively flat growth in western Europe and the emerging markets. This market is primarily driven by replacement revenue serviced through our distribution network. For 2022, we expect organic revenue growth in the mid-single-digit range. We anticipate demand and activity to moderate and remain healthy from increased residential users in the U.S. and western Europe.</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2022, we expect to incur approximately $25 million and $30 million in restructuring and realignment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7"/>
                <w:szCs w:val="17"/>
                <w:color w:val="auto"/>
              </w:rPr>
            </w:pPr>
          </w:p>
        </w:tc>
      </w:tr>
      <w:tr>
        <w:trPr>
          <w:trHeight w:val="203"/>
        </w:trPr>
        <w:tc>
          <w:tcPr>
            <w:tcW w:w="7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r>
      <w:tr>
        <w:trPr>
          <w:trHeight w:val="197"/>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Change</w:t>
            </w:r>
          </w:p>
        </w:tc>
      </w:tr>
      <w:tr>
        <w:trPr>
          <w:trHeight w:val="224"/>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1.3 %</w:t>
            </w: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(4.7) %</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(230) bp</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(0.3) %</w:t>
            </w: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 bp</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(50.0) %</w:t>
            </w:r>
          </w:p>
        </w:tc>
      </w:tr>
      <w:tr>
        <w:trPr>
          <w:trHeight w:val="23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(50.0) %</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Adjusted operating expenses</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1.2 %</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 bp</w:t>
            </w: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(16.5) %</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(190) bp</w:t>
            </w:r>
          </w:p>
        </w:tc>
      </w:tr>
      <w:tr>
        <w:trPr>
          <w:trHeight w:val="230"/>
        </w:trPr>
        <w:tc>
          <w:tcPr>
            <w:tcW w:w="7040" w:type="dxa"/>
            <w:vAlign w:val="bottom"/>
          </w:tcPr>
          <w:p>
            <w:pPr>
              <w:ind w:left="140"/>
              <w:spacing w:after="0"/>
              <w:rPr>
                <w:sz w:val="20"/>
                <w:szCs w:val="20"/>
                <w:color w:val="auto"/>
              </w:rPr>
            </w:pPr>
            <w:r>
              <w:rPr>
                <w:rFonts w:ascii="Arial" w:cs="Arial" w:eastAsia="Arial" w:hAnsi="Arial"/>
                <w:sz w:val="18"/>
                <w:szCs w:val="18"/>
                <w:color w:val="auto"/>
              </w:rPr>
              <w:t>Interest and other non-operating expense, net</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(26.3) %</w:t>
            </w:r>
          </w:p>
        </w:tc>
      </w:tr>
      <w:tr>
        <w:trPr>
          <w:trHeight w:val="229"/>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NM</w:t>
            </w: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(40.7) %</w:t>
            </w: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(690) bp</w:t>
            </w:r>
          </w:p>
        </w:tc>
      </w:tr>
      <w:tr>
        <w:trPr>
          <w:trHeight w:val="247"/>
        </w:trPr>
        <w:tc>
          <w:tcPr>
            <w:tcW w:w="7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51"/>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(5.7) %</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 generated during the three months ended March 31, 2022 was $1,272 million, reflecting an increase of $16 million, or 1.3%, compared to the same prior year period. On a constant currency basis, revenue grew 3.9% for the three months ended March 31, 2022. The increase on a constant currency basis was driven by organic revenue growth of $51 million during the quarter, reflecting strong organic growth in western Europe and the U.S., partially offset by declines in emerging markets where growth in Latin America and eastern Europe were more than offset from declines in China due to the COVID lockdown mandated by the government in the last two weeks of the quarter.</w:t>
      </w:r>
    </w:p>
    <w:p>
      <w:pPr>
        <w:spacing w:after="0" w:line="71"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revenue during the three months ended March 31, 2022:</w:t>
      </w: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2"/>
                <w:szCs w:val="12"/>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2"/>
                <w:szCs w:val="12"/>
                <w:color w:val="auto"/>
              </w:rPr>
            </w:pPr>
          </w:p>
        </w:tc>
        <w:tc>
          <w:tcPr>
            <w:tcW w:w="19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2"/>
                <w:szCs w:val="12"/>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2021 Revenue</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75"/>
        </w:trPr>
        <w:tc>
          <w:tcPr>
            <w:tcW w:w="2420" w:type="dxa"/>
            <w:vAlign w:val="bottom"/>
          </w:tcPr>
          <w:p>
            <w:pPr>
              <w:ind w:left="360"/>
              <w:spacing w:after="0" w:line="176"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2022 Revenue</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1,272</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right="380" w:hanging="332"/>
        <w:spacing w:after="0" w:line="28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Swedish Krona, the British Pound and the Australian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Water Infrastructure revenue increased $24 million, or 4.7%, for the first quarter of 2022 (8.4% increase on a constant currency basis) as compared to the prior year. Revenue was negatively impacted by $19 million of foreign currency translation, with the change at constant currency coming entirely from organic growth of $ 43 million. Organic growth for the quarter was driven by strength in both the industrial and utility end markets. The industrial end market had organic growth across all major geographies, with particular strength in western Europe and Latin America. The utilities end market also experienced organic growth led by strength in the U.S. and western Europe, bolstered by strong price realization and solid backlog execution; which was partially offset by weakness in the emerging markets, mostly due to the negative impact of COVID lockdowns in China.</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an application perspective, organic revenue growth for the first quarter was attributable to our transport applications reflecting strong revenue growth in western Europe from strong utility projects as well as dewatering growth and strength in the U.S., where we executed on a strong backlog and experienced solid price realization. Dewatering also had organic growth in emerging markets where Latin America and Africa saw robust mining demand for the dewatering business. The treatment application was essentially flat, as revenue growth from project deliveries in the U.S. and western Europe was offset by the negative impact in China as a result of the COVID lockdown in the last two weeks of the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Applied Water revenue increased $32 million, or 8.1%, for the first quarter of 2022 (10.2% increase on a constant currency basis) as compared to the prior year. Revenue was negatively impacted by $8 million of foreign currency translation, with the change at constant currency coming entirely from organic growth of $40 million. Organic growth for the quarter included strength across all three of the applications and end markets in the segment. Organic revenue growth in the first quarter was led by strength in the commercial building services application, particularly in the U.S., where we benefited from strong backlog execution coming into the year, traction from new product launches and strong price realization during the quarter. The industrial water business had strong organic growth in the quarter in the U.S., where we benefited from strong backlog execution and price realization, and in western Europe, driven by strength in the specialty flow control applications (marine and food &amp; beverage) and healthy order intake. The residential building services application also grew organically during the quarter, primarily in the U.S. driven by strong backlog execution and price realization.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Measurement &amp; Control Solutions revenue decreased $ 40 million, or 11.3%, for the first quarter of 2022 (9.6% decrease on a constant currency basis) as compared to the prior year. Revenue was negatively impacted by $6 million of foreign currency translation, with the change at constant currency coming from an organic decline of $32 million and reduced revenue related to divestiture impacts of $2 million. Organic weakness in the quarter was driven by declines in the utility end market across all major geographic regions, primarily driven by component shortages affecting metrology sales. The industrial end market was flat for the quarter.</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an application perspective, organic revenue decline during the quarter was driven by declines in both the energy and water applications, primarily in the U.S., as a result of continued electronic component shortages affecting our smart metering business. Declines in the water applications were slightly offset by modest growth in western Europe from both our test and assessment service businesses.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first quarter of 2022 were $1,715 million, an increase of $177 million, or 11.5%, over the prior year (14.1% increase on a constant currency basis). Order intake was negatively impacted by $40 million of foreign currency translation during the quarter. The order increase on a constant currency basis was primarily driven by organic order growth of $223 million, or 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ind w:right="80"/>
        <w:spacing w:after="0" w:line="276"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orders during the three months ended March 31, 2022:</w:t>
      </w:r>
    </w:p>
    <w:tbl>
      <w:tblPr>
        <w:tblLayout w:type="fixed"/>
        <w:tblInd w:w="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17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4"/>
                <w:szCs w:val="14"/>
                <w:color w:val="auto"/>
              </w:rPr>
            </w:pPr>
          </w:p>
        </w:tc>
        <w:tc>
          <w:tcPr>
            <w:tcW w:w="2260" w:type="dxa"/>
            <w:vAlign w:val="bottom"/>
            <w:gridSpan w:val="4"/>
          </w:tcPr>
          <w:p>
            <w:pPr>
              <w:ind w:left="120"/>
              <w:spacing w:after="0" w:line="164" w:lineRule="exact"/>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2021 Orders</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176"/>
        </w:trPr>
        <w:tc>
          <w:tcPr>
            <w:tcW w:w="242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2022 Orders</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380" w:hanging="332"/>
        <w:spacing w:after="0" w:line="28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Swedish Krona, the British Pound and the Australian Dollar.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Water Infrastructure segment orders increased $49 million, or 8.0%, to $660 million (11.9% on a constant currency basis) for the first quarter of 2022 as compared to the prior year. Order growth for the quarter was negatively impacted by $24 million of foreign currency translation. Organic orders increased during the quarter as strength in the transport application benefited from strong market demand in North America and strong project orders and healthy demand in western Europe. The emerging markets saw strong dewatering orders from mining demand and order growth in Latin America and Africa, which was offset by the lapping of a large prior year order in India and the COVID lockdown in China towards the end of the quarter. Treatment orders were up modestly for the quarter as well.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Applied Water segment orders increased $28 million, or 5.9%, to $505 million (8.0% increase on a constant currency basis) for the first quarter of 2022 as compared to the prior year. Order growth for the quarter was negatively impacted by $10 million of foreign currency translation. The order increase on a constant currency basis was driven by strength across all major geographic regions. This reflects demand and timing of orders to address longer lead times.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Measurement &amp; Control Solutions segment orders increased $100 million, or 22.2%, to $550 million (23.6% increase on a constant currency basis) for the first quarter of 2022 as compared to the prior year. Order growth for the quarter was negatively impacted by $6 million of foreign currency translation and reduced orders related to divestiture impacts of $6 million. The order increase on a constant currency basis consisted of organic order growth of $112 million, or 24.9%. Organic orders grew in both the energy and water applications, primarily driven by early increased demand for smart metering and advanced ordering to address electronic component shortages and longer lead times. Organic orders for test and assessment service offerings were also up substantially for the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customer to customer based on their requirements. Annual or multi-year contracts are subject to rescheduling and cancellation by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long-term nature of the contracts. As such, beginning total backlog, plus orders, minus revenues, will not equal ending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due to contract adjustments, foreign currency fluctuations, and other factors. Typically, large projects require longer lead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cycles and deployment schedules and delays occur from time to time. Total backlog was $3,552 million at March 31, 2022,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$1,149 million or 47.8%, as compared to March 31, 2021 backlog of $2,403 million, and an increase of $312 million or 9.6%, as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backlog of $3,240 million driven by the significant increase in orders across all segments. We anticipate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100"/>
        <w:spacing w:after="0" w:line="287" w:lineRule="auto"/>
        <w:rPr>
          <w:sz w:val="20"/>
          <w:szCs w:val="20"/>
          <w:color w:val="auto"/>
        </w:rPr>
      </w:pPr>
      <w:r>
        <w:rPr>
          <w:rFonts w:ascii="Arial" w:cs="Arial" w:eastAsia="Arial" w:hAnsi="Arial"/>
          <w:sz w:val="18"/>
          <w:szCs w:val="18"/>
          <w:color w:val="auto"/>
        </w:rPr>
        <w:t>backlog at March 31, 2022 will be recognized as revenue in the remainder of 2022. There were no significant order cancellations during the quarter.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Gross margin as a percentage of revenue decreased 230 basis points to 36.7% for the three months ended March 31, 2022, as compared to 39.0% for the comparative 2021 period. The gross margin decrease for the quarter was primarily driven by cost inflation, increased logistics costs, unfavorable mix and increased spending on strategic investments. These impacts were partially offset by price realization and cost reductions from our productivity initiatives.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months ended March 31,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7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197"/>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shd w:val="clear" w:color="auto" w:fill="CCEEFF"/>
          </w:tcPr>
          <w:p>
            <w:pPr>
              <w:spacing w:after="0"/>
              <w:rPr>
                <w:sz w:val="17"/>
                <w:szCs w:val="17"/>
                <w:color w:val="auto"/>
              </w:rPr>
            </w:pPr>
          </w:p>
        </w:tc>
      </w:tr>
      <w:tr>
        <w:trPr>
          <w:trHeight w:val="223"/>
        </w:trPr>
        <w:tc>
          <w:tcPr>
            <w:tcW w:w="718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 ("SG&amp;A")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 bp</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Research and development expenses ("R&amp;D")</w:t>
            </w:r>
          </w:p>
        </w:tc>
        <w:tc>
          <w:tcPr>
            <w:tcW w:w="28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bp</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asset impairment charges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w w:val="87"/>
              </w:rPr>
              <w:t>%</w:t>
            </w: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 %</w:t>
            </w:r>
          </w:p>
        </w:tc>
      </w:tr>
      <w:tr>
        <w:trPr>
          <w:trHeight w:val="247"/>
        </w:trPr>
        <w:tc>
          <w:tcPr>
            <w:tcW w:w="718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(40) bp</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SG&amp;A expenses increased by $3 million to $304 million, or 23.9% of revenue, in the first quarter of 2022, as compared to $ 301 million, or 24.0% of revenue, in the comparable 2021 period. Revenue growth driven by favorable price realization was slightly higher than SG&amp;A increases resulting in a slightly lower SG&amp;A as a percentage of sales. Cost increases were driven by cost inflation partially offset by cost reductions from our productivity and other cost saving initiatives.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R&amp;D expense was $52 million, or 4.1% of revenue, in the first quarter of 2022, as compared to $50 million, or 4.0% of revenue, in the comparable 2021 period. The increase in R&amp;D as a percent of revenue for the quarter was primarily driven by the Company's continued focus on strategic investments during the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three months ended March 31, 2022, we did not incur restructuring charges. During the three months ended March 31, 2021, we recognized restructuring charges of $5 million of which $4 million relates to actions previously announced in 2020 arising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7" w:name="page38"/>
    <w:bookmarkEnd w:id="37"/>
    <w:p>
      <w:pPr>
        <w:ind w:right="580"/>
        <w:spacing w:after="0" w:line="279" w:lineRule="auto"/>
        <w:rPr>
          <w:sz w:val="20"/>
          <w:szCs w:val="20"/>
          <w:color w:val="auto"/>
        </w:rPr>
      </w:pPr>
      <w:r>
        <w:rPr>
          <w:rFonts w:ascii="Arial" w:cs="Arial" w:eastAsia="Arial" w:hAnsi="Arial"/>
          <w:sz w:val="18"/>
          <w:szCs w:val="18"/>
          <w:color w:val="auto"/>
        </w:rPr>
        <w:t>The following is a roll-forward for the three months ended March 31, 2022 and 2021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gridSpan w:val="2"/>
          </w:tcPr>
          <w:p>
            <w:pPr>
              <w:ind w:left="910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2021</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Planned reductions - March 31</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8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in 2022 and thereafter: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Q1 2022</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Water Infrastructure and Measurement &amp; Control Solutions actions commenced in 2021 consist primarily of severance charges. These actions are expected to continue through the end of 2022.</w:t>
      </w:r>
    </w:p>
    <w:p>
      <w:pPr>
        <w:spacing w:after="0" w:line="4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currently expect to incur between $10 million and $15 million in restructuring costs for the full year. These restructuring charges are primarily related to efforts to optimize our cost structure, improve our operational efficiency and effectiveness, strengthen our competitive positioning and better serve our customers.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during the first quarter of 2022 was $111 million, reflecting an decrease of 16.5% compared to $133 million in the first quarter of 2021. Operating margin was 8.7% for the first quarter of 2022 versus 10.6% for the comparable period in 2021, a decrease of 190 basis points. Operating margin benefited from a decrease in restructuring and realignment costs of $4 million as compared to the first quarter of 2021 and a decrease in special charges of $1 million. Excluding the impact of these items, adjusted operating income was $116 million with an adjusted operating margin of 9.1% in the first quarter of 2022 as compared to adjusted operating income of $143 million with an adjusted operating margin of 11.4% in the first quarter of 2021. The decrease in adjusted operating margin was primarily due to cost inflation and increased logistics cost, as well as increased spending on strategic investments. These impacts were partially offset by improved price realization and cost reductions from our productivity and other cost saving initiatives.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was $181 million (Adjusted EBITDA margin of 14.2%) during the first quarter of 2022, a decrease of $34 million, or 15.8%, when compared to Adjusted EBITDA of $215 million (Adjusted EBITDA margin of 17.1%) during the comparable quarter in prior year. The increase in Adjusted EBITDA margin was primarily due to the same factors impacting operating margin noted above; however, Adjusted EBITDA margin did not benefit from the year over year reduction in depreciation and amortization expense. Additionally, the decline in EBITDA margin reflects a decrease in equity investment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2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r>
      <w:tr>
        <w:trPr>
          <w:trHeight w:val="203"/>
        </w:trPr>
        <w:tc>
          <w:tcPr>
            <w:tcW w:w="7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7"/>
                <w:szCs w:val="17"/>
                <w:color w:val="auto"/>
              </w:rPr>
            </w:pPr>
          </w:p>
        </w:tc>
      </w:tr>
      <w:tr>
        <w:trPr>
          <w:trHeight w:val="197"/>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Change</w:t>
            </w:r>
          </w:p>
        </w:tc>
      </w:tr>
      <w:tr>
        <w:trPr>
          <w:trHeight w:val="21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4.2 %</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 bp</w:t>
            </w:r>
          </w:p>
        </w:tc>
      </w:tr>
      <w:tr>
        <w:trPr>
          <w:trHeight w:val="229"/>
        </w:trPr>
        <w:tc>
          <w:tcPr>
            <w:tcW w:w="7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91"/>
              <w:spacing w:after="0"/>
              <w:rPr>
                <w:sz w:val="20"/>
                <w:szCs w:val="20"/>
                <w:color w:val="auto"/>
              </w:rPr>
            </w:pPr>
            <w:r>
              <w:rPr>
                <w:rFonts w:ascii="Arial" w:cs="Arial" w:eastAsia="Arial" w:hAnsi="Arial"/>
                <w:sz w:val="18"/>
                <w:szCs w:val="18"/>
                <w:color w:val="auto"/>
              </w:rPr>
              <w:t>(80.0) %</w:t>
            </w:r>
          </w:p>
        </w:tc>
      </w:tr>
      <w:tr>
        <w:trPr>
          <w:trHeight w:val="223"/>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 %</w:t>
            </w:r>
          </w:p>
        </w:tc>
      </w:tr>
      <w:tr>
        <w:trPr>
          <w:trHeight w:val="229"/>
        </w:trPr>
        <w:tc>
          <w:tcPr>
            <w:tcW w:w="732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i w:val="1"/>
                <w:iCs w:val="1"/>
                <w:color w:val="auto"/>
              </w:rPr>
              <w:t>(80) bp</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Applied Water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59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(10.6) %</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(290) bp</w:t>
            </w:r>
          </w:p>
        </w:tc>
      </w:tr>
      <w:tr>
        <w:trPr>
          <w:trHeight w:val="229"/>
        </w:trPr>
        <w:tc>
          <w:tcPr>
            <w:tcW w:w="732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 %</w:t>
            </w:r>
          </w:p>
        </w:tc>
      </w:tr>
      <w:tr>
        <w:trPr>
          <w:trHeight w:val="230"/>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 %</w:t>
            </w:r>
          </w:p>
        </w:tc>
      </w:tr>
      <w:tr>
        <w:trPr>
          <w:trHeight w:val="223"/>
        </w:trPr>
        <w:tc>
          <w:tcPr>
            <w:tcW w:w="732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(11.8) %</w:t>
            </w:r>
          </w:p>
        </w:tc>
      </w:tr>
      <w:tr>
        <w:trPr>
          <w:trHeight w:val="230"/>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(320) bp</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(211.1) %</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i w:val="1"/>
                <w:iCs w:val="1"/>
                <w:color w:val="auto"/>
              </w:rPr>
              <w:t>(570) bp</w:t>
            </w:r>
          </w:p>
        </w:tc>
      </w:tr>
      <w:tr>
        <w:trPr>
          <w:trHeight w:val="229"/>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 %</w:t>
            </w:r>
          </w:p>
        </w:tc>
      </w:tr>
      <w:tr>
        <w:trPr>
          <w:trHeight w:val="230"/>
        </w:trPr>
        <w:tc>
          <w:tcPr>
            <w:tcW w:w="7320" w:type="dxa"/>
            <w:vAlign w:val="bottom"/>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1"/>
              <w:spacing w:after="0"/>
              <w:rPr>
                <w:sz w:val="20"/>
                <w:szCs w:val="20"/>
                <w:color w:val="auto"/>
              </w:rPr>
            </w:pPr>
            <w:r>
              <w:rPr>
                <w:rFonts w:ascii="Arial" w:cs="Arial" w:eastAsia="Arial" w:hAnsi="Arial"/>
                <w:sz w:val="18"/>
                <w:szCs w:val="18"/>
                <w:color w:val="auto"/>
              </w:rPr>
              <w:t>NM</w:t>
            </w:r>
          </w:p>
        </w:tc>
      </w:tr>
      <w:tr>
        <w:trPr>
          <w:trHeight w:val="223"/>
        </w:trPr>
        <w:tc>
          <w:tcPr>
            <w:tcW w:w="73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Adjusted operating income (loss)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(172.7) %</w:t>
            </w:r>
          </w:p>
        </w:tc>
      </w:tr>
      <w:tr>
        <w:trPr>
          <w:trHeight w:val="230"/>
        </w:trPr>
        <w:tc>
          <w:tcPr>
            <w:tcW w:w="732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i w:val="1"/>
                <w:iCs w:val="1"/>
                <w:color w:val="auto"/>
              </w:rPr>
              <w:t>(560) bp</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rPr>
              <w:t>(12)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7.7 %</w:t>
            </w:r>
          </w:p>
        </w:tc>
      </w:tr>
      <w:tr>
        <w:trPr>
          <w:trHeight w:val="230"/>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 %</w:t>
            </w:r>
          </w:p>
        </w:tc>
      </w:tr>
      <w:tr>
        <w:trPr>
          <w:trHeight w:val="223"/>
        </w:trPr>
        <w:tc>
          <w:tcPr>
            <w:tcW w:w="732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91"/>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(8.3) %</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111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(16.5) %</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(190) bp</w:t>
            </w:r>
          </w:p>
        </w:tc>
      </w:tr>
      <w:tr>
        <w:trPr>
          <w:trHeight w:val="230"/>
        </w:trPr>
        <w:tc>
          <w:tcPr>
            <w:tcW w:w="732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(50.0) %</w:t>
            </w:r>
          </w:p>
        </w:tc>
      </w:tr>
      <w:tr>
        <w:trPr>
          <w:trHeight w:val="230"/>
        </w:trPr>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(50.0) %</w:t>
            </w:r>
          </w:p>
        </w:tc>
      </w:tr>
      <w:tr>
        <w:trPr>
          <w:trHeight w:val="223"/>
        </w:trPr>
        <w:tc>
          <w:tcPr>
            <w:tcW w:w="732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(18.9) %</w:t>
            </w:r>
          </w:p>
        </w:tc>
      </w:tr>
      <w:tr>
        <w:trPr>
          <w:trHeight w:val="229"/>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(230) bp</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table below provides a reconciliation of total and each segment's adjusted EBITDA to Consolidated EBITDA and net income:</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3520" w:type="dxa"/>
            <w:vAlign w:val="bottom"/>
            <w:gridSpan w:val="2"/>
          </w:tcPr>
          <w:p>
            <w:pPr>
              <w:jc w:val="center"/>
              <w:ind w:left="1570"/>
              <w:spacing w:after="0"/>
              <w:rPr>
                <w:sz w:val="20"/>
                <w:szCs w:val="20"/>
                <w:color w:val="auto"/>
              </w:rPr>
            </w:pPr>
            <w:r>
              <w:rPr>
                <w:rFonts w:ascii="Arial" w:cs="Arial" w:eastAsia="Arial" w:hAnsi="Arial"/>
                <w:sz w:val="18"/>
                <w:szCs w:val="18"/>
                <w:b w:val="1"/>
                <w:bCs w:val="1"/>
                <w:color w:val="auto"/>
                <w:w w:val="99"/>
              </w:rPr>
              <w:t>Three Months Ended</w:t>
            </w: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March 31, 2022</w:t>
            </w:r>
          </w:p>
        </w:tc>
        <w:tc>
          <w:tcPr>
            <w:tcW w:w="1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1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6.4 %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18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1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Water Infrastructure</w:t>
            </w:r>
          </w:p>
        </w:tc>
        <w:tc>
          <w:tcPr>
            <w:tcW w:w="16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Applied Water</w:t>
            </w:r>
          </w:p>
        </w:tc>
        <w:tc>
          <w:tcPr>
            <w:tcW w:w="1820" w:type="dxa"/>
            <w:vAlign w:val="bottom"/>
          </w:tcPr>
          <w:p>
            <w:pPr>
              <w:jc w:val="right"/>
              <w:ind w:right="270"/>
              <w:spacing w:after="0" w:line="183" w:lineRule="exact"/>
              <w:rPr>
                <w:sz w:val="20"/>
                <w:szCs w:val="20"/>
                <w:color w:val="auto"/>
              </w:rPr>
            </w:pPr>
            <w:r>
              <w:rPr>
                <w:rFonts w:ascii="Arial" w:cs="Arial" w:eastAsia="Arial" w:hAnsi="Arial"/>
                <w:sz w:val="18"/>
                <w:szCs w:val="18"/>
                <w:b w:val="1"/>
                <w:bCs w:val="1"/>
                <w:color w:val="auto"/>
              </w:rPr>
              <w:t>Measurement &amp;</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15"/>
                <w:szCs w:val="15"/>
                <w:color w:val="auto"/>
              </w:rPr>
            </w:pPr>
          </w:p>
        </w:tc>
        <w:tc>
          <w:tcPr>
            <w:tcW w:w="14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88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Control Solutions</w:t>
            </w:r>
          </w:p>
        </w:tc>
        <w:tc>
          <w:tcPr>
            <w:tcW w:w="7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$65</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15.9 %</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i w:val="1"/>
                <w:iCs w:val="1"/>
                <w:color w:val="auto"/>
              </w:rPr>
              <w:t>15.3 %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14.2 %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-115570</wp:posOffset>
            </wp:positionV>
            <wp:extent cx="6926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6" w:right="499" w:bottom="1440" w:gutter="0" w:footer="0" w:header="0"/>
        </w:sectPr>
      </w:pPr>
    </w:p>
    <w:bookmarkStart w:id="40" w:name="page41"/>
    <w:bookmarkEnd w:id="40"/>
    <w:tbl>
      <w:tblPr>
        <w:tblLayout w:type="fixed"/>
        <w:tblInd w:w="16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March 31, 2021</w:t>
            </w:r>
          </w:p>
        </w:tc>
        <w:tc>
          <w:tcPr>
            <w:tcW w:w="1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1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6.9 %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18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5"/>
                <w:szCs w:val="15"/>
                <w:color w:val="auto"/>
              </w:rPr>
            </w:pPr>
          </w:p>
        </w:tc>
        <w:tc>
          <w:tcPr>
            <w:tcW w:w="18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Water Infrastructure</w:t>
            </w:r>
          </w:p>
        </w:tc>
        <w:tc>
          <w:tcPr>
            <w:tcW w:w="16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Applied Water</w:t>
            </w:r>
          </w:p>
        </w:tc>
        <w:tc>
          <w:tcPr>
            <w:tcW w:w="1800" w:type="dxa"/>
            <w:vAlign w:val="bottom"/>
          </w:tcPr>
          <w:p>
            <w:pPr>
              <w:jc w:val="right"/>
              <w:ind w:right="250"/>
              <w:spacing w:after="0" w:line="183" w:lineRule="exact"/>
              <w:rPr>
                <w:sz w:val="20"/>
                <w:szCs w:val="20"/>
                <w:color w:val="auto"/>
              </w:rPr>
            </w:pPr>
            <w:r>
              <w:rPr>
                <w:rFonts w:ascii="Arial" w:cs="Arial" w:eastAsia="Arial" w:hAnsi="Arial"/>
                <w:sz w:val="18"/>
                <w:szCs w:val="18"/>
                <w:b w:val="1"/>
                <w:bCs w:val="1"/>
                <w:color w:val="auto"/>
              </w:rPr>
              <w:t>Measurement &amp;</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Other*</w:t>
            </w:r>
          </w:p>
        </w:tc>
        <w:tc>
          <w:tcPr>
            <w:tcW w:w="1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Control Solutions</w:t>
            </w:r>
          </w:p>
        </w:tc>
        <w:tc>
          <w:tcPr>
            <w:tcW w:w="800" w:type="dxa"/>
            <w:vAlign w:val="bottom"/>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$88</w:t>
            </w: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$75</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17.3 %</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i w:val="1"/>
                <w:iCs w:val="1"/>
                <w:color w:val="auto"/>
              </w:rPr>
              <w:t>19.1 %</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13.3 %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17.1 %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-115570</wp:posOffset>
            </wp:positionV>
            <wp:extent cx="687514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 versus 2021</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32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Water Infrastructure</w:t>
            </w:r>
          </w:p>
        </w:tc>
        <w:tc>
          <w:tcPr>
            <w:tcW w:w="13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Applied Water</w:t>
            </w:r>
          </w:p>
        </w:tc>
        <w:tc>
          <w:tcPr>
            <w:tcW w:w="198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Measurement &amp;</w:t>
            </w:r>
          </w:p>
        </w:tc>
        <w:tc>
          <w:tcPr>
            <w:tcW w:w="132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Other*</w:t>
            </w:r>
          </w:p>
        </w:tc>
        <w:tc>
          <w:tcPr>
            <w:tcW w:w="108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rPr>
              <w:t>Control Solutions</w:t>
            </w:r>
          </w:p>
        </w:tc>
        <w:tc>
          <w:tcPr>
            <w:tcW w:w="13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980" w:type="dxa"/>
            <w:vAlign w:val="bottom"/>
          </w:tcPr>
          <w:p>
            <w:pPr>
              <w:jc w:val="right"/>
              <w:ind w:right="110"/>
              <w:spacing w:after="0"/>
              <w:rPr>
                <w:sz w:val="20"/>
                <w:szCs w:val="20"/>
                <w:color w:val="auto"/>
              </w:rPr>
            </w:pPr>
            <w:r>
              <w:rPr>
                <w:rFonts w:ascii="Arial" w:cs="Arial" w:eastAsia="Arial" w:hAnsi="Arial"/>
                <w:sz w:val="18"/>
                <w:szCs w:val="18"/>
                <w:b w:val="1"/>
                <w:bCs w:val="1"/>
                <w:color w:val="auto"/>
              </w:rPr>
              <w:t>$(20)</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(3.8)%</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(4.7)%</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i w:val="1"/>
                <w:iCs w:val="1"/>
                <w:color w:val="auto"/>
              </w:rPr>
              <w:t>NM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-115570</wp:posOffset>
            </wp:positionV>
            <wp:extent cx="686625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66255" cy="13716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for our Water Infrastructure segment increased $3 million, or 4.2%, for the first quarter of 2022 compared to the prior year, with operating margin remaining flat at 13.9%. Operating margin benefited from a decrease in restructuring and realignment costs of $4 million during the quarter. Excluding these restructuring and realignment costs, adjusted operating income decreased $1 million, or 1.3%, with adjusted operating margin decreasing from 14.9% to 14.1%. The decrease in adjusted operating margin for the quarter was primarily due to cost inflation, increased spending on strategic investments and unfavorable mix. These items were partially offset by price realization, cost reductions from our productivity initiatives and favorable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41" w:name="page42"/>
    <w:bookmarkEnd w:id="41"/>
    <w:p>
      <w:pPr>
        <w:jc w:val="both"/>
        <w:ind w:right="260"/>
        <w:spacing w:after="0" w:line="268" w:lineRule="auto"/>
        <w:rPr>
          <w:sz w:val="20"/>
          <w:szCs w:val="20"/>
          <w:color w:val="auto"/>
        </w:rPr>
      </w:pPr>
      <w:r>
        <w:rPr>
          <w:rFonts w:ascii="Arial" w:cs="Arial" w:eastAsia="Arial" w:hAnsi="Arial"/>
          <w:sz w:val="18"/>
          <w:szCs w:val="18"/>
          <w:color w:val="auto"/>
        </w:rPr>
        <w:t>Adjusted EBITDA was $85 million (Adjusted EBITDA margin of 15.9%) or the first quarter of 2022, a decrease of $3 million, or 3.4%, when compared to Adjusted EBITDA of $88 million (Adjusted EBITDA margin of 17.3%) during the prior year. The decrease in Adjusted EBITDA margin was primarily due to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for our Applied Water segment decreased $ 7 million, or 10.6%, for the first quarter of 2022 compared to the prior year, with operating margin decreasing from 16.8% to 13.9%. Operating margin was impacted by restructuring and realignment costs of $1 million in both years and a decrease of special charges of $1 million in the first quarter of 2022. Excluding these items, adjusted operating income decreased $8 million, or 11.8%, with adjusted operating margin decreasing from 17.3% to 14.1%. The decrease in adjusted operating margin for the quarter was primarily due to cost inflation and increased logistics costs, as well as spending on strategic investments. These impacts were partially offset by price realization and cost reductions from our productivity initiatives.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EBITDA was $65 million (Adjusted EBITDA margin of 15.3%) for the first quarter of 2022, a decrease of $10 million, or 13.3%, when compared to Adjusted EBITDA of $75 million (Adjusted EBITDA margin of 19.1%) during the prior year. The decrease in Adjusted EBITDA margin was primarily due to the same factors impacting the increase in adjusted operating margin; however, adjusted EBITDA margin did not benefit from the year over year reduction in depreciation and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for our Measurement &amp; Control Solutions segment decreased $19 million, or 211.1%, for the first quarter of 2022 compared to the prior year, with operating margin decreasing from 2.5% to (3.2)%. Operating margin was negatively impacted by restructuring and realignment costs of $2 million in both years. Excluding these items, adjusted operating income decreased $19 million, or 172.8%, with adjusted operating margin decreasing from 3.1% to (2.5)%. The decrease in adjusted operating margin for the quarter was primarily due to cost inflation, unfavorable volume and unfavorable mix. These impacts were partially offset by price realization and increased cost reductions from our restructuring, productivity and other cost saving initiatives.</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EBITDA was $27 million (Adjusted EBITDA margin of 8.6%) for the first quarter of 2022, a decrease of $20 million, or 42.6%, when compared to Adjusted EBITDA of $47 million (Adjusted EBITDA margin of 13.3%) during the prior year. The decrease in Adjusted EBITDA margin was due to the same factors as those impacting the increase in adjusted operating margin; however, Adjusted EBITDA margin was not as negatively impacted as adjusted operating margin from the year over year increase in depreciation and amortization expense as a percentage of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Operating loss for corporate and other decreased $1 million, or 7.7%, during the first quarter of 2022 compared to the prior year period primarily due to timing of employee related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Interest expense was $13 million and $21 million for the three months ended March 31, 2022 and 2021, respectively. The decrease in interest expense is primarily driven by interest expense that was incurred in the first quarter of 2021 related to our senior note that was fully paid off in October 2021. See Note 10, "Credit Facilities and Debt", of our condensed consolidated financial statements for a description of our credit facilities and long-term debt and related interest.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income tax provision for the three months ended March 31, 2022 was $16 million resulting in an effective tax rate of 16.4%, compared to a $27 million expense resulting in an effective tax rate of 23.3% for the same period in 2021. The effective tax rate for the three-month period ended March 31, 2022 differs from the same period in 2021 due to the impact of tax settlement benefits in the current period as compared to tax settlement expenses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is primarily due to strengthening of the Euro, Chinese Yuan and Chilean Peso.</w:t>
      </w:r>
    </w:p>
    <w:p>
      <w:pPr>
        <w:spacing w:after="0" w:line="110" w:lineRule="exact"/>
        <w:rPr>
          <w:rFonts w:ascii="Arial" w:cs="Arial" w:eastAsia="Arial" w:hAnsi="Arial"/>
          <w:sz w:val="16"/>
          <w:szCs w:val="16"/>
          <w:color w:val="auto"/>
        </w:rPr>
      </w:pPr>
    </w:p>
    <w:p>
      <w:pPr>
        <w:ind w:right="8660"/>
        <w:spacing w:after="0" w:line="366"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Net cash used by operating activities was $ 81 million for the three months ended March 31, 2022 as compared to $26 million in the comparable prior year period. The increase in usage was primarily driven by higher working capital levels, reflecting increased safety stock and higher advanced payments to suppliers to mitigate supply chain volatility, and increased employee benefit payments. The items were partially offset by lower tax and interest payments.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Cash used in investing activities was $43 million for the three months ended March 31, 2022 as compared to $31 million in the comparable prior year period. This increase in cash used of $12 million was mainly driven by higher spending on capital expenditures compared to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jc w:val="both"/>
        <w:ind w:right="200"/>
        <w:spacing w:after="0" w:line="251" w:lineRule="auto"/>
        <w:rPr>
          <w:sz w:val="20"/>
          <w:szCs w:val="20"/>
          <w:color w:val="auto"/>
        </w:rPr>
      </w:pPr>
      <w:r>
        <w:rPr>
          <w:rFonts w:ascii="Arial" w:cs="Arial" w:eastAsia="Arial" w:hAnsi="Arial"/>
          <w:sz w:val="17"/>
          <w:szCs w:val="17"/>
          <w:color w:val="auto"/>
        </w:rPr>
        <w:t>Cash used by financing activities during the three months ended March 31, 2022 and 2021 was $106 million and $115 million, respectively. This decrease in cash used was primarily driven by a decrease in share repurchase activity partially offset by higher dividend payments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both directly and indirectly by the COVID-19 pandemic, we continue to evaluate aspects of our spending, including capital expenditures, strategic investments and dividends.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we have generated operating cash flow sufficient to fund our primary cash needs.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10, "Credit Facilities and Debt", of our condensed consolidated financial statements for a description of limitations on obtaining additional funding.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monitor our global funding requirements and seek to meet our liquidity needs on a cost-effective basis.</w:t>
      </w:r>
    </w:p>
    <w:p>
      <w:pPr>
        <w:spacing w:after="0" w:line="104"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In addition, we believe our existing committed credit facilities and access to the public debt markets would provide further liquidity if required. Currently, we have available liquidity of approximately $1.9 billion, consisting of $1.1 billion of cash and $800 million of available credit facilities as disclosed in Note 10, "Credit Facilities and Debt", of our condensed consolidated financial statements. 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320"/>
        <w:spacing w:after="0" w:line="271" w:lineRule="auto"/>
        <w:rPr>
          <w:sz w:val="20"/>
          <w:szCs w:val="20"/>
          <w:color w:val="auto"/>
        </w:rPr>
      </w:pPr>
      <w:r>
        <w:rPr>
          <w:rFonts w:ascii="Arial" w:cs="Arial" w:eastAsia="Arial" w:hAnsi="Arial"/>
          <w:sz w:val="18"/>
          <w:szCs w:val="18"/>
          <w:color w:val="auto"/>
        </w:rPr>
        <w:t>October 1, 2021 our Senior Notes due 2021 were settled with cash on hand for a total of $600 million. Our next long-term debt maturity is March 2023.</w:t>
      </w:r>
    </w:p>
    <w:p>
      <w:pPr>
        <w:spacing w:after="0" w:line="59"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color w:val="auto"/>
        </w:rPr>
        <w:t xml:space="preserve">Risks related to these items are described in our risk factor disclosures referenced under “Item 1A. Risk Factors" in our 2021 Annual Report. </w:t>
      </w:r>
      <w:r>
        <w:rPr>
          <w:rFonts w:ascii="Arial" w:cs="Arial" w:eastAsia="Arial" w:hAnsi="Arial"/>
          <w:sz w:val="18"/>
          <w:szCs w:val="18"/>
          <w:i w:val="1"/>
          <w:iCs w:val="1"/>
          <w:color w:val="auto"/>
        </w:rPr>
        <w:t>Credit Facilities &amp; Long-Term Contractual Commitments</w:t>
      </w:r>
    </w:p>
    <w:p>
      <w:pPr>
        <w:spacing w:after="0" w:line="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10,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generated approximately 55% and 56% of our revenue from non-U.S. operations for the three months ended March 31, 2022 and 2021, respectively.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March 31, 2022, we have provided a deferred tax liability of $5 million for net foreign withholding taxes and state income taxes on $475 million of earnings expected to be repatriated to the U.S. parent as deemed necessary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2021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2021 Annual Report.</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risks and potential impacts of COVID-19 on the fair value of our assets are included in our risk factor disclosures referenced under “Item 1A. Risk Factors" in the Company's 2021 Annual Report.</w:t>
      </w:r>
    </w:p>
    <w:p>
      <w:pPr>
        <w:spacing w:after="0" w:line="39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44" w:name="page45"/>
    <w:bookmarkEnd w:id="44"/>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16, "Commitments and Contingencies", to the condensed consolidated financial statements for further information and any updates.</w:t>
      </w:r>
    </w:p>
    <w:p>
      <w:pPr>
        <w:spacing w:after="0" w:line="200" w:lineRule="exact"/>
        <w:rPr>
          <w:sz w:val="20"/>
          <w:szCs w:val="20"/>
          <w:color w:val="auto"/>
        </w:rPr>
      </w:pPr>
    </w:p>
    <w:p>
      <w:pPr>
        <w:spacing w:after="0" w:line="22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2021 Annual Report.</w:t>
      </w:r>
    </w:p>
    <w:p>
      <w:pPr>
        <w:spacing w:after="0" w:line="200" w:lineRule="exact"/>
        <w:rPr>
          <w:sz w:val="20"/>
          <w:szCs w:val="20"/>
          <w:color w:val="auto"/>
        </w:rPr>
      </w:pPr>
    </w:p>
    <w:p>
      <w:pPr>
        <w:spacing w:after="0" w:line="26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March 31, 2022:</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1/1/22 - 1/31/22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2/1/22 - 2/28/22</w:t>
            </w:r>
          </w:p>
        </w:tc>
        <w:tc>
          <w:tcPr>
            <w:tcW w:w="2060" w:type="dxa"/>
            <w:vAlign w:val="bottom"/>
          </w:tcPr>
          <w:p>
            <w:pPr>
              <w:jc w:val="center"/>
              <w:spacing w:after="0"/>
              <w:rPr>
                <w:sz w:val="20"/>
                <w:szCs w:val="20"/>
                <w:color w:val="auto"/>
              </w:rPr>
            </w:pPr>
            <w:r>
              <w:rPr>
                <w:rFonts w:ascii="Arial" w:cs="Arial" w:eastAsia="Arial" w:hAnsi="Arial"/>
                <w:sz w:val="18"/>
                <w:szCs w:val="18"/>
                <w:color w:val="auto"/>
              </w:rPr>
              <w:t>0.5</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91.23</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0.5</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3/1/22 - 3/31/22</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4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76"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For the three months ended March 31, 2022, we repurchased 0.5 million shares for $45 million. There are up to $182 million in shares that may still be purchased under this plan as of March 31, 2022.</w:t>
      </w:r>
    </w:p>
    <w:p>
      <w:pPr>
        <w:spacing w:after="0" w:line="3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7"/>
        </w:trPr>
        <w:tc>
          <w:tcPr>
            <w:tcW w:w="1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XYLEM INC.</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8"/>
        </w:trPr>
        <w:tc>
          <w:tcPr>
            <w:tcW w:w="1920" w:type="dxa"/>
            <w:vAlign w:val="bottom"/>
          </w:tcPr>
          <w:p>
            <w:pPr>
              <w:jc w:val="center"/>
              <w:ind w:right="1008"/>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680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vMerge w:val="continue"/>
          </w:tcPr>
          <w:p>
            <w:pPr>
              <w:spacing w:after="0"/>
              <w:rPr>
                <w:sz w:val="16"/>
                <w:szCs w:val="16"/>
                <w:color w:val="auto"/>
              </w:rPr>
            </w:pPr>
          </w:p>
        </w:tc>
        <w:tc>
          <w:tcPr>
            <w:tcW w:w="6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890" w:right="339" w:bottom="1440" w:gutter="0" w:footer="0" w:header="0"/>
        </w:sectPr>
      </w:pPr>
    </w:p>
    <w:p>
      <w:pPr>
        <w:ind w:left="1100" w:right="120" w:hanging="790"/>
        <w:spacing w:after="0"/>
        <w:tabs>
          <w:tab w:leader="none" w:pos="1080" w:val="left"/>
        </w:tabs>
        <w:rPr>
          <w:rFonts w:ascii="Arial" w:cs="Arial" w:eastAsia="Arial" w:hAnsi="Arial"/>
          <w:sz w:val="18"/>
          <w:szCs w:val="18"/>
          <w:color w:val="0000FF"/>
        </w:rPr>
      </w:pPr>
      <w:hyperlink r:id="rId64">
        <w:r>
          <w:rPr>
            <w:rFonts w:ascii="Arial" w:cs="Arial" w:eastAsia="Arial" w:hAnsi="Arial"/>
            <w:sz w:val="18"/>
            <w:szCs w:val="18"/>
            <w:u w:val="single" w:color="auto"/>
            <w:color w:val="0000FF"/>
          </w:rPr>
          <w:t>3.1</w:t>
        </w:r>
      </w:hyperlink>
      <w:r>
        <w:rPr>
          <w:rFonts w:ascii="Arial" w:cs="Arial" w:eastAsia="Arial" w:hAnsi="Arial"/>
          <w:sz w:val="18"/>
          <w:szCs w:val="18"/>
          <w:color w:val="0000FF"/>
        </w:rPr>
        <w:tab/>
        <w:t>Fourth Amended and Restated Articles of Incorporation of Xylem Inc.</w:t>
      </w:r>
    </w:p>
    <w:p>
      <w:pPr>
        <w:spacing w:after="0" w:line="59" w:lineRule="exact"/>
        <w:rPr>
          <w:sz w:val="20"/>
          <w:szCs w:val="20"/>
          <w:color w:val="auto"/>
        </w:rPr>
      </w:pPr>
    </w:p>
    <w:p>
      <w:pPr>
        <w:ind w:left="300"/>
        <w:spacing w:after="0"/>
        <w:tabs>
          <w:tab w:leader="none" w:pos="108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7"/>
          <w:szCs w:val="17"/>
          <w:color w:val="0000FF"/>
        </w:rPr>
        <w:t>Fourth Amended and Restated By-laws of Xylem Inc.</w:t>
      </w:r>
    </w:p>
    <w:p>
      <w:pPr>
        <w:spacing w:after="0" w:line="320" w:lineRule="exact"/>
        <w:rPr>
          <w:sz w:val="20"/>
          <w:szCs w:val="20"/>
          <w:color w:val="auto"/>
        </w:rPr>
      </w:pPr>
    </w:p>
    <w:p>
      <w:pPr>
        <w:ind w:left="1100" w:right="120" w:hanging="840"/>
        <w:spacing w:after="0" w:line="271" w:lineRule="auto"/>
        <w:tabs>
          <w:tab w:leader="none" w:pos="1080" w:val="left"/>
        </w:tabs>
        <w:rPr>
          <w:sz w:val="20"/>
          <w:szCs w:val="20"/>
          <w:color w:val="auto"/>
        </w:rPr>
      </w:pPr>
      <w:r>
        <w:rPr>
          <w:rFonts w:ascii="Arial" w:cs="Arial" w:eastAsia="Arial" w:hAnsi="Arial"/>
          <w:sz w:val="18"/>
          <w:szCs w:val="18"/>
          <w:u w:val="single" w:color="auto"/>
          <w:color w:val="0000FF"/>
        </w:rPr>
        <w:t>10.1</w:t>
      </w:r>
      <w:r>
        <w:rPr>
          <w:sz w:val="20"/>
          <w:szCs w:val="20"/>
          <w:color w:val="auto"/>
        </w:rPr>
        <w:tab/>
      </w:r>
      <w:r>
        <w:rPr>
          <w:rFonts w:ascii="Arial" w:cs="Arial" w:eastAsia="Arial" w:hAnsi="Arial"/>
          <w:sz w:val="18"/>
          <w:szCs w:val="18"/>
          <w:color w:val="auto"/>
        </w:rPr>
        <w:t>Form of 2011 Omnibus Incentive Plan Performance Share Unit Agreement (2022).</w:t>
      </w:r>
    </w:p>
    <w:p>
      <w:pPr>
        <w:spacing w:after="0" w:line="46" w:lineRule="exact"/>
        <w:rPr>
          <w:sz w:val="20"/>
          <w:szCs w:val="20"/>
          <w:color w:val="auto"/>
        </w:rPr>
      </w:pPr>
    </w:p>
    <w:p>
      <w:pPr>
        <w:ind w:left="1100" w:hanging="840"/>
        <w:spacing w:after="0" w:line="271" w:lineRule="auto"/>
        <w:tabs>
          <w:tab w:leader="none" w:pos="1080" w:val="left"/>
        </w:tabs>
        <w:rPr>
          <w:sz w:val="20"/>
          <w:szCs w:val="20"/>
          <w:color w:val="auto"/>
        </w:rPr>
      </w:pPr>
      <w:r>
        <w:rPr>
          <w:rFonts w:ascii="Arial" w:cs="Arial" w:eastAsia="Arial" w:hAnsi="Arial"/>
          <w:sz w:val="18"/>
          <w:szCs w:val="18"/>
          <w:u w:val="single" w:color="auto"/>
          <w:color w:val="0000FF"/>
        </w:rPr>
        <w:t>10.2</w:t>
      </w:r>
      <w:r>
        <w:rPr>
          <w:sz w:val="20"/>
          <w:szCs w:val="20"/>
          <w:color w:val="auto"/>
        </w:rPr>
        <w:tab/>
      </w:r>
      <w:r>
        <w:rPr>
          <w:rFonts w:ascii="Arial" w:cs="Arial" w:eastAsia="Arial" w:hAnsi="Arial"/>
          <w:sz w:val="18"/>
          <w:szCs w:val="18"/>
          <w:color w:val="auto"/>
        </w:rPr>
        <w:t>Form of 2011 Omnibus Incentive Plan Restricted Stock Unit Agreement (2022).</w:t>
      </w:r>
    </w:p>
    <w:p>
      <w:pPr>
        <w:spacing w:after="0" w:line="46" w:lineRule="exact"/>
        <w:rPr>
          <w:sz w:val="20"/>
          <w:szCs w:val="20"/>
          <w:color w:val="auto"/>
        </w:rPr>
      </w:pPr>
    </w:p>
    <w:p>
      <w:pPr>
        <w:jc w:val="right"/>
        <w:ind w:left="260" w:right="180"/>
        <w:spacing w:after="0" w:line="221" w:lineRule="auto"/>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Section 302 of the Sarbanes-Oxley Act of 2002</w:t>
      </w:r>
    </w:p>
    <w:p>
      <w:pPr>
        <w:spacing w:after="0" w:line="59" w:lineRule="exact"/>
        <w:rPr>
          <w:sz w:val="20"/>
          <w:szCs w:val="20"/>
          <w:color w:val="auto"/>
        </w:rPr>
      </w:pPr>
    </w:p>
    <w:p>
      <w:pPr>
        <w:jc w:val="right"/>
        <w:ind w:left="260" w:right="180"/>
        <w:spacing w:after="0" w:line="221" w:lineRule="auto"/>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Section 302 of the Sarbanes-Oxley Act of 2002</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8"/>
          <w:szCs w:val="18"/>
          <w:color w:val="auto"/>
        </w:rPr>
        <w:t>Incorporated by reference to Exhibit 3.1 of Xylem Inc.’s Form 8-K filed on May 15, 2017 (CIK No. 1524472, File No. 1-35229).</w:t>
      </w:r>
    </w:p>
    <w:p>
      <w:pPr>
        <w:spacing w:after="0" w:line="5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Incorporated by reference to Exhibit 3.2 of Xylem Inc.’s Form 8-K filed on May 15, 2017 (CIK No. 1524472, File No. 1-35229).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1" w:lineRule="exact"/>
        <w:rPr>
          <w:sz w:val="20"/>
          <w:szCs w:val="20"/>
          <w:color w:val="auto"/>
        </w:rPr>
      </w:pPr>
    </w:p>
    <w:p>
      <w:pPr>
        <w:sectPr>
          <w:pgSz w:w="11900" w:h="16838" w:orient="portrait"/>
          <w:cols w:equalWidth="0" w:num="2">
            <w:col w:w="5820" w:space="180"/>
            <w:col w:w="5240"/>
          </w:cols>
          <w:pgMar w:left="320" w:top="890" w:right="339" w:bottom="1440" w:gutter="0" w:footer="0" w:header="0"/>
          <w:type w:val="continuous"/>
        </w:sectPr>
      </w:pPr>
    </w:p>
    <w:p>
      <w:pPr>
        <w:ind w:left="1100" w:right="220" w:hanging="840"/>
        <w:spacing w:after="0" w:line="221" w:lineRule="auto"/>
        <w:tabs>
          <w:tab w:leader="none" w:pos="108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ind w:left="6000"/>
        <w:spacing w:after="0" w:line="205" w:lineRule="auto"/>
        <w:rPr>
          <w:sz w:val="20"/>
          <w:szCs w:val="20"/>
          <w:color w:val="auto"/>
        </w:rPr>
      </w:pPr>
      <w:r>
        <w:rPr>
          <w:rFonts w:ascii="Arial" w:cs="Arial" w:eastAsia="Arial" w:hAnsi="Arial"/>
          <w:sz w:val="18"/>
          <w:szCs w:val="18"/>
          <w:color w:val="auto"/>
        </w:rPr>
        <w:t>be filed for purposes of Section 18 of the Securities Exchange</w:t>
      </w:r>
    </w:p>
    <w:p>
      <w:pPr>
        <w:ind w:left="6000"/>
        <w:spacing w:after="0" w:line="215" w:lineRule="auto"/>
        <w:rPr>
          <w:sz w:val="20"/>
          <w:szCs w:val="20"/>
          <w:color w:val="auto"/>
        </w:rPr>
      </w:pPr>
      <w:r>
        <w:rPr>
          <w:rFonts w:ascii="Arial" w:cs="Arial" w:eastAsia="Arial" w:hAnsi="Arial"/>
          <w:sz w:val="17"/>
          <w:szCs w:val="17"/>
          <w:color w:val="auto"/>
        </w:rPr>
        <w:t>Act of 1934 or incorporated by reference into any filing under the</w:t>
      </w:r>
    </w:p>
    <w:p>
      <w:pPr>
        <w:ind w:left="6000"/>
        <w:spacing w:after="0" w:line="219" w:lineRule="auto"/>
        <w:rPr>
          <w:sz w:val="20"/>
          <w:szCs w:val="20"/>
          <w:color w:val="auto"/>
        </w:rPr>
      </w:pPr>
      <w:r>
        <w:rPr>
          <w:rFonts w:ascii="Arial" w:cs="Arial" w:eastAsia="Arial" w:hAnsi="Arial"/>
          <w:sz w:val="18"/>
          <w:szCs w:val="18"/>
          <w:color w:val="auto"/>
        </w:rPr>
        <w:t>Securities Act of 1933 or the Securities Exchange Act of 1934,</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59" w:lineRule="exact"/>
        <w:rPr>
          <w:sz w:val="20"/>
          <w:szCs w:val="20"/>
          <w:color w:val="auto"/>
        </w:rPr>
      </w:pPr>
    </w:p>
    <w:p>
      <w:pPr>
        <w:ind w:left="1100" w:right="220" w:hanging="840"/>
        <w:spacing w:after="0" w:line="221" w:lineRule="auto"/>
        <w:tabs>
          <w:tab w:leader="none" w:pos="1080" w:val="left"/>
        </w:tabs>
        <w:rPr>
          <w:sz w:val="20"/>
          <w:szCs w:val="20"/>
          <w:color w:val="auto"/>
        </w:rPr>
      </w:pP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right="200" w:hanging="890"/>
        <w:spacing w:after="0" w:line="234"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March 31,</w:t>
      </w:r>
    </w:p>
    <w:p>
      <w:pPr>
        <w:spacing w:after="0" w:line="1" w:lineRule="exact"/>
        <w:rPr>
          <w:sz w:val="20"/>
          <w:szCs w:val="20"/>
          <w:color w:val="auto"/>
        </w:rPr>
      </w:pPr>
    </w:p>
    <w:p>
      <w:pPr>
        <w:ind w:left="1100" w:right="420"/>
        <w:spacing w:after="0" w:line="221" w:lineRule="auto"/>
        <w:rPr>
          <w:sz w:val="20"/>
          <w:szCs w:val="20"/>
          <w:color w:val="auto"/>
        </w:rPr>
      </w:pPr>
      <w:r>
        <w:rPr>
          <w:rFonts w:ascii="Arial" w:cs="Arial" w:eastAsia="Arial" w:hAnsi="Arial"/>
          <w:sz w:val="17"/>
          <w:szCs w:val="17"/>
          <w:color w:val="auto"/>
        </w:rPr>
        <w:t>2022, formatted in Inline Extensible Business Reporting Language (Inline XBRL): (i) Condensed Consolidated Income Statements, (ii) Condensed Consolidated</w:t>
      </w:r>
    </w:p>
    <w:p>
      <w:pPr>
        <w:ind w:left="1100" w:right="60"/>
        <w:spacing w:after="0" w:line="221" w:lineRule="auto"/>
        <w:rPr>
          <w:sz w:val="20"/>
          <w:szCs w:val="20"/>
          <w:color w:val="auto"/>
        </w:rPr>
      </w:pPr>
      <w:r>
        <w:rPr>
          <w:rFonts w:ascii="Arial" w:cs="Arial" w:eastAsia="Arial" w:hAnsi="Arial"/>
          <w:sz w:val="17"/>
          <w:szCs w:val="17"/>
          <w:color w:val="auto"/>
        </w:rPr>
        <w:t>Statements of Comprehensive Income, (iii) Condensed Consolidated Balance Sheets, (iv) Condensed Consolidated Statements of Cash Flows and (v) Notes to Condensed</w:t>
      </w:r>
    </w:p>
    <w:p>
      <w:pPr>
        <w:ind w:left="1100"/>
        <w:spacing w:after="0"/>
        <w:rPr>
          <w:sz w:val="20"/>
          <w:szCs w:val="20"/>
          <w:color w:val="auto"/>
        </w:rPr>
      </w:pPr>
      <w:r>
        <w:rPr>
          <w:rFonts w:ascii="Arial" w:cs="Arial" w:eastAsia="Arial" w:hAnsi="Arial"/>
          <w:sz w:val="18"/>
          <w:szCs w:val="18"/>
          <w:color w:val="auto"/>
        </w:rPr>
        <w:t>Consolidated Financial Statements</w:t>
      </w:r>
    </w:p>
    <w:p>
      <w:pPr>
        <w:ind w:left="200"/>
        <w:spacing w:after="0"/>
        <w:tabs>
          <w:tab w:leader="none" w:pos="10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ind w:left="1100"/>
        <w:spacing w:after="0" w:line="232" w:lineRule="auto"/>
        <w:rPr>
          <w:sz w:val="20"/>
          <w:szCs w:val="20"/>
          <w:color w:val="auto"/>
        </w:rPr>
      </w:pPr>
      <w:r>
        <w:rPr>
          <w:rFonts w:ascii="Arial" w:cs="Arial" w:eastAsia="Arial" w:hAnsi="Arial"/>
          <w:sz w:val="17"/>
          <w:szCs w:val="17"/>
          <w:color w:val="auto"/>
        </w:rPr>
        <w:t>10-Q for the period ended March 31, 2022 formatted in Inline</w:t>
      </w:r>
    </w:p>
    <w:p>
      <w:pPr>
        <w:ind w:left="1100"/>
        <w:spacing w:after="0"/>
        <w:rPr>
          <w:sz w:val="20"/>
          <w:szCs w:val="20"/>
          <w:color w:val="auto"/>
        </w:rPr>
      </w:pPr>
      <w:r>
        <w:rPr>
          <w:rFonts w:ascii="Arial" w:cs="Arial" w:eastAsia="Arial" w:hAnsi="Arial"/>
          <w:sz w:val="18"/>
          <w:szCs w:val="18"/>
          <w:color w:val="auto"/>
        </w:rPr>
        <w:t>XBRL and contained in Exhibit 101.0.</w:t>
      </w:r>
    </w:p>
    <w:p>
      <w:pPr>
        <w:spacing w:after="0" w:line="20" w:lineRule="exact"/>
        <w:rPr>
          <w:sz w:val="20"/>
          <w:szCs w:val="20"/>
          <w:color w:val="auto"/>
        </w:rPr>
      </w:pPr>
      <w:r>
        <w:rPr>
          <w:sz w:val="20"/>
          <w:szCs w:val="20"/>
          <w:color w:val="auto"/>
        </w:rPr>
        <w:br w:type="column"/>
      </w:r>
    </w:p>
    <w:p>
      <w:pPr>
        <w:ind w:right="120"/>
        <w:spacing w:after="0" w:line="221" w:lineRule="auto"/>
        <w:rPr>
          <w:sz w:val="20"/>
          <w:szCs w:val="20"/>
          <w:color w:val="auto"/>
        </w:rPr>
      </w:pPr>
      <w:r>
        <w:rPr>
          <w:rFonts w:ascii="Arial" w:cs="Arial" w:eastAsia="Arial" w:hAnsi="Arial"/>
          <w:sz w:val="17"/>
          <w:szCs w:val="17"/>
          <w:color w:val="auto"/>
        </w:rPr>
        <w:t>be filed for purposes of Section 18 of the Securities Exchange Act of 1934 or incorporated by reference into any filing under the Securities Act of 1933 or the Securities Exchange Act of 1934,</w:t>
      </w: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5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1874" w:lineRule="exact"/>
        <w:rPr>
          <w:sz w:val="20"/>
          <w:szCs w:val="20"/>
          <w:color w:val="auto"/>
        </w:rPr>
      </w:pPr>
    </w:p>
    <w:p>
      <w:pPr>
        <w:sectPr>
          <w:pgSz w:w="11900" w:h="16838" w:orient="portrait"/>
          <w:cols w:equalWidth="0" w:num="2">
            <w:col w:w="5940" w:space="60"/>
            <w:col w:w="5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1093" w:right="4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XYLEM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2022 PERFORMANCE SHARE UNIT AGREEMENT</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while employed. In consideration of the terms and conditions in this Agreement, the parties agree as follows:</w:t>
      </w:r>
    </w:p>
    <w:p>
      <w:pPr>
        <w:spacing w:after="0" w:line="221" w:lineRule="exact"/>
        <w:rPr>
          <w:sz w:val="20"/>
          <w:szCs w:val="20"/>
          <w:color w:val="auto"/>
        </w:rPr>
      </w:pPr>
    </w:p>
    <w:p>
      <w:pPr>
        <w:jc w:val="both"/>
        <w:ind w:left="660" w:hanging="328"/>
        <w:spacing w:after="0" w:line="247" w:lineRule="auto"/>
        <w:tabs>
          <w:tab w:leader="none" w:pos="64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Performance Share Units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 </w:t>
      </w: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the target number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All PSUs granted under this agreement are intended to be Performance Based Awards. The PSUs are notional units of measurement denominated in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one Performance Share Unit is equivalent in value to one share of common stock of the Company).</w:t>
      </w:r>
    </w:p>
    <w:p>
      <w:pPr>
        <w:spacing w:after="0" w:line="201"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The PSUs represent an unfunded, unsecured right to receive shares and dividend equivalent payments in the future if the conditions in the Plan and this Agreement are satisfied.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Nature of the Grant:</w:t>
      </w:r>
    </w:p>
    <w:p>
      <w:pPr>
        <w:spacing w:after="0" w:line="239" w:lineRule="exact"/>
        <w:rPr>
          <w:sz w:val="20"/>
          <w:szCs w:val="20"/>
          <w:color w:val="auto"/>
        </w:rPr>
      </w:pPr>
    </w:p>
    <w:p>
      <w:pPr>
        <w:jc w:val="both"/>
        <w:ind w:left="660" w:hanging="328"/>
        <w:spacing w:after="0" w:line="253"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grant of the PSUs is voluntary and occasional and does not create any contractual or other right to receive future grants of PSUs, or benefits in lieu of PSUs, even if PSUs have been granted in the past. All decisions with respect to future PSUs or other grants, if any, will be at the sole discretion of the Company;</w:t>
      </w:r>
    </w:p>
    <w:p>
      <w:pPr>
        <w:spacing w:after="0" w:line="195" w:lineRule="exact"/>
        <w:rPr>
          <w:rFonts w:ascii="Arial" w:cs="Arial" w:eastAsia="Arial" w:hAnsi="Arial"/>
          <w:sz w:val="18"/>
          <w:szCs w:val="18"/>
          <w:color w:val="auto"/>
        </w:rPr>
      </w:pPr>
    </w:p>
    <w:p>
      <w:pPr>
        <w:ind w:left="640" w:hanging="308"/>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jc w:val="both"/>
        <w:ind w:left="660" w:right="20" w:hanging="328"/>
        <w:spacing w:after="0" w:line="253"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195" w:lineRule="exact"/>
        <w:rPr>
          <w:rFonts w:ascii="Arial" w:cs="Arial" w:eastAsia="Arial" w:hAnsi="Arial"/>
          <w:sz w:val="18"/>
          <w:szCs w:val="18"/>
          <w:color w:val="auto"/>
        </w:rPr>
      </w:pPr>
    </w:p>
    <w:p>
      <w:pPr>
        <w:ind w:left="640" w:hanging="308"/>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38" w:lineRule="exact"/>
        <w:rPr>
          <w:rFonts w:ascii="Arial" w:cs="Arial" w:eastAsia="Arial" w:hAnsi="Arial"/>
          <w:sz w:val="18"/>
          <w:szCs w:val="18"/>
          <w:color w:val="auto"/>
        </w:rPr>
      </w:pPr>
    </w:p>
    <w:p>
      <w:pPr>
        <w:ind w:left="660" w:hanging="328"/>
        <w:spacing w:after="0" w:line="271"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PSUs resulting from the termination of the Participant's employment; and</w:t>
      </w:r>
    </w:p>
    <w:p>
      <w:pPr>
        <w:spacing w:after="0" w:line="180" w:lineRule="exact"/>
        <w:rPr>
          <w:rFonts w:ascii="Arial" w:cs="Arial" w:eastAsia="Arial" w:hAnsi="Arial"/>
          <w:sz w:val="18"/>
          <w:szCs w:val="18"/>
          <w:color w:val="auto"/>
        </w:rPr>
      </w:pPr>
    </w:p>
    <w:p>
      <w:pPr>
        <w:jc w:val="both"/>
        <w:ind w:left="660" w:hanging="328"/>
        <w:spacing w:after="0" w:line="253" w:lineRule="auto"/>
        <w:tabs>
          <w:tab w:leader="none" w:pos="6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spacing w:after="0" w:line="195" w:lineRule="exact"/>
        <w:rPr>
          <w:rFonts w:ascii="Arial" w:cs="Arial" w:eastAsia="Arial" w:hAnsi="Arial"/>
          <w:sz w:val="18"/>
          <w:szCs w:val="18"/>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PSUs are subject to the following additional terms and conditions:</w:t>
      </w:r>
    </w:p>
    <w:p>
      <w:pPr>
        <w:spacing w:after="0" w:line="238" w:lineRule="exact"/>
        <w:rPr>
          <w:rFonts w:ascii="Arial" w:cs="Arial" w:eastAsia="Arial" w:hAnsi="Arial"/>
          <w:sz w:val="18"/>
          <w:szCs w:val="18"/>
          <w:b w:val="1"/>
          <w:bCs w:val="1"/>
          <w:color w:val="auto"/>
        </w:rPr>
      </w:pPr>
    </w:p>
    <w:p>
      <w:pPr>
        <w:ind w:left="660" w:hanging="328"/>
        <w:spacing w:after="0" w:line="271"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the PSUs cannot be sold, assigned,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exchanged, transferred, hypothecated or encumbered, other than to the Company as a result of forfeiture.</w:t>
      </w:r>
    </w:p>
    <w:p>
      <w:pPr>
        <w:spacing w:after="0" w:line="180" w:lineRule="exact"/>
        <w:rPr>
          <w:rFonts w:ascii="Arial" w:cs="Arial" w:eastAsia="Arial" w:hAnsi="Arial"/>
          <w:sz w:val="18"/>
          <w:szCs w:val="18"/>
          <w:color w:val="auto"/>
        </w:rPr>
      </w:pPr>
    </w:p>
    <w:p>
      <w:pPr>
        <w:ind w:left="660" w:hanging="328"/>
        <w:spacing w:after="0" w:line="256"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Voting and Dividend Equivalent Rights</w:t>
      </w:r>
      <w:r>
        <w:rPr>
          <w:rFonts w:ascii="Arial" w:cs="Arial" w:eastAsia="Arial" w:hAnsi="Arial"/>
          <w:sz w:val="18"/>
          <w:szCs w:val="18"/>
          <w:color w:val="auto"/>
        </w:rPr>
        <w:t>. The Participant will not have any privileges of a stockholder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PSUs, including without limitation any right to</w:t>
      </w:r>
    </w:p>
    <w:p>
      <w:pPr>
        <w:sectPr>
          <w:pgSz w:w="11900" w:h="16838" w:orient="portrait"/>
          <w:cols w:equalWidth="0" w:num="1">
            <w:col w:w="11240"/>
          </w:cols>
          <w:pgMar w:left="320" w:top="1403" w:right="339" w:bottom="1440" w:gutter="0" w:footer="0" w:header="0"/>
        </w:sectPr>
      </w:pPr>
    </w:p>
    <w:bookmarkStart w:id="49" w:name="page50"/>
    <w:bookmarkEnd w:id="49"/>
    <w:p>
      <w:pPr>
        <w:jc w:val="both"/>
        <w:ind w:left="328"/>
        <w:spacing w:after="0" w:line="242" w:lineRule="auto"/>
        <w:rPr>
          <w:sz w:val="20"/>
          <w:szCs w:val="20"/>
          <w:color w:val="auto"/>
        </w:rPr>
      </w:pPr>
      <w:r>
        <w:rPr>
          <w:rFonts w:ascii="Arial" w:cs="Arial" w:eastAsia="Arial" w:hAnsi="Arial"/>
          <w:sz w:val="18"/>
          <w:szCs w:val="18"/>
          <w:color w:val="auto"/>
        </w:rPr>
        <w:t>vote such shares or to receive dividends, unless and until shares are delivered to the Participant on the vesting of the PSUs. Dividend equivalents will be earned for each PSU that vests and the amount will equal the total dividends declared on a share, where the record date of the dividend is between the Grant Date of this Award and the date a share is issued on vesting of the PSU. Any dividend equivalents earned will be paid in cash to the Participant as and when the shares subject to the vested PSUs are issued. No dividend equivalents will be earned or paid with respect to any portion of the PSUs that are not earned and/or do not vest. Dividend equivalents will not accrue interest.</w:t>
      </w:r>
    </w:p>
    <w:p>
      <w:pPr>
        <w:spacing w:after="0" w:line="206" w:lineRule="exact"/>
        <w:rPr>
          <w:sz w:val="20"/>
          <w:szCs w:val="20"/>
          <w:color w:val="auto"/>
        </w:rPr>
      </w:pPr>
    </w:p>
    <w:p>
      <w:pPr>
        <w:jc w:val="both"/>
        <w:ind w:left="328" w:hanging="328"/>
        <w:spacing w:after="0" w:line="238"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Earning of PSUs. </w:t>
      </w:r>
      <w:r>
        <w:rPr>
          <w:rFonts w:ascii="Arial" w:cs="Arial" w:eastAsia="Arial" w:hAnsi="Arial"/>
          <w:sz w:val="18"/>
          <w:szCs w:val="18"/>
          <w:color w:val="auto"/>
        </w:rPr>
        <w:t>The Participant can earn between 0% and 175% of the target number of PSUs granted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vesting to be based on the achievement of a 3-year average Xylem adjusted operational Return on Invested Capital (“</w:t>
      </w:r>
      <w:r>
        <w:rPr>
          <w:rFonts w:ascii="Arial" w:cs="Arial" w:eastAsia="Arial" w:hAnsi="Arial"/>
          <w:sz w:val="18"/>
          <w:szCs w:val="18"/>
          <w:b w:val="1"/>
          <w:bCs w:val="1"/>
          <w:color w:val="auto"/>
        </w:rPr>
        <w:t>ROIC</w:t>
      </w:r>
      <w:r>
        <w:rPr>
          <w:rFonts w:ascii="Arial" w:cs="Arial" w:eastAsia="Arial" w:hAnsi="Arial"/>
          <w:sz w:val="18"/>
          <w:szCs w:val="18"/>
          <w:color w:val="auto"/>
        </w:rPr>
        <w:t>”) performance target, a 3-year Xylem Revenue performance target, and a 3-year Xylem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xml:space="preserve">”) relative to companies in the S&amp;P 500 index (excluding Financial Services companies) pursuant to the performance scales set forth on Exhibit A, by the end of the 3-year performance period covering fiscal years 2022-2024 (the </w:t>
      </w:r>
      <w:r>
        <w:rPr>
          <w:rFonts w:ascii="Arial" w:cs="Arial" w:eastAsia="Arial" w:hAnsi="Arial"/>
          <w:sz w:val="18"/>
          <w:szCs w:val="18"/>
          <w:b w:val="1"/>
          <w:bCs w:val="1"/>
          <w:color w:val="auto"/>
        </w:rPr>
        <w:t>“Performance Period”</w:t>
      </w:r>
      <w:r>
        <w:rPr>
          <w:rFonts w:ascii="Arial" w:cs="Arial" w:eastAsia="Arial" w:hAnsi="Arial"/>
          <w:sz w:val="18"/>
          <w:szCs w:val="18"/>
          <w:color w:val="auto"/>
        </w:rPr>
        <w:t>). The Committee will determine and certify the results of the level of achievement against such targets and the associated number of PSUs earned as described in Exhibit A.</w:t>
      </w:r>
    </w:p>
    <w:p>
      <w:pPr>
        <w:spacing w:after="0" w:line="210"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Any earned PSUs will vest on</w:t>
      </w:r>
      <w:r>
        <w:rPr>
          <w:rFonts w:ascii="Arial" w:cs="Arial" w:eastAsia="Arial" w:hAnsi="Arial"/>
          <w:sz w:val="18"/>
          <w:szCs w:val="18"/>
          <w:b w:val="1"/>
          <w:bCs w:val="1"/>
          <w:color w:val="auto"/>
        </w:rPr>
        <w:t xml:space="preserve"> March 1, 2025 </w:t>
      </w:r>
      <w:r>
        <w:rPr>
          <w:rFonts w:ascii="Arial" w:cs="Arial" w:eastAsia="Arial" w:hAnsi="Arial"/>
          <w:sz w:val="18"/>
          <w:szCs w:val="18"/>
          <w:color w:val="auto"/>
        </w:rPr>
        <w:t>(the</w:t>
      </w:r>
      <w:r>
        <w:rPr>
          <w:rFonts w:ascii="Arial" w:cs="Arial" w:eastAsia="Arial" w:hAnsi="Arial"/>
          <w:sz w:val="18"/>
          <w:szCs w:val="18"/>
          <w:b w:val="1"/>
          <w:bCs w:val="1"/>
          <w:color w:val="auto"/>
        </w:rPr>
        <w:t xml:space="preserve"> “Vesting Date”</w:t>
      </w:r>
      <w:r>
        <w:rPr>
          <w:rFonts w:ascii="Arial" w:cs="Arial" w:eastAsia="Arial" w:hAnsi="Arial"/>
          <w:sz w:val="18"/>
          <w:szCs w:val="18"/>
          <w:color w:val="auto"/>
        </w:rPr>
        <w:t>) so long as the Participant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employed by the Company or an Affiliate from the Grant Date through the Vesting Date. Active employment does not include any potential severance period.</w:t>
      </w:r>
    </w:p>
    <w:p>
      <w:pPr>
        <w:spacing w:after="0" w:line="195" w:lineRule="exact"/>
        <w:rPr>
          <w:rFonts w:ascii="Arial" w:cs="Arial" w:eastAsia="Arial" w:hAnsi="Arial"/>
          <w:sz w:val="18"/>
          <w:szCs w:val="18"/>
          <w:color w:val="auto"/>
        </w:rPr>
      </w:pPr>
    </w:p>
    <w:p>
      <w:pPr>
        <w:jc w:val="both"/>
        <w:ind w:left="328"/>
        <w:spacing w:after="0" w:line="247" w:lineRule="auto"/>
        <w:rPr>
          <w:rFonts w:ascii="Arial" w:cs="Arial" w:eastAsia="Arial" w:hAnsi="Arial"/>
          <w:sz w:val="18"/>
          <w:szCs w:val="18"/>
          <w:color w:val="auto"/>
        </w:rPr>
      </w:pPr>
      <w:r>
        <w:rPr>
          <w:rFonts w:ascii="Arial" w:cs="Arial" w:eastAsia="Arial" w:hAnsi="Arial"/>
          <w:sz w:val="18"/>
          <w:szCs w:val="18"/>
          <w:color w:val="auto"/>
        </w:rPr>
        <w:t>Except as provided in subsection 2(h), on vesting of the PSUs, including vesting pursuant to subsections 2(d) or 2(e), the Company will deliver to the Participant (i) one share for each vested PSU, with any fractional shares resulting from proration pursuant to subsection 2(d) and 2(e) to be rounded to the nearest whole share, and (ii) an amount in cash attributable to dividend equivalents earned in accordance with subsection 2(b), less shares withheld in accordance with subsection 2(f).</w:t>
      </w:r>
    </w:p>
    <w:p>
      <w:pPr>
        <w:spacing w:after="0" w:line="187" w:lineRule="exact"/>
        <w:rPr>
          <w:rFonts w:ascii="Arial" w:cs="Arial" w:eastAsia="Arial" w:hAnsi="Arial"/>
          <w:sz w:val="18"/>
          <w:szCs w:val="18"/>
          <w:color w:val="auto"/>
        </w:rPr>
      </w:pPr>
    </w:p>
    <w:p>
      <w:pPr>
        <w:jc w:val="both"/>
        <w:ind w:left="328" w:hanging="328"/>
        <w:spacing w:after="0" w:line="247" w:lineRule="auto"/>
        <w:tabs>
          <w:tab w:leader="none" w:pos="31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Performance Period, if the acquiring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company in the transaction assumes or continues any then-outstanding PSUs, any unvested PSUs will be deemed to have satisfied all applicable performance targets at the target level (i.e. 100%), and will be converted to service-based restricted stock units, which will continue to vest based on the PSUs’ service-based vesting criteria until the Vesting Date.</w:t>
      </w:r>
    </w:p>
    <w:p>
      <w:pPr>
        <w:spacing w:after="0" w:line="200"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converted and any unvested PSUs will become 100% vested on the termination date.</w:t>
      </w:r>
    </w:p>
    <w:p>
      <w:pPr>
        <w:spacing w:after="0" w:line="195"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color w:val="auto"/>
        </w:rPr>
        <w:t>If the acquiring or surviving company in the transaction does not assume or continue outstanding awards under the Plan, immediately prior to the Change in Control, any unvested PSUs will become 100% vested based on deemed performance at the target level (i.e. 100%).</w:t>
      </w:r>
    </w:p>
    <w:p>
      <w:pPr>
        <w:spacing w:after="0" w:line="195" w:lineRule="exact"/>
        <w:rPr>
          <w:rFonts w:ascii="Arial" w:cs="Arial" w:eastAsia="Arial" w:hAnsi="Arial"/>
          <w:sz w:val="18"/>
          <w:szCs w:val="18"/>
          <w:color w:val="auto"/>
        </w:rPr>
      </w:pPr>
    </w:p>
    <w:p>
      <w:pPr>
        <w:jc w:val="both"/>
        <w:ind w:left="328"/>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207" w:lineRule="exact"/>
        <w:rPr>
          <w:rFonts w:ascii="Arial" w:cs="Arial" w:eastAsia="Arial" w:hAnsi="Arial"/>
          <w:sz w:val="18"/>
          <w:szCs w:val="18"/>
          <w:color w:val="auto"/>
        </w:rPr>
      </w:pPr>
    </w:p>
    <w:p>
      <w:pPr>
        <w:jc w:val="both"/>
        <w:ind w:left="328" w:right="20"/>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w:t>
      </w:r>
    </w:p>
    <w:p>
      <w:pPr>
        <w:sectPr>
          <w:pgSz w:w="11900" w:h="16838" w:orient="portrait"/>
          <w:cols w:equalWidth="0" w:num="1">
            <w:col w:w="10908"/>
          </w:cols>
          <w:pgMar w:left="652" w:top="1403" w:right="339" w:bottom="1440" w:gutter="0" w:footer="0" w:header="0"/>
        </w:sectPr>
      </w:pPr>
    </w:p>
    <w:bookmarkStart w:id="50" w:name="page51"/>
    <w:bookmarkEnd w:id="50"/>
    <w:p>
      <w:pPr>
        <w:jc w:val="both"/>
        <w:ind w:left="328"/>
        <w:spacing w:after="0" w:line="253" w:lineRule="auto"/>
        <w:rPr>
          <w:sz w:val="20"/>
          <w:szCs w:val="20"/>
          <w:color w:val="auto"/>
        </w:rPr>
      </w:pPr>
      <w:r>
        <w:rPr>
          <w:rFonts w:ascii="Arial" w:cs="Arial" w:eastAsia="Arial" w:hAnsi="Arial"/>
          <w:sz w:val="18"/>
          <w:szCs w:val="18"/>
          <w:color w:val="auto"/>
        </w:rPr>
        <w:t>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196" w:lineRule="exact"/>
        <w:rPr>
          <w:sz w:val="20"/>
          <w:szCs w:val="20"/>
          <w:color w:val="auto"/>
        </w:rPr>
      </w:pPr>
    </w:p>
    <w:p>
      <w:pPr>
        <w:jc w:val="both"/>
        <w:ind w:left="328"/>
        <w:spacing w:after="0" w:line="247"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187" w:lineRule="exact"/>
        <w:rPr>
          <w:sz w:val="20"/>
          <w:szCs w:val="20"/>
          <w:color w:val="auto"/>
        </w:rPr>
      </w:pPr>
    </w:p>
    <w:p>
      <w:pPr>
        <w:jc w:val="both"/>
        <w:ind w:left="328" w:hanging="328"/>
        <w:spacing w:after="0" w:line="244" w:lineRule="auto"/>
        <w:tabs>
          <w:tab w:leader="none" w:pos="31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Earned PSUs will only vest if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through the Vesting Date. If the Participant's active employment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PSUs:</w:t>
      </w:r>
    </w:p>
    <w:p>
      <w:pPr>
        <w:spacing w:after="0" w:line="203" w:lineRule="exact"/>
        <w:rPr>
          <w:rFonts w:ascii="Arial" w:cs="Arial" w:eastAsia="Arial" w:hAnsi="Arial"/>
          <w:sz w:val="18"/>
          <w:szCs w:val="18"/>
          <w:color w:val="auto"/>
        </w:rPr>
      </w:pPr>
    </w:p>
    <w:p>
      <w:pPr>
        <w:jc w:val="both"/>
        <w:ind w:left="968" w:hanging="320"/>
        <w:spacing w:after="0" w:line="253" w:lineRule="auto"/>
        <w:tabs>
          <w:tab w:leader="none" w:pos="960" w:val="left"/>
        </w:tabs>
        <w:numPr>
          <w:ilvl w:val="1"/>
          <w:numId w:val="26"/>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A prorated portion (as described below) of the unvested PSUs will remain outstanding and therefore continue to be eligible to vest based on actual Company performance during the Performance Period. A prorated portion (as described below) of the earned PSUs will be paid out on the Vesting Date.</w:t>
      </w:r>
    </w:p>
    <w:p>
      <w:pPr>
        <w:spacing w:after="0" w:line="195" w:lineRule="exact"/>
        <w:rPr>
          <w:rFonts w:ascii="Arial" w:cs="Arial" w:eastAsia="Arial" w:hAnsi="Arial"/>
          <w:sz w:val="18"/>
          <w:szCs w:val="18"/>
          <w:b w:val="1"/>
          <w:bCs w:val="1"/>
          <w:color w:val="auto"/>
        </w:rPr>
      </w:pPr>
    </w:p>
    <w:p>
      <w:pPr>
        <w:ind w:left="968" w:hanging="320"/>
        <w:spacing w:after="0"/>
        <w:tabs>
          <w:tab w:leader="none" w:pos="968" w:val="left"/>
        </w:tabs>
        <w:numPr>
          <w:ilvl w:val="1"/>
          <w:numId w:val="26"/>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other than for Death, Disability, or Retirement</w:t>
      </w:r>
      <w:r>
        <w:rPr>
          <w:rFonts w:ascii="Arial" w:cs="Arial" w:eastAsia="Arial" w:hAnsi="Arial"/>
          <w:sz w:val="18"/>
          <w:szCs w:val="18"/>
          <w:color w:val="auto"/>
        </w:rPr>
        <w:t>. All PSUs will automatically be forfeited.</w:t>
      </w:r>
    </w:p>
    <w:p>
      <w:pPr>
        <w:spacing w:after="0" w:line="239" w:lineRule="exact"/>
        <w:rPr>
          <w:sz w:val="20"/>
          <w:szCs w:val="20"/>
          <w:color w:val="auto"/>
        </w:rPr>
      </w:pPr>
    </w:p>
    <w:p>
      <w:pPr>
        <w:jc w:val="both"/>
        <w:ind w:left="32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196" w:lineRule="exact"/>
        <w:rPr>
          <w:sz w:val="20"/>
          <w:szCs w:val="20"/>
          <w:color w:val="auto"/>
        </w:rPr>
      </w:pPr>
    </w:p>
    <w:p>
      <w:pPr>
        <w:jc w:val="both"/>
        <w:ind w:left="32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w:t>
      </w:r>
    </w:p>
    <w:p>
      <w:pPr>
        <w:spacing w:after="0" w:line="1"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Affiliate, or the Participant is age 65 or older.</w:t>
      </w:r>
    </w:p>
    <w:p>
      <w:pPr>
        <w:spacing w:after="0" w:line="221" w:lineRule="exact"/>
        <w:rPr>
          <w:sz w:val="20"/>
          <w:szCs w:val="20"/>
          <w:color w:val="auto"/>
        </w:rPr>
      </w:pPr>
    </w:p>
    <w:p>
      <w:pPr>
        <w:ind w:left="328"/>
        <w:spacing w:after="0" w:line="244" w:lineRule="auto"/>
        <w:rPr>
          <w:sz w:val="20"/>
          <w:szCs w:val="20"/>
          <w:color w:val="auto"/>
        </w:rPr>
      </w:pPr>
      <w:r>
        <w:rPr>
          <w:rFonts w:ascii="Arial" w:cs="Arial" w:eastAsia="Arial" w:hAnsi="Arial"/>
          <w:sz w:val="18"/>
          <w:szCs w:val="18"/>
          <w:b w:val="1"/>
          <w:bCs w:val="1"/>
          <w:color w:val="auto"/>
        </w:rPr>
        <w:t>Prorated Vesting</w:t>
      </w:r>
      <w:r>
        <w:rPr>
          <w:rFonts w:ascii="Arial" w:cs="Arial" w:eastAsia="Arial" w:hAnsi="Arial"/>
          <w:sz w:val="18"/>
          <w:szCs w:val="18"/>
          <w:color w:val="auto"/>
        </w:rPr>
        <w:t>. The prorated portion of the PSUs that vests on the Vesting Date following the Participant's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(or while Retirement Eligible) will be determined by multiplying the total number of PSUs the Participant would have earned based on actual performance by a fraction, of which the numerator is the number of months (not to exceed 36) the Participant had been continually employed since the beginning of the Performance Period until his, her or their Death, Disability or Retirement and the denominator is 36.</w:t>
      </w:r>
    </w:p>
    <w:p>
      <w:pPr>
        <w:spacing w:after="0" w:line="203" w:lineRule="exact"/>
        <w:rPr>
          <w:sz w:val="20"/>
          <w:szCs w:val="20"/>
          <w:color w:val="auto"/>
        </w:rPr>
      </w:pPr>
    </w:p>
    <w:p>
      <w:pPr>
        <w:jc w:val="both"/>
        <w:ind w:left="328" w:hanging="328"/>
        <w:spacing w:after="0" w:line="238" w:lineRule="auto"/>
        <w:tabs>
          <w:tab w:leader="none" w:pos="31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PSUs and any related dividend equivalents. Unless the Committee determines otherwise, the minimum statutory tax withholding required to be withheld 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PSUs are outstanding, the withholding will be made in a manner determined by the Company.</w:t>
      </w:r>
    </w:p>
    <w:p>
      <w:pPr>
        <w:sectPr>
          <w:pgSz w:w="11900" w:h="16838" w:orient="portrait"/>
          <w:cols w:equalWidth="0" w:num="1">
            <w:col w:w="10908"/>
          </w:cols>
          <w:pgMar w:left="652" w:top="1403" w:right="339" w:bottom="1440" w:gutter="0" w:footer="0" w:header="0"/>
        </w:sectPr>
      </w:pPr>
    </w:p>
    <w:bookmarkStart w:id="51" w:name="page52"/>
    <w:bookmarkEnd w:id="51"/>
    <w:p>
      <w:pPr>
        <w:spacing w:after="0" w:line="207" w:lineRule="exact"/>
        <w:rPr>
          <w:sz w:val="20"/>
          <w:szCs w:val="20"/>
          <w:color w:val="auto"/>
        </w:rPr>
      </w:pPr>
    </w:p>
    <w:p>
      <w:pPr>
        <w:ind w:left="328" w:hanging="328"/>
        <w:spacing w:after="0"/>
        <w:tabs>
          <w:tab w:leader="none" w:pos="32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The Participant acknowledges and agrees that:</w:t>
      </w:r>
    </w:p>
    <w:p>
      <w:pPr>
        <w:spacing w:after="0" w:line="238" w:lineRule="exact"/>
        <w:rPr>
          <w:rFonts w:ascii="Arial" w:cs="Arial" w:eastAsia="Arial" w:hAnsi="Arial"/>
          <w:sz w:val="18"/>
          <w:szCs w:val="18"/>
          <w:b w:val="1"/>
          <w:bCs w:val="1"/>
          <w:color w:val="auto"/>
        </w:rPr>
      </w:pPr>
    </w:p>
    <w:p>
      <w:pPr>
        <w:jc w:val="both"/>
        <w:ind w:left="968" w:hanging="320"/>
        <w:spacing w:after="0" w:line="236" w:lineRule="auto"/>
        <w:tabs>
          <w:tab w:leader="none" w:pos="96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PSUs, if at any time during the period between the Grant Date and the 12-month period following the Participant’s termination of Employment (the “Obligation Period”), the Participant: (i) directly or indirectly, hires or solicits or arranges for the hiring or solicitation of any employee of the Company or its Affiliates, or encourages any employee to leave the Company or an Affiliate; (ii) directly or indirectly, assist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 Affiliates; the PSUs, whether previously vested or not, may be cancelled in full, and the Participant may be required to return to the Company any shares received on settlement of vested PSUs or the net after-tax income from any disposition of any shares received upon settlement of vested PSUs, unless the Committee, in its sole discretion, elects not to cancel the PSUs and/or elects not to recover any income from settled and vested PSUs or unless applicable law prohibits such action.</w:t>
      </w:r>
    </w:p>
    <w:p>
      <w:pPr>
        <w:spacing w:after="0" w:line="216" w:lineRule="exact"/>
        <w:rPr>
          <w:rFonts w:ascii="Arial" w:cs="Arial" w:eastAsia="Arial" w:hAnsi="Arial"/>
          <w:sz w:val="18"/>
          <w:szCs w:val="18"/>
          <w:color w:val="auto"/>
        </w:rPr>
      </w:pPr>
    </w:p>
    <w:p>
      <w:pPr>
        <w:jc w:val="both"/>
        <w:ind w:left="968"/>
        <w:spacing w:after="0" w:line="237" w:lineRule="auto"/>
        <w:rPr>
          <w:rFonts w:ascii="Arial" w:cs="Arial" w:eastAsia="Arial" w:hAnsi="Arial"/>
          <w:sz w:val="18"/>
          <w:szCs w:val="18"/>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ON SETTLEMENT OF VESTED PSUS OR THE NET AFTER-TAX INCOME FROM THE DISPOSITION OF ANY SHARES RECEIVED UPON SETTLEMENT OF VESTED PSUS IF THE PARTICIPANT SHOULD CHOOSE TO VIOLATE THIS PARAGRAPH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210" w:lineRule="exact"/>
        <w:rPr>
          <w:rFonts w:ascii="Arial" w:cs="Arial" w:eastAsia="Arial" w:hAnsi="Arial"/>
          <w:sz w:val="18"/>
          <w:szCs w:val="18"/>
          <w:color w:val="auto"/>
        </w:rPr>
      </w:pPr>
    </w:p>
    <w:p>
      <w:pPr>
        <w:jc w:val="both"/>
        <w:ind w:left="968" w:hanging="320"/>
        <w:spacing w:after="0" w:line="242" w:lineRule="auto"/>
        <w:tabs>
          <w:tab w:leader="none" w:pos="96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205" w:lineRule="exact"/>
        <w:rPr>
          <w:rFonts w:ascii="Arial" w:cs="Arial" w:eastAsia="Arial" w:hAnsi="Arial"/>
          <w:sz w:val="18"/>
          <w:szCs w:val="18"/>
          <w:color w:val="auto"/>
        </w:rPr>
      </w:pPr>
    </w:p>
    <w:p>
      <w:pPr>
        <w:jc w:val="both"/>
        <w:ind w:left="968" w:hanging="320"/>
        <w:spacing w:after="0" w:line="238" w:lineRule="auto"/>
        <w:tabs>
          <w:tab w:leader="none" w:pos="96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PSUs (to the extent such PSUs are not subject to Code Section 409A), or the Company may deduct funds equal to the amount of the obligation from other funds due to the Participant from the Company to the maximum extent permitted by Code Section 409A.</w:t>
      </w:r>
    </w:p>
    <w:p>
      <w:pPr>
        <w:sectPr>
          <w:pgSz w:w="11900" w:h="16838" w:orient="portrait"/>
          <w:cols w:equalWidth="0" w:num="1">
            <w:col w:w="10908"/>
          </w:cols>
          <w:pgMar w:left="652" w:top="1440" w:right="339" w:bottom="1440" w:gutter="0" w:footer="0" w:header="0"/>
        </w:sectPr>
      </w:pPr>
    </w:p>
    <w:bookmarkStart w:id="52" w:name="page53"/>
    <w:bookmarkEnd w:id="52"/>
    <w:p>
      <w:pPr>
        <w:jc w:val="both"/>
        <w:ind w:left="968" w:hanging="320"/>
        <w:spacing w:after="0" w:line="236" w:lineRule="auto"/>
        <w:tabs>
          <w:tab w:leader="none" w:pos="94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w:t>
      </w:r>
    </w:p>
    <w:p>
      <w:pPr>
        <w:spacing w:after="0" w:line="209" w:lineRule="exact"/>
        <w:rPr>
          <w:rFonts w:ascii="Arial" w:cs="Arial" w:eastAsia="Arial" w:hAnsi="Arial"/>
          <w:sz w:val="18"/>
          <w:szCs w:val="18"/>
          <w:color w:val="auto"/>
        </w:rPr>
      </w:pPr>
    </w:p>
    <w:p>
      <w:pPr>
        <w:ind w:left="968" w:hanging="320"/>
        <w:spacing w:after="0" w:line="256" w:lineRule="auto"/>
        <w:tabs>
          <w:tab w:leader="none" w:pos="94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If the Participant is or becomes subject to the Company’s Stock Ownership Guidelines and applicable retention requirements, the Participant may be limited in selling shares obtained upon settlement of the PSUs.</w:t>
      </w:r>
    </w:p>
    <w:p>
      <w:pPr>
        <w:spacing w:after="0" w:line="192" w:lineRule="exact"/>
        <w:rPr>
          <w:rFonts w:ascii="Arial" w:cs="Arial" w:eastAsia="Arial" w:hAnsi="Arial"/>
          <w:sz w:val="18"/>
          <w:szCs w:val="18"/>
          <w:color w:val="auto"/>
        </w:rPr>
      </w:pPr>
    </w:p>
    <w:p>
      <w:pPr>
        <w:jc w:val="both"/>
        <w:ind w:left="968" w:hanging="320"/>
        <w:spacing w:after="0" w:line="247" w:lineRule="auto"/>
        <w:tabs>
          <w:tab w:leader="none" w:pos="95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If the Participant is covered by the Company’s Clawback Policy, the Participant agrees that the PSUs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200" w:lineRule="exact"/>
        <w:rPr>
          <w:rFonts w:ascii="Arial" w:cs="Arial" w:eastAsia="Arial" w:hAnsi="Arial"/>
          <w:sz w:val="18"/>
          <w:szCs w:val="18"/>
          <w:color w:val="auto"/>
        </w:rPr>
      </w:pPr>
    </w:p>
    <w:p>
      <w:pPr>
        <w:ind w:left="328" w:hanging="328"/>
        <w:spacing w:after="0" w:line="271" w:lineRule="auto"/>
        <w:tabs>
          <w:tab w:leader="none" w:pos="32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will be interpreted accordingly.</w:t>
      </w:r>
    </w:p>
    <w:p>
      <w:pPr>
        <w:spacing w:after="0" w:line="180" w:lineRule="exact"/>
        <w:rPr>
          <w:rFonts w:ascii="Arial" w:cs="Arial" w:eastAsia="Arial" w:hAnsi="Arial"/>
          <w:sz w:val="18"/>
          <w:szCs w:val="18"/>
          <w:b w:val="1"/>
          <w:bCs w:val="1"/>
          <w:color w:val="auto"/>
        </w:rPr>
      </w:pPr>
    </w:p>
    <w:p>
      <w:pPr>
        <w:jc w:val="both"/>
        <w:ind w:left="968" w:hanging="320"/>
        <w:spacing w:after="0" w:line="242" w:lineRule="auto"/>
        <w:tabs>
          <w:tab w:leader="none" w:pos="9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Participant’s separation from service, then, to the extent required under Section 409A, any shares that would otherwise be distributed (along with the cash value of all dividend equivalents that would be payable) on the Participant’s separation from service, will instead be delivered (and, in the case of the dividend equivalents, paid) on the earlier of (x) the first business day of the seventh month following the date of the Participant’s separation from service or (y) the Participant’s death.</w:t>
      </w:r>
    </w:p>
    <w:p>
      <w:pPr>
        <w:spacing w:after="0" w:line="192" w:lineRule="exact"/>
        <w:rPr>
          <w:rFonts w:ascii="Arial" w:cs="Arial" w:eastAsia="Arial" w:hAnsi="Arial"/>
          <w:sz w:val="18"/>
          <w:szCs w:val="18"/>
          <w:color w:val="auto"/>
        </w:rPr>
      </w:pPr>
    </w:p>
    <w:p>
      <w:pPr>
        <w:jc w:val="both"/>
        <w:ind w:left="968" w:hanging="320"/>
        <w:spacing w:after="0" w:line="244" w:lineRule="auto"/>
        <w:tabs>
          <w:tab w:leader="none" w:pos="9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PSUs will vest at the time of the Change in Control, but distribution of any PSUs (or related dividend equivalents) that constitute deferred</w:t>
      </w:r>
    </w:p>
    <w:p>
      <w:pPr>
        <w:sectPr>
          <w:pgSz w:w="11900" w:h="16838" w:orient="portrait"/>
          <w:cols w:equalWidth="0" w:num="1">
            <w:col w:w="10908"/>
          </w:cols>
          <w:pgMar w:left="652" w:top="1403" w:right="339" w:bottom="1440" w:gutter="0" w:footer="0" w:header="0"/>
        </w:sectPr>
      </w:pPr>
    </w:p>
    <w:bookmarkStart w:id="53" w:name="page54"/>
    <w:bookmarkEnd w:id="53"/>
    <w:p>
      <w:pPr>
        <w:ind w:left="1300"/>
        <w:spacing w:after="0" w:line="271" w:lineRule="auto"/>
        <w:rPr>
          <w:sz w:val="20"/>
          <w:szCs w:val="20"/>
          <w:color w:val="auto"/>
        </w:rPr>
      </w:pPr>
      <w:r>
        <w:rPr>
          <w:rFonts w:ascii="Arial" w:cs="Arial" w:eastAsia="Arial" w:hAnsi="Arial"/>
          <w:sz w:val="18"/>
          <w:szCs w:val="18"/>
          <w:color w:val="auto"/>
        </w:rPr>
        <w:t>compensation for the purposes of Section 409A will not be accelerated (i.e., distribution will occur when it would have occurred absent the Change in Control).</w:t>
      </w:r>
    </w:p>
    <w:p>
      <w:pPr>
        <w:spacing w:after="0" w:line="181" w:lineRule="exact"/>
        <w:rPr>
          <w:sz w:val="20"/>
          <w:szCs w:val="20"/>
          <w:color w:val="auto"/>
        </w:rPr>
      </w:pPr>
    </w:p>
    <w:p>
      <w:pPr>
        <w:jc w:val="both"/>
        <w:ind w:left="660" w:hanging="328"/>
        <w:spacing w:after="0" w:line="25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issued, and the PSUs are granted, in Rye Brook, New York, and will be governed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New York, excluding any conflicts or choice of law rule or principle that might otherwise refer construction or interpretation of this Agreement to the substantive law of another jurisdiction.</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Agreed to: </w:t>
      </w:r>
      <w:r>
        <w:rPr>
          <w:rFonts w:ascii="Arial" w:cs="Arial" w:eastAsia="Arial" w:hAnsi="Arial"/>
          <w:sz w:val="18"/>
          <w:szCs w:val="18"/>
          <w:b w:val="1"/>
          <w:bCs w:val="1"/>
          <w:color w:val="auto"/>
        </w:rPr>
        <w:t>XYLEM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 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Participant </w:t>
      </w:r>
      <w:r>
        <w:rPr>
          <w:rFonts w:ascii="Arial" w:cs="Arial" w:eastAsia="Arial" w:hAnsi="Arial"/>
          <w:sz w:val="18"/>
          <w:szCs w:val="18"/>
          <w:b w:val="1"/>
          <w:bCs w:val="1"/>
          <w:color w:val="auto"/>
        </w:rPr>
        <w:t>[Name of Xylem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_________________ Dated: </w:t>
      </w:r>
      <w:r>
        <w:rPr>
          <w:rFonts w:ascii="Arial" w:cs="Arial" w:eastAsia="Arial" w:hAnsi="Arial"/>
          <w:sz w:val="18"/>
          <w:szCs w:val="18"/>
          <w:b w:val="1"/>
          <w:bCs w:val="1"/>
          <w:color w:val="auto"/>
        </w:rPr>
        <w:t>###GRANT_DATE###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2022-2024 Performance Targets and Payout Scale</w:t>
      </w:r>
    </w:p>
    <w:p>
      <w:pPr>
        <w:spacing w:after="0" w:line="2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payout scale for performance metrics below provides for PSUs to be earned above 100% for above target performance and below 100% for below target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(25%) Adjusted Operational ROIC (25%) Relative TSR</w:t>
      </w:r>
      <w:r>
        <w:rPr>
          <w:rFonts w:ascii="Arial" w:cs="Arial" w:eastAsia="Arial" w:hAnsi="Arial"/>
          <w:sz w:val="23"/>
          <w:szCs w:val="23"/>
          <w:b w:val="1"/>
          <w:bCs w:val="1"/>
          <w:u w:val="single" w:color="auto"/>
          <w:color w:val="auto"/>
          <w:vertAlign w:val="superscript"/>
        </w:rPr>
        <w:t>*</w:t>
      </w:r>
      <w:r>
        <w:rPr>
          <w:rFonts w:ascii="Arial" w:cs="Arial" w:eastAsia="Arial" w:hAnsi="Arial"/>
          <w:sz w:val="18"/>
          <w:szCs w:val="18"/>
          <w:b w:val="1"/>
          <w:bCs w:val="1"/>
          <w:u w:val="single" w:color="auto"/>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4705985" cy="1543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470598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i w:val="1"/>
          <w:iCs w:val="1"/>
          <w:color w:val="auto"/>
        </w:rPr>
        <w:t>Results are interpolated between threshold and the bottom end of the target range, and between the top end of the target range and maximum.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*Measured against S&amp;P 500 less Financial Services companies. Payout capped at target if Xylem’s 3-year TSR is negative.</w:t>
      </w:r>
    </w:p>
    <w:p>
      <w:pPr>
        <w:sectPr>
          <w:pgSz w:w="11900" w:h="16838" w:orient="portrait"/>
          <w:cols w:equalWidth="0" w:num="1">
            <w:col w:w="11240"/>
          </w:cols>
          <w:pgMar w:left="320" w:top="140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XYLEM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2022 RESTRICTED STOCK UNIT AGREEMENT</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Capitalized terms that are not defined in this Agreement are defined in the Company’s 2011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while employed. In consideration of the terms and conditions in this Agreement, the parties agree as follows:</w:t>
      </w:r>
    </w:p>
    <w:p>
      <w:pPr>
        <w:spacing w:after="0" w:line="221" w:lineRule="exact"/>
        <w:rPr>
          <w:sz w:val="20"/>
          <w:szCs w:val="20"/>
          <w:color w:val="auto"/>
        </w:rPr>
      </w:pPr>
    </w:p>
    <w:p>
      <w:pPr>
        <w:jc w:val="both"/>
        <w:ind w:left="660" w:hanging="328"/>
        <w:spacing w:after="0" w:line="255" w:lineRule="auto"/>
        <w:tabs>
          <w:tab w:leader="none" w:pos="648"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Restricted Stock Units</w:t>
      </w:r>
      <w:r>
        <w:rPr>
          <w:rFonts w:ascii="Arial" w:cs="Arial" w:eastAsia="Arial" w:hAnsi="Arial"/>
          <w:sz w:val="17"/>
          <w:szCs w:val="17"/>
          <w:color w:val="auto"/>
        </w:rPr>
        <w:t>. The Company hereby confirms the grant on</w:t>
      </w:r>
      <w:r>
        <w:rPr>
          <w:rFonts w:ascii="Arial" w:cs="Arial" w:eastAsia="Arial" w:hAnsi="Arial"/>
          <w:sz w:val="17"/>
          <w:szCs w:val="17"/>
          <w:b w:val="1"/>
          <w:bCs w:val="1"/>
          <w:color w:val="auto"/>
        </w:rPr>
        <w:t xml:space="preserve"> ###GRANT_DATE### </w:t>
      </w:r>
      <w:r>
        <w:rPr>
          <w:rFonts w:ascii="Arial" w:cs="Arial" w:eastAsia="Arial" w:hAnsi="Arial"/>
          <w:sz w:val="17"/>
          <w:szCs w:val="17"/>
          <w:color w:val="auto"/>
        </w:rPr>
        <w:t>(the “</w:t>
      </w:r>
      <w:r>
        <w:rPr>
          <w:rFonts w:ascii="Arial" w:cs="Arial" w:eastAsia="Arial" w:hAnsi="Arial"/>
          <w:sz w:val="17"/>
          <w:szCs w:val="17"/>
          <w:b w:val="1"/>
          <w:bCs w:val="1"/>
          <w:color w:val="auto"/>
        </w:rPr>
        <w:t>Grant Date</w:t>
      </w:r>
      <w:r>
        <w:rPr>
          <w:rFonts w:ascii="Arial" w:cs="Arial" w:eastAsia="Arial" w:hAnsi="Arial"/>
          <w:sz w:val="17"/>
          <w:szCs w:val="17"/>
          <w:color w:val="auto"/>
        </w:rPr>
        <w: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of </w:t>
      </w:r>
      <w:r>
        <w:rPr>
          <w:rFonts w:ascii="Arial" w:cs="Arial" w:eastAsia="Arial" w:hAnsi="Arial"/>
          <w:sz w:val="17"/>
          <w:szCs w:val="17"/>
          <w:b w:val="1"/>
          <w:bCs w:val="1"/>
          <w:color w:val="auto"/>
        </w:rPr>
        <w:t>###TOTAL_AWARDS###</w:t>
      </w:r>
      <w:r>
        <w:rPr>
          <w:rFonts w:ascii="Arial" w:cs="Arial" w:eastAsia="Arial" w:hAnsi="Arial"/>
          <w:sz w:val="17"/>
          <w:szCs w:val="17"/>
          <w:color w:val="auto"/>
        </w:rPr>
        <w:t xml:space="preserve">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The RSUs are notional units of measurement denominated in shares of common stock (</w:t>
      </w:r>
      <w:r>
        <w:rPr>
          <w:rFonts w:ascii="Arial" w:cs="Arial" w:eastAsia="Arial" w:hAnsi="Arial"/>
          <w:sz w:val="17"/>
          <w:szCs w:val="17"/>
          <w:i w:val="1"/>
          <w:iCs w:val="1"/>
          <w:color w:val="auto"/>
        </w:rPr>
        <w:t>i.e</w:t>
      </w:r>
      <w:r>
        <w:rPr>
          <w:rFonts w:ascii="Arial" w:cs="Arial" w:eastAsia="Arial" w:hAnsi="Arial"/>
          <w:sz w:val="17"/>
          <w:szCs w:val="17"/>
          <w:color w:val="auto"/>
        </w:rPr>
        <w:t>., one Restricted Stock Unit is equivalent in value to one share of common stock of the Company).</w:t>
      </w:r>
    </w:p>
    <w:p>
      <w:pPr>
        <w:spacing w:after="0" w:line="2" w:lineRule="exact"/>
        <w:rPr>
          <w:rFonts w:ascii="Arial" w:cs="Arial" w:eastAsia="Arial" w:hAnsi="Arial"/>
          <w:sz w:val="17"/>
          <w:szCs w:val="17"/>
          <w:b w:val="1"/>
          <w:bCs w:val="1"/>
          <w:color w:val="auto"/>
        </w:rPr>
      </w:pPr>
    </w:p>
    <w:p>
      <w:pPr>
        <w:ind w:left="660"/>
        <w:spacing w:after="0" w:line="250" w:lineRule="auto"/>
        <w:rPr>
          <w:rFonts w:ascii="Arial" w:cs="Arial" w:eastAsia="Arial" w:hAnsi="Arial"/>
          <w:sz w:val="17"/>
          <w:szCs w:val="17"/>
          <w:b w:val="1"/>
          <w:bCs w:val="1"/>
          <w:color w:val="auto"/>
        </w:rPr>
      </w:pPr>
      <w:r>
        <w:rPr>
          <w:rFonts w:ascii="Arial" w:cs="Arial" w:eastAsia="Arial" w:hAnsi="Arial"/>
          <w:sz w:val="18"/>
          <w:szCs w:val="18"/>
          <w:color w:val="auto"/>
        </w:rPr>
        <w:t>The RSUs represent an unfunded, unsecured right to receive shares and dividend equivalent payments in the future if the conditions in the Plan and this Agreement are satisfied.</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Nature of the Grant:</w:t>
      </w:r>
    </w:p>
    <w:p>
      <w:pPr>
        <w:spacing w:after="0" w:line="239" w:lineRule="exact"/>
        <w:rPr>
          <w:sz w:val="20"/>
          <w:szCs w:val="20"/>
          <w:color w:val="auto"/>
        </w:rPr>
      </w:pPr>
    </w:p>
    <w:p>
      <w:pPr>
        <w:jc w:val="both"/>
        <w:ind w:left="660" w:hanging="328"/>
        <w:spacing w:after="0" w:line="253"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 of the RSUs is voluntary and occasional and does not create any contractual or other right to receive future grants of RSUs, or benefits in lieu of RSUs, even if RSUs have been granted in the past. All decisions with respect to future RSUs or other grants, if any, will be at the sole discretion of the Company;</w:t>
      </w:r>
    </w:p>
    <w:p>
      <w:pPr>
        <w:spacing w:after="0" w:line="195"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38" w:lineRule="exact"/>
        <w:rPr>
          <w:rFonts w:ascii="Arial" w:cs="Arial" w:eastAsia="Arial" w:hAnsi="Arial"/>
          <w:sz w:val="18"/>
          <w:szCs w:val="18"/>
          <w:color w:val="auto"/>
        </w:rPr>
      </w:pPr>
    </w:p>
    <w:p>
      <w:pPr>
        <w:jc w:val="both"/>
        <w:ind w:left="660" w:hanging="328"/>
        <w:spacing w:after="0" w:line="245" w:lineRule="auto"/>
        <w:tabs>
          <w:tab w:leader="none" w:pos="6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RSUs and the shares subject to the RSUs,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203"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38"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RSUs resulting from the termination of the Participant's employment; and</w:t>
      </w:r>
    </w:p>
    <w:p>
      <w:pPr>
        <w:spacing w:after="0" w:line="180" w:lineRule="exact"/>
        <w:rPr>
          <w:rFonts w:ascii="Arial" w:cs="Arial" w:eastAsia="Arial" w:hAnsi="Arial"/>
          <w:sz w:val="18"/>
          <w:szCs w:val="18"/>
          <w:color w:val="auto"/>
        </w:rPr>
      </w:pPr>
    </w:p>
    <w:p>
      <w:pPr>
        <w:jc w:val="both"/>
        <w:ind w:left="660" w:hanging="328"/>
        <w:spacing w:after="0" w:line="253" w:lineRule="auto"/>
        <w:tabs>
          <w:tab w:leader="none" w:pos="6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96"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It is understood and agreed that the RSUs are subject to the following terms and conditions.</w:t>
      </w:r>
    </w:p>
    <w:p>
      <w:pPr>
        <w:spacing w:after="0" w:line="239" w:lineRule="exact"/>
        <w:rPr>
          <w:sz w:val="20"/>
          <w:szCs w:val="20"/>
          <w:color w:val="auto"/>
        </w:rPr>
      </w:pPr>
    </w:p>
    <w:p>
      <w:pPr>
        <w:jc w:val="both"/>
        <w:ind w:left="660" w:hanging="328"/>
        <w:spacing w:after="0" w:line="253"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Except as otherwise provided in the Plan and this Agreement, neither this Award nor any RSUs subject to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sold, assigned, pledged, exchanged, transferred, hypothecated or encumbered, other than to the Company as a result of forfeiture of the RSUs.</w:t>
      </w:r>
    </w:p>
    <w:p>
      <w:pPr>
        <w:spacing w:after="0" w:line="195" w:lineRule="exact"/>
        <w:rPr>
          <w:rFonts w:ascii="Arial" w:cs="Arial" w:eastAsia="Arial" w:hAnsi="Arial"/>
          <w:sz w:val="18"/>
          <w:szCs w:val="18"/>
          <w:color w:val="auto"/>
        </w:rPr>
      </w:pPr>
    </w:p>
    <w:p>
      <w:pPr>
        <w:jc w:val="both"/>
        <w:ind w:left="660" w:hanging="328"/>
        <w:spacing w:after="0" w:line="245"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Voting and Dividend Equivalent Rights. </w:t>
      </w:r>
      <w:r>
        <w:rPr>
          <w:rFonts w:ascii="Arial" w:cs="Arial" w:eastAsia="Arial" w:hAnsi="Arial"/>
          <w:sz w:val="18"/>
          <w:szCs w:val="18"/>
          <w:color w:val="auto"/>
        </w:rPr>
        <w:t>The Participant will not have any privileges of a stockholder of the Company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RSUs or any shares that may be delivered under this Agreement, including without limitation any right to vote the shares or to receive dividends,</w:t>
      </w:r>
    </w:p>
    <w:p>
      <w:pPr>
        <w:sectPr>
          <w:pgSz w:w="11900" w:h="16838" w:orient="portrait"/>
          <w:cols w:equalWidth="0" w:num="1">
            <w:col w:w="11240"/>
          </w:cols>
          <w:pgMar w:left="320" w:top="1403" w:right="339" w:bottom="1440" w:gutter="0" w:footer="0" w:header="0"/>
        </w:sectPr>
      </w:pPr>
    </w:p>
    <w:bookmarkStart w:id="55" w:name="page56"/>
    <w:bookmarkEnd w:id="55"/>
    <w:p>
      <w:pPr>
        <w:jc w:val="both"/>
        <w:ind w:left="328"/>
        <w:spacing w:after="0" w:line="244" w:lineRule="auto"/>
        <w:rPr>
          <w:sz w:val="20"/>
          <w:szCs w:val="20"/>
          <w:color w:val="auto"/>
        </w:rPr>
      </w:pPr>
      <w:r>
        <w:rPr>
          <w:rFonts w:ascii="Arial" w:cs="Arial" w:eastAsia="Arial" w:hAnsi="Arial"/>
          <w:sz w:val="18"/>
          <w:szCs w:val="18"/>
          <w:color w:val="auto"/>
        </w:rPr>
        <w:t>unless and until the shares are delivered on vesting of the RSUs. Dividend equivalents will be earned with respect to each RSU that vests and the amount will be equal to the total dividends declared on a share, where the record date of the dividend is between the Grant Date of this Award and the date a share is issued on vesting of the RSU. Any dividend equivalents earned will be paid in cash to the Participant when the shares subject to the vested RSUs are issued. No dividend equivalents will be earned or paid with respect to any portion of the RSUs that do not vest. Dividend equivalents will not accrue interest.</w:t>
      </w:r>
    </w:p>
    <w:p>
      <w:pPr>
        <w:spacing w:after="0" w:line="203" w:lineRule="exact"/>
        <w:rPr>
          <w:sz w:val="20"/>
          <w:szCs w:val="20"/>
          <w:color w:val="auto"/>
        </w:rPr>
      </w:pPr>
    </w:p>
    <w:p>
      <w:pPr>
        <w:jc w:val="both"/>
        <w:ind w:left="328" w:hanging="328"/>
        <w:spacing w:after="0" w:line="245" w:lineRule="auto"/>
        <w:tabs>
          <w:tab w:leader="none" w:pos="319"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Vesting and Payment</w:t>
      </w:r>
      <w:r>
        <w:rPr>
          <w:rFonts w:ascii="Arial" w:cs="Arial" w:eastAsia="Arial" w:hAnsi="Arial"/>
          <w:sz w:val="18"/>
          <w:szCs w:val="18"/>
          <w:color w:val="auto"/>
        </w:rPr>
        <w:t>. RSUs will vest as long as the Participant has been actively employed by the Company or an Affiliate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through the vesting date. Active employment does not include any potential severance period. The RSUs will vest in 3 installments as follows:</w:t>
      </w:r>
    </w:p>
    <w:p>
      <w:pPr>
        <w:spacing w:after="0" w:line="159" w:lineRule="exact"/>
        <w:rPr>
          <w:rFonts w:ascii="Arial" w:cs="Arial" w:eastAsia="Arial" w:hAnsi="Arial"/>
          <w:sz w:val="18"/>
          <w:szCs w:val="18"/>
          <w:color w:val="auto"/>
        </w:rPr>
      </w:pPr>
    </w:p>
    <w:p>
      <w:pPr>
        <w:ind w:left="1608" w:hanging="312"/>
        <w:spacing w:after="0"/>
        <w:tabs>
          <w:tab w:leader="none" w:pos="16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of the RSUs will vest on March 1, 2023</w:t>
      </w:r>
      <w:r>
        <w:rPr>
          <w:rFonts w:ascii="Arial" w:cs="Arial" w:eastAsia="Arial" w:hAnsi="Arial"/>
          <w:sz w:val="18"/>
          <w:szCs w:val="18"/>
          <w:b w:val="1"/>
          <w:bCs w:val="1"/>
          <w:color w:val="auto"/>
        </w:rPr>
        <w:t>,</w:t>
      </w:r>
    </w:p>
    <w:p>
      <w:pPr>
        <w:ind w:left="1608" w:hanging="312"/>
        <w:spacing w:after="0" w:line="183" w:lineRule="auto"/>
        <w:tabs>
          <w:tab w:leader="none" w:pos="1608"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of the RSUs will vest March 1, 2024, and</w:t>
      </w:r>
    </w:p>
    <w:p>
      <w:pPr>
        <w:ind w:left="1608" w:hanging="312"/>
        <w:spacing w:after="0"/>
        <w:tabs>
          <w:tab w:leader="none" w:pos="16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of the RSUs will vest March 1, 2025.</w:t>
      </w:r>
    </w:p>
    <w:p>
      <w:pPr>
        <w:spacing w:after="0" w:line="163"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xml:space="preserve">March 1, 2022, March 1, 2023, and March 1, 2024 are the respective </w:t>
      </w:r>
      <w:r>
        <w:rPr>
          <w:rFonts w:ascii="Arial" w:cs="Arial" w:eastAsia="Arial" w:hAnsi="Arial"/>
          <w:sz w:val="18"/>
          <w:szCs w:val="18"/>
          <w:b w:val="1"/>
          <w:bCs w:val="1"/>
          <w:color w:val="auto"/>
        </w:rPr>
        <w:t>“Vest Period Start Date”</w:t>
      </w:r>
      <w:r>
        <w:rPr>
          <w:rFonts w:ascii="Arial" w:cs="Arial" w:eastAsia="Arial" w:hAnsi="Arial"/>
          <w:sz w:val="18"/>
          <w:szCs w:val="18"/>
          <w:color w:val="auto"/>
        </w:rPr>
        <w:t xml:space="preserve"> for each of the 3 installments.</w:t>
      </w:r>
    </w:p>
    <w:p>
      <w:pPr>
        <w:spacing w:after="0" w:line="239" w:lineRule="exact"/>
        <w:rPr>
          <w:sz w:val="20"/>
          <w:szCs w:val="20"/>
          <w:color w:val="auto"/>
        </w:rPr>
      </w:pPr>
    </w:p>
    <w:p>
      <w:pPr>
        <w:jc w:val="both"/>
        <w:ind w:left="328"/>
        <w:spacing w:after="0" w:line="247" w:lineRule="auto"/>
        <w:rPr>
          <w:sz w:val="20"/>
          <w:szCs w:val="20"/>
          <w:color w:val="auto"/>
        </w:rPr>
      </w:pPr>
      <w:r>
        <w:rPr>
          <w:rFonts w:ascii="Arial" w:cs="Arial" w:eastAsia="Arial" w:hAnsi="Arial"/>
          <w:sz w:val="18"/>
          <w:szCs w:val="18"/>
          <w:color w:val="auto"/>
        </w:rPr>
        <w:t>Except as provided in subsection 2(i), on vesting of the RSUs, including vesting pursuant to subsections 2(d) or 2(e), the Company will deliver to the Participant (i) one share for each vested RSU, with any fractional shares resulting from proration pursuant to subsection 2(e), if applicable, to be rounded to the nearest whole share, and (ii) an amount in cash attributable to dividend equivalents earned in accordance with subsection 2(b), less shares withheld in accordance with subsection 2(f).</w:t>
      </w:r>
    </w:p>
    <w:p>
      <w:pPr>
        <w:spacing w:after="0" w:line="201" w:lineRule="exact"/>
        <w:rPr>
          <w:sz w:val="20"/>
          <w:szCs w:val="20"/>
          <w:color w:val="auto"/>
        </w:rPr>
      </w:pPr>
    </w:p>
    <w:p>
      <w:pPr>
        <w:jc w:val="both"/>
        <w:ind w:left="328" w:hanging="328"/>
        <w:spacing w:after="0" w:line="253" w:lineRule="auto"/>
        <w:tabs>
          <w:tab w:leader="none" w:pos="31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Effect of Change in control. </w:t>
      </w:r>
      <w:r>
        <w:rPr>
          <w:rFonts w:ascii="Arial" w:cs="Arial" w:eastAsia="Arial" w:hAnsi="Arial"/>
          <w:sz w:val="18"/>
          <w:szCs w:val="18"/>
          <w:color w:val="auto"/>
        </w:rPr>
        <w:t>In the event of a Change in Control prior to the end of the vesting date, if the acquiring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the transaction assumes or continues any then-outstanding RSUs under the Plan, any unvested RSUs will continue to vest based on the RSUs’ service-based vesting criteria until the vesting date.</w:t>
      </w:r>
    </w:p>
    <w:p>
      <w:pPr>
        <w:spacing w:after="0" w:line="195" w:lineRule="exact"/>
        <w:rPr>
          <w:rFonts w:ascii="Arial" w:cs="Arial" w:eastAsia="Arial" w:hAnsi="Arial"/>
          <w:sz w:val="18"/>
          <w:szCs w:val="18"/>
          <w:color w:val="auto"/>
        </w:rPr>
      </w:pPr>
    </w:p>
    <w:p>
      <w:pPr>
        <w:jc w:val="both"/>
        <w:ind w:left="328"/>
        <w:spacing w:after="0"/>
        <w:rPr>
          <w:rFonts w:ascii="Arial" w:cs="Arial" w:eastAsia="Arial" w:hAnsi="Arial"/>
          <w:sz w:val="18"/>
          <w:szCs w:val="18"/>
          <w:color w:val="auto"/>
        </w:rPr>
      </w:pPr>
      <w:r>
        <w:rPr>
          <w:rFonts w:ascii="Arial" w:cs="Arial" w:eastAsia="Arial" w:hAnsi="Arial"/>
          <w:sz w:val="18"/>
          <w:szCs w:val="18"/>
          <w:color w:val="auto"/>
        </w:rPr>
        <w:t>If the Participant’s active employment with the Company or an Affiliate is terminated by the Company or an Affiliate without Cause or by the Participant for Good Reason (for applicable Participants only) within 2 years of a Change in Control, any assumed unvested RSUs will become 100% vested on the termination date. If the acquiring or surviving company in the transaction does not assume or continue outstanding awards under the Plan, immediately prior to the Change in Control any unvested RSUs will become 100% vested.</w:t>
      </w:r>
    </w:p>
    <w:p>
      <w:pPr>
        <w:spacing w:after="0" w:line="207" w:lineRule="exact"/>
        <w:rPr>
          <w:rFonts w:ascii="Arial" w:cs="Arial" w:eastAsia="Arial" w:hAnsi="Arial"/>
          <w:sz w:val="18"/>
          <w:szCs w:val="18"/>
          <w:color w:val="auto"/>
        </w:rPr>
      </w:pPr>
    </w:p>
    <w:p>
      <w:pPr>
        <w:jc w:val="both"/>
        <w:ind w:left="328"/>
        <w:spacing w:after="0" w:line="24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203" w:lineRule="exact"/>
        <w:rPr>
          <w:rFonts w:ascii="Arial" w:cs="Arial" w:eastAsia="Arial" w:hAnsi="Arial"/>
          <w:sz w:val="18"/>
          <w:szCs w:val="18"/>
          <w:color w:val="auto"/>
        </w:rPr>
      </w:pPr>
    </w:p>
    <w:p>
      <w:pPr>
        <w:jc w:val="both"/>
        <w:ind w:left="328"/>
        <w:spacing w:after="0" w:line="23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207" w:lineRule="exact"/>
        <w:rPr>
          <w:rFonts w:ascii="Arial" w:cs="Arial" w:eastAsia="Arial" w:hAnsi="Arial"/>
          <w:sz w:val="18"/>
          <w:szCs w:val="18"/>
          <w:color w:val="auto"/>
        </w:rPr>
      </w:pPr>
    </w:p>
    <w:p>
      <w:pPr>
        <w:jc w:val="both"/>
        <w:ind w:left="328"/>
        <w:spacing w:after="0" w:line="253" w:lineRule="auto"/>
        <w:rPr>
          <w:rFonts w:ascii="Arial" w:cs="Arial" w:eastAsia="Arial" w:hAnsi="Arial"/>
          <w:sz w:val="18"/>
          <w:szCs w:val="18"/>
          <w:color w:val="auto"/>
        </w:rPr>
      </w:pPr>
      <w:r>
        <w:rPr>
          <w:rFonts w:ascii="Arial" w:cs="Arial" w:eastAsia="Arial" w:hAnsi="Arial"/>
          <w:sz w:val="18"/>
          <w:szCs w:val="18"/>
          <w:color w:val="auto"/>
        </w:rPr>
        <w:t>Good Reason only applies to Company or Affiliate employees who are at the time of termination of employment, or were at any time during the 2 year period immediately preceding the Change in Control, covered by the Xylem Special Senior Executive Severance Pay Plan or the Xylem Enhanced Severance Pay Plan and will exclude an isolated, insubstantial and inadvertent action</w:t>
      </w:r>
    </w:p>
    <w:p>
      <w:pPr>
        <w:sectPr>
          <w:pgSz w:w="11900" w:h="16838" w:orient="portrait"/>
          <w:cols w:equalWidth="0" w:num="1">
            <w:col w:w="10908"/>
          </w:cols>
          <w:pgMar w:left="652" w:top="1403" w:right="339" w:bottom="1440" w:gutter="0" w:footer="0" w:header="0"/>
        </w:sectPr>
      </w:pPr>
    </w:p>
    <w:bookmarkStart w:id="56" w:name="page57"/>
    <w:bookmarkEnd w:id="56"/>
    <w:p>
      <w:pPr>
        <w:ind w:left="328"/>
        <w:spacing w:after="0"/>
        <w:rPr>
          <w:sz w:val="20"/>
          <w:szCs w:val="20"/>
          <w:color w:val="auto"/>
        </w:rPr>
      </w:pPr>
      <w:r>
        <w:rPr>
          <w:rFonts w:ascii="Arial" w:cs="Arial" w:eastAsia="Arial" w:hAnsi="Arial"/>
          <w:sz w:val="18"/>
          <w:szCs w:val="18"/>
          <w:color w:val="auto"/>
        </w:rPr>
        <w:t>not taken in bad faith that is resolved by the Company or an Affiliate within 30 days of receiving notice.</w:t>
      </w:r>
    </w:p>
    <w:p>
      <w:pPr>
        <w:spacing w:after="0" w:line="239" w:lineRule="exact"/>
        <w:rPr>
          <w:sz w:val="20"/>
          <w:szCs w:val="20"/>
          <w:color w:val="auto"/>
        </w:rPr>
      </w:pPr>
    </w:p>
    <w:p>
      <w:pPr>
        <w:jc w:val="both"/>
        <w:ind w:left="328" w:hanging="328"/>
        <w:spacing w:after="0" w:line="244" w:lineRule="auto"/>
        <w:tabs>
          <w:tab w:leader="none" w:pos="31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of Employment. </w:t>
      </w:r>
      <w:r>
        <w:rPr>
          <w:rFonts w:ascii="Arial" w:cs="Arial" w:eastAsia="Arial" w:hAnsi="Arial"/>
          <w:sz w:val="18"/>
          <w:szCs w:val="18"/>
          <w:color w:val="auto"/>
        </w:rPr>
        <w:t>RSUs will only vest if the Participant is actively employed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vesting date. If the Participant's active employment with the Company or an Affiliate is terminated for any reason prior to the vesting date, and the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unvested RSUs on the date of the Participant’s termination of employment:</w:t>
      </w:r>
    </w:p>
    <w:p>
      <w:pPr>
        <w:spacing w:after="0" w:line="203" w:lineRule="exact"/>
        <w:rPr>
          <w:rFonts w:ascii="Arial" w:cs="Arial" w:eastAsia="Arial" w:hAnsi="Arial"/>
          <w:sz w:val="18"/>
          <w:szCs w:val="18"/>
          <w:color w:val="auto"/>
        </w:rPr>
      </w:pPr>
    </w:p>
    <w:p>
      <w:pPr>
        <w:ind w:left="968" w:hanging="320"/>
        <w:spacing w:after="0"/>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RSUs will immediately become 100% vested.</w:t>
      </w:r>
    </w:p>
    <w:p>
      <w:pPr>
        <w:spacing w:after="0" w:line="225" w:lineRule="exact"/>
        <w:rPr>
          <w:rFonts w:ascii="Arial" w:cs="Arial" w:eastAsia="Arial" w:hAnsi="Arial"/>
          <w:sz w:val="18"/>
          <w:szCs w:val="18"/>
          <w:color w:val="auto"/>
        </w:rPr>
      </w:pPr>
    </w:p>
    <w:p>
      <w:pPr>
        <w:ind w:left="968" w:right="40" w:hanging="320"/>
        <w:spacing w:after="0" w:line="253" w:lineRule="auto"/>
        <w:tabs>
          <w:tab w:leader="none" w:pos="96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A prorated portion (as described below) of unvested RSUs with a vesting date within 12 months of termination shall immediately vest on the Participant’s termination of employment. All other unvested RSUs will automatically be forfeited.</w:t>
      </w:r>
    </w:p>
    <w:p>
      <w:pPr>
        <w:spacing w:after="0" w:line="195" w:lineRule="exact"/>
        <w:rPr>
          <w:rFonts w:ascii="Arial" w:cs="Arial" w:eastAsia="Arial" w:hAnsi="Arial"/>
          <w:sz w:val="18"/>
          <w:szCs w:val="18"/>
          <w:color w:val="auto"/>
        </w:rPr>
      </w:pPr>
    </w:p>
    <w:p>
      <w:pPr>
        <w:ind w:left="968" w:hanging="320"/>
        <w:spacing w:after="0"/>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All unvested RSUs will automatically be forfeited.</w:t>
      </w:r>
    </w:p>
    <w:p>
      <w:pPr>
        <w:spacing w:after="0" w:line="239" w:lineRule="exact"/>
        <w:rPr>
          <w:sz w:val="20"/>
          <w:szCs w:val="20"/>
          <w:color w:val="auto"/>
        </w:rPr>
      </w:pPr>
    </w:p>
    <w:p>
      <w:pPr>
        <w:jc w:val="both"/>
        <w:ind w:left="32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196" w:lineRule="exact"/>
        <w:rPr>
          <w:sz w:val="20"/>
          <w:szCs w:val="20"/>
          <w:color w:val="auto"/>
        </w:rPr>
      </w:pPr>
    </w:p>
    <w:p>
      <w:pPr>
        <w:jc w:val="both"/>
        <w:ind w:left="32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196" w:lineRule="exact"/>
        <w:rPr>
          <w:sz w:val="20"/>
          <w:szCs w:val="20"/>
          <w:color w:val="auto"/>
        </w:rPr>
      </w:pPr>
    </w:p>
    <w:p>
      <w:pPr>
        <w:jc w:val="both"/>
        <w:ind w:left="328"/>
        <w:spacing w:after="0" w:line="245" w:lineRule="auto"/>
        <w:rPr>
          <w:sz w:val="20"/>
          <w:szCs w:val="20"/>
          <w:color w:val="auto"/>
        </w:rPr>
      </w:pPr>
      <w:r>
        <w:rPr>
          <w:rFonts w:ascii="Arial" w:cs="Arial" w:eastAsia="Arial" w:hAnsi="Arial"/>
          <w:sz w:val="18"/>
          <w:szCs w:val="18"/>
          <w:b w:val="1"/>
          <w:bCs w:val="1"/>
          <w:color w:val="auto"/>
        </w:rPr>
        <w:t xml:space="preserve">Prorated Vesting Upon Retirement. </w:t>
      </w:r>
      <w:r>
        <w:rPr>
          <w:rFonts w:ascii="Arial" w:cs="Arial" w:eastAsia="Arial" w:hAnsi="Arial"/>
          <w:sz w:val="18"/>
          <w:szCs w:val="18"/>
          <w:color w:val="auto"/>
        </w:rPr>
        <w:t>The prorated portion of the RSUs that vests upon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RSUs with vesting date within 12</w:t>
      </w:r>
    </w:p>
    <w:p>
      <w:pPr>
        <w:jc w:val="both"/>
        <w:ind w:left="328"/>
        <w:spacing w:after="0" w:line="226" w:lineRule="auto"/>
        <w:rPr>
          <w:sz w:val="20"/>
          <w:szCs w:val="20"/>
          <w:color w:val="auto"/>
        </w:rPr>
      </w:pPr>
      <w:r>
        <w:rPr>
          <w:rFonts w:ascii="Arial" w:cs="Arial" w:eastAsia="Arial" w:hAnsi="Arial"/>
          <w:sz w:val="18"/>
          <w:szCs w:val="18"/>
          <w:color w:val="auto"/>
        </w:rPr>
        <w:t>months of termination by a fraction, of which the numerator is the number of full months (not to exceed 12) the Participant has been continually employed since the most recent Vest Period Start Date, and the denominator is 12. For this purpose, full months of</w:t>
      </w:r>
    </w:p>
    <w:p>
      <w:pPr>
        <w:spacing w:after="0" w:line="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employment shall be based on monthly anniversaries of the Vest Period Start Date, not calendar months.</w:t>
      </w:r>
    </w:p>
    <w:p>
      <w:pPr>
        <w:spacing w:after="0" w:line="221" w:lineRule="exact"/>
        <w:rPr>
          <w:sz w:val="20"/>
          <w:szCs w:val="20"/>
          <w:color w:val="auto"/>
        </w:rPr>
      </w:pPr>
    </w:p>
    <w:p>
      <w:pPr>
        <w:jc w:val="both"/>
        <w:ind w:left="328" w:hanging="328"/>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may make such provisions and take such actions as it may deem necessary for the withholding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applicable taxes attributable to the RSUs and any related dividend equivalents. Unless the Committee determines otherwise, the minimum statutory tax withholding required to be withheld upon delivery of the shares (or such other amount that will not cause an adverse accounting consequence or cost) and payment of dividend equivalents will be satisfied by withholding a number of shares having an aggregate Fair Market Value equal to the minimum statutory tax required to be withheld (or such other amount that will not cause an adverse accounting consequence or cost). If this withholding would result in a fractional share being withheld, the number of shares withheld will be rounded up to the nearest whole share. If FICA taxes are required to be withheld while the RSUs are outstanding, the withholding will be made in a manner determined by the Company.</w:t>
      </w:r>
    </w:p>
    <w:p>
      <w:pPr>
        <w:spacing w:after="0" w:line="207" w:lineRule="exact"/>
        <w:rPr>
          <w:rFonts w:ascii="Arial" w:cs="Arial" w:eastAsia="Arial" w:hAnsi="Arial"/>
          <w:sz w:val="18"/>
          <w:szCs w:val="18"/>
          <w:color w:val="auto"/>
        </w:rPr>
      </w:pPr>
    </w:p>
    <w:p>
      <w:pPr>
        <w:ind w:left="308" w:hanging="308"/>
        <w:spacing w:after="0"/>
        <w:tabs>
          <w:tab w:leader="none" w:pos="30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The Participant acknowledges and agrees that:</w:t>
      </w:r>
    </w:p>
    <w:p>
      <w:pPr>
        <w:spacing w:after="0" w:line="238" w:lineRule="exact"/>
        <w:rPr>
          <w:rFonts w:ascii="Arial" w:cs="Arial" w:eastAsia="Arial" w:hAnsi="Arial"/>
          <w:sz w:val="18"/>
          <w:szCs w:val="18"/>
          <w:color w:val="auto"/>
        </w:rPr>
      </w:pPr>
    </w:p>
    <w:p>
      <w:pPr>
        <w:jc w:val="both"/>
        <w:ind w:left="968" w:hanging="320"/>
        <w:spacing w:after="0" w:line="245" w:lineRule="auto"/>
        <w:tabs>
          <w:tab w:leader="none" w:pos="96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RSUs, if at any time during the period between the Grant Date and the 12-month period following the Participant’s termination of Employment (the “Obligation Period”), the Participant: (i) directly or indirectly, hires or solicits or arranges for the hiring or solicitation of any</w:t>
      </w:r>
    </w:p>
    <w:p>
      <w:pPr>
        <w:sectPr>
          <w:pgSz w:w="11900" w:h="16838" w:orient="portrait"/>
          <w:cols w:equalWidth="0" w:num="1">
            <w:col w:w="10908"/>
          </w:cols>
          <w:pgMar w:left="652" w:top="1403" w:right="339" w:bottom="1440" w:gutter="0" w:footer="0" w:header="0"/>
        </w:sectPr>
      </w:pPr>
    </w:p>
    <w:bookmarkStart w:id="57" w:name="page58"/>
    <w:bookmarkEnd w:id="57"/>
    <w:p>
      <w:pPr>
        <w:jc w:val="both"/>
        <w:ind w:left="320"/>
        <w:spacing w:after="0" w:line="238" w:lineRule="auto"/>
        <w:rPr>
          <w:sz w:val="20"/>
          <w:szCs w:val="20"/>
          <w:color w:val="auto"/>
        </w:rPr>
      </w:pPr>
      <w:r>
        <w:rPr>
          <w:rFonts w:ascii="Arial" w:cs="Arial" w:eastAsia="Arial" w:hAnsi="Arial"/>
          <w:sz w:val="18"/>
          <w:szCs w:val="18"/>
          <w:color w:val="auto"/>
        </w:rPr>
        <w:t>employee or customer of the Company or its Affiliates, or encourages any employee to leave the Company or an Affiliate; (ii) directly or indirectly, assist in soliciting in competition with the Company the business of any current customer, distributor or dealer or other sales or distribution channel partners of the Company; (iii) uses, discloses, misappropriates or transfers confidential or proprietary information concerning the Company or its Affiliates (except as required by the Participant’s work responsibilities with the Company or its Affiliates); or (iv) engages in any activity in violation of Company policies, including the Company’s Code of Conduct, or engages in conduct materially adverse to the best interests of the Company or its</w:t>
      </w:r>
    </w:p>
    <w:p>
      <w:pPr>
        <w:spacing w:after="0" w:line="1" w:lineRule="exact"/>
        <w:rPr>
          <w:sz w:val="20"/>
          <w:szCs w:val="20"/>
          <w:color w:val="auto"/>
        </w:rPr>
      </w:pPr>
    </w:p>
    <w:p>
      <w:pPr>
        <w:jc w:val="both"/>
        <w:ind w:left="320"/>
        <w:spacing w:after="0" w:line="226" w:lineRule="auto"/>
        <w:rPr>
          <w:sz w:val="20"/>
          <w:szCs w:val="20"/>
          <w:color w:val="auto"/>
        </w:rPr>
      </w:pPr>
      <w:r>
        <w:rPr>
          <w:rFonts w:ascii="Arial" w:cs="Arial" w:eastAsia="Arial" w:hAnsi="Arial"/>
          <w:sz w:val="18"/>
          <w:szCs w:val="18"/>
          <w:color w:val="auto"/>
        </w:rPr>
        <w:t>Affiliates; the RSUs, whether previously vested or not, may be cancelled in full, and the Participant may be required to return to the Company any shares received on settlement of vested RSUs or the net after-tax income from the disposition of any</w:t>
      </w:r>
    </w:p>
    <w:p>
      <w:pPr>
        <w:spacing w:after="0" w:line="2" w:lineRule="exact"/>
        <w:rPr>
          <w:sz w:val="20"/>
          <w:szCs w:val="20"/>
          <w:color w:val="auto"/>
        </w:rPr>
      </w:pPr>
    </w:p>
    <w:p>
      <w:pPr>
        <w:jc w:val="both"/>
        <w:ind w:left="320" w:right="20"/>
        <w:spacing w:after="0" w:line="250" w:lineRule="auto"/>
        <w:rPr>
          <w:sz w:val="20"/>
          <w:szCs w:val="20"/>
          <w:color w:val="auto"/>
        </w:rPr>
      </w:pPr>
      <w:r>
        <w:rPr>
          <w:rFonts w:ascii="Arial" w:cs="Arial" w:eastAsia="Arial" w:hAnsi="Arial"/>
          <w:sz w:val="18"/>
          <w:szCs w:val="18"/>
          <w:color w:val="auto"/>
        </w:rPr>
        <w:t>shares received upon settlement of vested RSUs, unless the Committee, in its sole discretion, elects not to cancel the RSUs and/or elects not to recover any income from settled RSUs or unless applicable law prohibits such action.</w:t>
      </w:r>
    </w:p>
    <w:p>
      <w:pPr>
        <w:spacing w:after="0" w:line="199" w:lineRule="exact"/>
        <w:rPr>
          <w:sz w:val="20"/>
          <w:szCs w:val="20"/>
          <w:color w:val="auto"/>
        </w:rPr>
      </w:pPr>
    </w:p>
    <w:p>
      <w:pPr>
        <w:jc w:val="both"/>
        <w:ind w:left="320"/>
        <w:spacing w:after="0" w:line="239" w:lineRule="auto"/>
        <w:rPr>
          <w:sz w:val="20"/>
          <w:szCs w:val="20"/>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AWARDS IN FULL AND A RETURN TO THE COMPANY OF ANY SHARES RECEIVED UPON SETTLEMENT OF VESTED RSUS OR THE NET AFTER-TAX INCOME FROM THE DISPOSITION OF ANY SHARES RECEIVED UPON SETTLEMENT OF VESTED RSUS IF THE PARTICIPANT SHOULD CHOOSE TO VIOLATE THIS SUBSECTION DURING THE OBLIGATION PERIOD. Nothing in this Agreement prohibits the Participant from voluntarily communicating, without notice to or approval by the Company, with any federal government agency about a potential violation of a federal law or regulation.</w:t>
      </w:r>
    </w:p>
    <w:p>
      <w:pPr>
        <w:spacing w:after="0" w:line="193" w:lineRule="exact"/>
        <w:rPr>
          <w:sz w:val="20"/>
          <w:szCs w:val="20"/>
          <w:color w:val="auto"/>
        </w:rPr>
      </w:pPr>
    </w:p>
    <w:p>
      <w:pPr>
        <w:jc w:val="both"/>
        <w:ind w:left="320" w:hanging="320"/>
        <w:spacing w:after="0" w:line="242"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205" w:lineRule="exact"/>
        <w:rPr>
          <w:rFonts w:ascii="Arial" w:cs="Arial" w:eastAsia="Arial" w:hAnsi="Arial"/>
          <w:sz w:val="18"/>
          <w:szCs w:val="18"/>
          <w:color w:val="auto"/>
        </w:rPr>
      </w:pPr>
    </w:p>
    <w:p>
      <w:pPr>
        <w:jc w:val="both"/>
        <w:ind w:left="320" w:hanging="320"/>
        <w:spacing w:after="0"/>
        <w:tabs>
          <w:tab w:leader="none" w:pos="31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the Participant has not satisfied these obligation(s), the Company may instruct the plan administrator to withhold and/or sell shares acquired by the Participant on settlement of the RSUs (to the extent such RSUs are not subject to Code Section 409A), or the Company may deduct funds equal to the amount of the obligation from other funds due to the Participant from the Company to the maximum extent permitted by Code Section 409A.</w:t>
      </w:r>
    </w:p>
    <w:p>
      <w:pPr>
        <w:spacing w:after="0" w:line="198" w:lineRule="exact"/>
        <w:rPr>
          <w:rFonts w:ascii="Arial" w:cs="Arial" w:eastAsia="Arial" w:hAnsi="Arial"/>
          <w:sz w:val="18"/>
          <w:szCs w:val="18"/>
          <w:color w:val="auto"/>
        </w:rPr>
      </w:pPr>
    </w:p>
    <w:p>
      <w:pPr>
        <w:jc w:val="both"/>
        <w:ind w:left="320" w:hanging="320"/>
        <w:spacing w:after="0" w:line="242" w:lineRule="auto"/>
        <w:tabs>
          <w:tab w:leader="none" w:pos="29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w:t>
      </w:r>
    </w:p>
    <w:p>
      <w:pPr>
        <w:sectPr>
          <w:pgSz w:w="11900" w:h="16838" w:orient="portrait"/>
          <w:cols w:equalWidth="0" w:num="1">
            <w:col w:w="10260"/>
          </w:cols>
          <w:pgMar w:left="1300" w:top="1403" w:right="339" w:bottom="1440" w:gutter="0" w:footer="0" w:header="0"/>
        </w:sectPr>
      </w:pPr>
    </w:p>
    <w:bookmarkStart w:id="58" w:name="page59"/>
    <w:bookmarkEnd w:id="58"/>
    <w:p>
      <w:pPr>
        <w:jc w:val="both"/>
        <w:ind w:left="968"/>
        <w:spacing w:after="0" w:line="238" w:lineRule="auto"/>
        <w:rPr>
          <w:sz w:val="20"/>
          <w:szCs w:val="20"/>
          <w:color w:val="auto"/>
        </w:rPr>
      </w:pPr>
      <w:r>
        <w:rPr>
          <w:rFonts w:ascii="Arial" w:cs="Arial" w:eastAsia="Arial" w:hAnsi="Arial"/>
          <w:sz w:val="18"/>
          <w:szCs w:val="18"/>
          <w:color w:val="auto"/>
        </w:rPr>
        <w:t>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w:t>
      </w:r>
    </w:p>
    <w:p>
      <w:pPr>
        <w:spacing w:after="0" w:line="1" w:lineRule="exact"/>
        <w:rPr>
          <w:sz w:val="20"/>
          <w:szCs w:val="20"/>
          <w:color w:val="auto"/>
        </w:rPr>
      </w:pPr>
    </w:p>
    <w:p>
      <w:pPr>
        <w:jc w:val="both"/>
        <w:ind w:left="968"/>
        <w:spacing w:after="0" w:line="226" w:lineRule="auto"/>
        <w:rPr>
          <w:sz w:val="20"/>
          <w:szCs w:val="20"/>
          <w:color w:val="auto"/>
        </w:rPr>
      </w:pPr>
      <w:r>
        <w:rPr>
          <w:rFonts w:ascii="Arial" w:cs="Arial" w:eastAsia="Arial" w:hAnsi="Arial"/>
          <w:sz w:val="18"/>
          <w:szCs w:val="18"/>
          <w:color w:val="auto"/>
        </w:rPr>
        <w:t>participation in the Plan, including any transfer of Data that may be required for the administration of the Plan and/or the subsequent holding of shares of stock on Participant’s behalf to a broker or other third party with whom Participant may elect</w:t>
      </w:r>
    </w:p>
    <w:p>
      <w:pPr>
        <w:spacing w:after="0" w:line="2" w:lineRule="exact"/>
        <w:rPr>
          <w:sz w:val="20"/>
          <w:szCs w:val="20"/>
          <w:color w:val="auto"/>
        </w:rPr>
      </w:pPr>
    </w:p>
    <w:p>
      <w:pPr>
        <w:jc w:val="both"/>
        <w:ind w:left="968"/>
        <w:spacing w:after="0" w:line="239" w:lineRule="auto"/>
        <w:rPr>
          <w:sz w:val="20"/>
          <w:szCs w:val="20"/>
          <w:color w:val="auto"/>
        </w:rPr>
      </w:pPr>
      <w:r>
        <w:rPr>
          <w:rFonts w:ascii="Arial" w:cs="Arial" w:eastAsia="Arial" w:hAnsi="Arial"/>
          <w:sz w:val="18"/>
          <w:szCs w:val="18"/>
          <w:color w:val="auto"/>
        </w:rPr>
        <w:t>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2(g)(iv).</w:t>
      </w:r>
    </w:p>
    <w:p>
      <w:pPr>
        <w:spacing w:after="0" w:line="207" w:lineRule="exact"/>
        <w:rPr>
          <w:sz w:val="20"/>
          <w:szCs w:val="20"/>
          <w:color w:val="auto"/>
        </w:rPr>
      </w:pPr>
    </w:p>
    <w:p>
      <w:pPr>
        <w:ind w:left="968" w:hanging="320"/>
        <w:spacing w:after="0" w:line="271" w:lineRule="auto"/>
        <w:tabs>
          <w:tab w:leader="none" w:pos="946"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If the Participant is or becomes subject to the Company’s Stock Ownership Guidelines and applicable retention requirements, the Participant may be limited in selling shares obtained upon settlement of the RSUs.</w:t>
      </w:r>
    </w:p>
    <w:p>
      <w:pPr>
        <w:spacing w:after="0" w:line="180" w:lineRule="exact"/>
        <w:rPr>
          <w:rFonts w:ascii="Arial" w:cs="Arial" w:eastAsia="Arial" w:hAnsi="Arial"/>
          <w:sz w:val="18"/>
          <w:szCs w:val="18"/>
          <w:color w:val="auto"/>
        </w:rPr>
      </w:pPr>
    </w:p>
    <w:p>
      <w:pPr>
        <w:jc w:val="both"/>
        <w:ind w:left="968" w:hanging="320"/>
        <w:spacing w:after="0" w:line="247" w:lineRule="auto"/>
        <w:tabs>
          <w:tab w:leader="none" w:pos="959"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If the Participant is covered by the Company’s Clawback Policy, the Participant agrees that the RSUs are subject to the Policy and may be subject to recovery (in whole or in part) by the Company. The Participant agrees that the Clawback Policy may be amended from time to time by the Committee, including amendments to comply with applicable laws, regulations or stock exchange listing requirements.</w:t>
      </w:r>
    </w:p>
    <w:p>
      <w:pPr>
        <w:spacing w:after="0" w:line="200" w:lineRule="exact"/>
        <w:rPr>
          <w:rFonts w:ascii="Arial" w:cs="Arial" w:eastAsia="Arial" w:hAnsi="Arial"/>
          <w:sz w:val="18"/>
          <w:szCs w:val="18"/>
          <w:color w:val="auto"/>
        </w:rPr>
      </w:pPr>
    </w:p>
    <w:p>
      <w:pPr>
        <w:ind w:left="328" w:hanging="328"/>
        <w:spacing w:after="0" w:line="256" w:lineRule="auto"/>
        <w:tabs>
          <w:tab w:leader="none" w:pos="31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Plan and this Agreement comply with the requirements of Section 409A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applicable, and the Plan and this Agreement shall be interpreted accordingly.</w:t>
      </w:r>
    </w:p>
    <w:p>
      <w:pPr>
        <w:spacing w:after="0" w:line="192" w:lineRule="exact"/>
        <w:rPr>
          <w:rFonts w:ascii="Arial" w:cs="Arial" w:eastAsia="Arial" w:hAnsi="Arial"/>
          <w:sz w:val="18"/>
          <w:szCs w:val="18"/>
          <w:color w:val="auto"/>
        </w:rPr>
      </w:pPr>
    </w:p>
    <w:p>
      <w:pPr>
        <w:jc w:val="both"/>
        <w:ind w:left="968" w:hanging="410"/>
        <w:spacing w:after="0" w:line="242"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and if the Participant is a “specified employee,” as defined in Section 409A(a)(2)(B)(i) of the Code, at the time of the Participant ’s separation from service, then, to the extent required under Section 409A, any shares that would otherwise be distributed (along with the cash value of all dividend equivalents that would be payable) upon the Participant ’s separation from service, shall instead be delivered (and, in the case of the dividend equivalents, paid) on the earlier of (x) the first business day of the seventh month following the date of the Participant ’s separation from service or (y) the Participant ’s death.</w:t>
      </w:r>
    </w:p>
    <w:p>
      <w:pPr>
        <w:spacing w:after="0" w:line="205" w:lineRule="exact"/>
        <w:rPr>
          <w:rFonts w:ascii="Arial" w:cs="Arial" w:eastAsia="Arial" w:hAnsi="Arial"/>
          <w:sz w:val="18"/>
          <w:szCs w:val="18"/>
          <w:color w:val="auto"/>
        </w:rPr>
      </w:pPr>
    </w:p>
    <w:p>
      <w:pPr>
        <w:jc w:val="both"/>
        <w:ind w:left="968" w:hanging="450"/>
        <w:spacing w:after="0" w:line="242"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it is determined that all or a portion of the Award constitutes deferred compensation for the purposes of Section 409A, upon an Change in Control that does not constitute a “change in the ownership” or a “change in the effective control” of the Company or a “change in the ownership of a substantial portion of a corporation’s assets” (as those terms are used in Section 409A), the RSUs will vest at the time of the Change in Control, but distribution of any RSUs (or related dividend equivalents) that constitute deferred compensation for the purposes of Section 409A will not be accelerated (</w:t>
      </w:r>
      <w:r>
        <w:rPr>
          <w:rFonts w:ascii="Arial" w:cs="Arial" w:eastAsia="Arial" w:hAnsi="Arial"/>
          <w:sz w:val="18"/>
          <w:szCs w:val="18"/>
          <w:i w:val="1"/>
          <w:iCs w:val="1"/>
          <w:color w:val="auto"/>
        </w:rPr>
        <w:t>i.e</w:t>
      </w:r>
      <w:r>
        <w:rPr>
          <w:rFonts w:ascii="Arial" w:cs="Arial" w:eastAsia="Arial" w:hAnsi="Arial"/>
          <w:sz w:val="18"/>
          <w:szCs w:val="18"/>
          <w:color w:val="auto"/>
        </w:rPr>
        <w:t>., distribution will occur when it would have occurred absent the Change in Control).</w:t>
      </w:r>
    </w:p>
    <w:p>
      <w:pPr>
        <w:spacing w:after="0" w:line="192" w:lineRule="exact"/>
        <w:rPr>
          <w:rFonts w:ascii="Arial" w:cs="Arial" w:eastAsia="Arial" w:hAnsi="Arial"/>
          <w:sz w:val="18"/>
          <w:szCs w:val="18"/>
          <w:color w:val="auto"/>
        </w:rPr>
      </w:pPr>
    </w:p>
    <w:p>
      <w:pPr>
        <w:jc w:val="both"/>
        <w:ind w:left="328" w:hanging="328"/>
        <w:spacing w:after="0" w:line="253" w:lineRule="auto"/>
        <w:tabs>
          <w:tab w:leader="none" w:pos="323"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is issued and the RSUs are granted in Rye Brook, New York, and will be governed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New York, excluding any conflicts or choice of law rule or principle that might otherwise refer construction or interpretation of this Agreement to the substantive law of another jurisdiction.</w:t>
      </w:r>
    </w:p>
    <w:p>
      <w:pPr>
        <w:sectPr>
          <w:pgSz w:w="11900" w:h="16838" w:orient="portrait"/>
          <w:cols w:equalWidth="0" w:num="1">
            <w:col w:w="10908"/>
          </w:cols>
          <w:pgMar w:left="652" w:top="1403" w:right="339" w:bottom="1440" w:gutter="0" w:footer="0" w:header="0"/>
        </w:sectPr>
      </w:pPr>
    </w:p>
    <w:bookmarkStart w:id="59" w:name="page60"/>
    <w:bookmarkEnd w:id="59"/>
    <w:p>
      <w:pPr>
        <w:spacing w:after="0" w:line="269"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Agreed to: </w:t>
      </w:r>
      <w:r>
        <w:rPr>
          <w:rFonts w:ascii="Arial" w:cs="Arial" w:eastAsia="Arial" w:hAnsi="Arial"/>
          <w:sz w:val="18"/>
          <w:szCs w:val="18"/>
          <w:b w:val="1"/>
          <w:bCs w:val="1"/>
          <w:color w:val="auto"/>
        </w:rPr>
        <w:t>XYLEM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 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Participant </w:t>
      </w:r>
      <w:r>
        <w:rPr>
          <w:rFonts w:ascii="Arial" w:cs="Arial" w:eastAsia="Arial" w:hAnsi="Arial"/>
          <w:sz w:val="18"/>
          <w:szCs w:val="18"/>
          <w:b w:val="1"/>
          <w:bCs w:val="1"/>
          <w:color w:val="auto"/>
        </w:rPr>
        <w:t>[Name of Xylem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(Online Acceptance Constitutes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_________________ Dated: </w:t>
      </w:r>
      <w:r>
        <w:rPr>
          <w:rFonts w:ascii="Arial" w:cs="Arial" w:eastAsia="Arial" w:hAnsi="Arial"/>
          <w:sz w:val="18"/>
          <w:szCs w:val="18"/>
          <w:b w:val="1"/>
          <w:bCs w:val="1"/>
          <w:color w:val="auto"/>
        </w:rPr>
        <w:t>###GRANT_DATE###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220"/>
          </w:cols>
          <w:pgMar w:left="320" w:top="1405"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2022;</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c>
          <w:tcPr>
            <w:tcW w:w="0" w:type="dxa"/>
            <w:vAlign w:val="bottom"/>
          </w:tcPr>
          <w:p>
            <w:pPr>
              <w:spacing w:after="0"/>
              <w:rPr>
                <w:sz w:val="1"/>
                <w:szCs w:val="1"/>
                <w:color w:val="auto"/>
              </w:rPr>
            </w:pPr>
          </w:p>
        </w:tc>
      </w:tr>
      <w:tr>
        <w:trPr>
          <w:trHeight w:val="177"/>
        </w:trPr>
        <w:tc>
          <w:tcPr>
            <w:tcW w:w="622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Patrick K. Decker</w:t>
            </w:r>
          </w:p>
        </w:tc>
        <w:tc>
          <w:tcPr>
            <w:tcW w:w="0" w:type="dxa"/>
            <w:vAlign w:val="bottom"/>
          </w:tcPr>
          <w:p>
            <w:pPr>
              <w:spacing w:after="0"/>
              <w:rPr>
                <w:sz w:val="1"/>
                <w:szCs w:val="1"/>
                <w:color w:val="auto"/>
              </w:rPr>
            </w:pPr>
          </w:p>
        </w:tc>
      </w:tr>
      <w:tr>
        <w:trPr>
          <w:trHeight w:val="239"/>
        </w:trPr>
        <w:tc>
          <w:tcPr>
            <w:tcW w:w="6220" w:type="dxa"/>
            <w:vAlign w:val="bottom"/>
            <w:vMerge w:val="restart"/>
          </w:tcPr>
          <w:p>
            <w:pPr>
              <w:spacing w:after="0"/>
              <w:rPr>
                <w:sz w:val="20"/>
                <w:szCs w:val="20"/>
                <w:color w:val="auto"/>
              </w:rPr>
            </w:pPr>
            <w:r>
              <w:rPr>
                <w:rFonts w:ascii="Arial" w:cs="Arial" w:eastAsia="Arial" w:hAnsi="Arial"/>
                <w:sz w:val="18"/>
                <w:szCs w:val="18"/>
                <w:color w:val="auto"/>
              </w:rPr>
              <w:t>Date: May 4, 2022</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22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2022;</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Rowland</w:t>
            </w:r>
          </w:p>
        </w:tc>
        <w:tc>
          <w:tcPr>
            <w:tcW w:w="0" w:type="dxa"/>
            <w:vAlign w:val="bottom"/>
          </w:tcPr>
          <w:p>
            <w:pPr>
              <w:spacing w:after="0"/>
              <w:rPr>
                <w:sz w:val="1"/>
                <w:szCs w:val="1"/>
                <w:color w:val="auto"/>
              </w:rPr>
            </w:pPr>
          </w:p>
        </w:tc>
      </w:tr>
      <w:tr>
        <w:trPr>
          <w:trHeight w:val="177"/>
        </w:trPr>
        <w:tc>
          <w:tcPr>
            <w:tcW w:w="622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Sandra E. Rowland</w:t>
            </w:r>
          </w:p>
        </w:tc>
        <w:tc>
          <w:tcPr>
            <w:tcW w:w="0" w:type="dxa"/>
            <w:vAlign w:val="bottom"/>
          </w:tcPr>
          <w:p>
            <w:pPr>
              <w:spacing w:after="0"/>
              <w:rPr>
                <w:sz w:val="1"/>
                <w:szCs w:val="1"/>
                <w:color w:val="auto"/>
              </w:rPr>
            </w:pPr>
          </w:p>
        </w:tc>
      </w:tr>
      <w:tr>
        <w:trPr>
          <w:trHeight w:val="239"/>
        </w:trPr>
        <w:tc>
          <w:tcPr>
            <w:tcW w:w="6220" w:type="dxa"/>
            <w:vAlign w:val="bottom"/>
            <w:vMerge w:val="restart"/>
          </w:tcPr>
          <w:p>
            <w:pPr>
              <w:spacing w:after="0"/>
              <w:rPr>
                <w:sz w:val="20"/>
                <w:szCs w:val="20"/>
                <w:color w:val="auto"/>
              </w:rPr>
            </w:pPr>
            <w:r>
              <w:rPr>
                <w:rFonts w:ascii="Arial" w:cs="Arial" w:eastAsia="Arial" w:hAnsi="Arial"/>
                <w:sz w:val="18"/>
                <w:szCs w:val="18"/>
                <w:color w:val="auto"/>
              </w:rPr>
              <w:t>Date: May 4, 2022</w:t>
            </w:r>
          </w:p>
        </w:tc>
        <w:tc>
          <w:tcPr>
            <w:tcW w:w="4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8"/>
        </w:trPr>
        <w:tc>
          <w:tcPr>
            <w:tcW w:w="622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2022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63"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2022</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2022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6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4, 2022</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2"/>
    </w:lvl>
  </w:abstractNum>
  <w:abstractNum w:abstractNumId="6">
    <w:nsid w:val="189A769B"/>
    <w:multiLevelType w:val="hybridMultilevel"/>
    <w:lvl w:ilvl="0">
      <w:lvlJc w:val="left"/>
      <w:lvlText w:val="%1"/>
      <w:numFmt w:val="decimal"/>
      <w:start w:val="330"/>
    </w:lvl>
  </w:abstractNum>
  <w:abstractNum w:abstractNumId="7">
    <w:nsid w:val="54E49EB4"/>
    <w:multiLevelType w:val="hybridMultilevel"/>
    <w:lvl w:ilvl="0">
      <w:lvlJc w:val="left"/>
      <w:lvlText w:val="%1"/>
      <w:numFmt w:val="decimal"/>
      <w:start w:val="233"/>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lvl w:ilvl="1">
      <w:lvlJc w:val="left"/>
      <w:lvlText w:val="%2."/>
      <w:numFmt w:val="lowerLetter"/>
      <w:start w:val="1"/>
    </w:lvl>
  </w:abstractNum>
  <w:abstractNum w:abstractNumId="23">
    <w:nsid w:val="5577F8E1"/>
    <w:multiLevelType w:val="hybridMultilevel"/>
    <w:lvl w:ilvl="0">
      <w:lvlJc w:val="left"/>
      <w:lvlText w:val="%1."/>
      <w:numFmt w:val="decimal"/>
      <w:start w:val="2"/>
    </w:lvl>
    <w:lvl w:ilvl="1">
      <w:lvlJc w:val="left"/>
      <w:lvlText w:val="%2."/>
      <w:numFmt w:val="lowerLetter"/>
      <w:start w:val="1"/>
    </w:lvl>
  </w:abstractNum>
  <w:abstractNum w:abstractNumId="24">
    <w:nsid w:val="440BADFC"/>
    <w:multiLevelType w:val="hybridMultilevel"/>
    <w:lvl w:ilvl="0">
      <w:lvlJc w:val="left"/>
      <w:lvlText w:val="%1."/>
      <w:numFmt w:val="lowerLetter"/>
      <w:start w:val="3"/>
    </w:lvl>
  </w:abstractNum>
  <w:abstractNum w:abstractNumId="25">
    <w:nsid w:val="5072367"/>
    <w:multiLevelType w:val="hybridMultilevel"/>
    <w:lvl w:ilvl="0">
      <w:lvlJc w:val="left"/>
      <w:lvlText w:val="%1."/>
      <w:numFmt w:val="lowerLetter"/>
      <w:start w:val="5"/>
    </w:lvl>
    <w:lvl w:ilvl="1">
      <w:lvlJc w:val="left"/>
      <w:lvlText w:val="%2."/>
      <w:numFmt w:val="lowerRoman"/>
      <w:start w:val="1"/>
    </w:lvl>
  </w:abstractNum>
  <w:abstractNum w:abstractNumId="26">
    <w:nsid w:val="3804823E"/>
    <w:multiLevelType w:val="hybridMultilevel"/>
    <w:lvl w:ilvl="0">
      <w:lvlJc w:val="left"/>
      <w:lvlText w:val="%1."/>
      <w:numFmt w:val="lowerLetter"/>
      <w:start w:val="6"/>
    </w:lvl>
  </w:abstractNum>
  <w:abstractNum w:abstractNumId="27">
    <w:nsid w:val="77465F01"/>
    <w:multiLevelType w:val="hybridMultilevel"/>
    <w:lvl w:ilvl="0">
      <w:lvlJc w:val="left"/>
      <w:lvlText w:val="%1."/>
      <w:numFmt w:val="lowerLetter"/>
      <w:start w:val="7"/>
    </w:lvl>
    <w:lvl w:ilvl="1">
      <w:lvlJc w:val="left"/>
      <w:lvlText w:val="%2."/>
      <w:numFmt w:val="lowerRoman"/>
      <w:start w:val="1"/>
    </w:lvl>
  </w:abstractNum>
  <w:abstractNum w:abstractNumId="28">
    <w:nsid w:val="7724C67E"/>
    <w:multiLevelType w:val="hybridMultilevel"/>
    <w:lvl w:ilvl="0">
      <w:lvlJc w:val="left"/>
      <w:lvlText w:val="%1"/>
      <w:numFmt w:val="lowerLetter"/>
      <w:start w:val="1"/>
    </w:lvl>
    <w:lvl w:ilvl="1">
      <w:lvlJc w:val="left"/>
      <w:lvlText w:val="%2."/>
      <w:numFmt w:val="lowerRoman"/>
      <w:start w:val="4"/>
    </w:lvl>
  </w:abstractNum>
  <w:abstractNum w:abstractNumId="29">
    <w:nsid w:val="5C482A97"/>
    <w:multiLevelType w:val="hybridMultilevel"/>
    <w:lvl w:ilvl="0">
      <w:lvlJc w:val="left"/>
      <w:lvlText w:val="%1."/>
      <w:numFmt w:val="lowerLetter"/>
      <w:start w:val="8"/>
    </w:lvl>
    <w:lvl w:ilvl="1">
      <w:lvlJc w:val="left"/>
      <w:lvlText w:val="%2."/>
      <w:numFmt w:val="lowerRoman"/>
      <w:start w:val="1"/>
    </w:lvl>
  </w:abstractNum>
  <w:abstractNum w:abstractNumId="30">
    <w:nsid w:val="2463B9EA"/>
    <w:multiLevelType w:val="hybridMultilevel"/>
    <w:lvl w:ilvl="0">
      <w:lvlJc w:val="left"/>
      <w:lvlText w:val="%1."/>
      <w:numFmt w:val="lowerRoman"/>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3"/>
    </w:lvl>
    <w:lvl w:ilvl="1">
      <w:lvlJc w:val="left"/>
      <w:lvlText w:val="•"/>
      <w:numFmt w:val="bullet"/>
      <w:start w:val="1"/>
    </w:lvl>
  </w:abstractNum>
  <w:abstractNum w:abstractNumId="36">
    <w:nsid w:val="3855585C"/>
    <w:multiLevelType w:val="hybridMultilevel"/>
    <w:lvl w:ilvl="0">
      <w:lvlJc w:val="left"/>
      <w:lvlText w:val="%1."/>
      <w:numFmt w:val="lowerLetter"/>
      <w:start w:val="4"/>
    </w:lvl>
  </w:abstractNum>
  <w:abstractNum w:abstractNumId="37">
    <w:nsid w:val="70A64E2A"/>
    <w:multiLevelType w:val="hybridMultilevel"/>
    <w:lvl w:ilvl="0">
      <w:lvlJc w:val="left"/>
      <w:lvlText w:val="%1."/>
      <w:numFmt w:val="lowerLetter"/>
      <w:start w:val="5"/>
    </w:lvl>
    <w:lvl w:ilvl="1">
      <w:lvlJc w:val="left"/>
      <w:lvlText w:val="%2."/>
      <w:numFmt w:val="lowerRoman"/>
      <w:start w:val="1"/>
    </w:lvl>
  </w:abstractNum>
  <w:abstractNum w:abstractNumId="38">
    <w:nsid w:val="6A2342EC"/>
    <w:multiLevelType w:val="hybridMultilevel"/>
    <w:lvl w:ilvl="0">
      <w:lvlJc w:val="left"/>
      <w:lvlText w:val="%1."/>
      <w:numFmt w:val="lowerLetter"/>
      <w:start w:val="6"/>
    </w:lvl>
    <w:lvl w:ilvl="1">
      <w:lvlJc w:val="left"/>
      <w:lvlText w:val="%2."/>
      <w:numFmt w:val="lowerLetter"/>
      <w:start w:val="9"/>
    </w:lvl>
  </w:abstractNum>
  <w:abstractNum w:abstractNumId="39">
    <w:nsid w:val="2A487CB0"/>
    <w:multiLevelType w:val="hybridMultilevel"/>
    <w:lvl w:ilvl="0">
      <w:lvlJc w:val="left"/>
      <w:lvlText w:val="%1."/>
      <w:numFmt w:val="lowerRoman"/>
      <w:start w:val="2"/>
    </w:lvl>
  </w:abstractNum>
  <w:abstractNum w:abstractNumId="40">
    <w:nsid w:val="1D4ED43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41">
    <w:nsid w:val="725A06FB"/>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4" Type="http://schemas.openxmlformats.org/officeDocument/2006/relationships/hyperlink" Target="http://www.sec.gov/Archives/edgar/data/1524472/000152447217000027/a8-k31xcharter.htm" TargetMode="External"/><Relationship Id="rId65"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2022-05-04T10:42:11Z</dcterms:created>
  <dcterms:modified xsi:type="dcterms:W3CDTF">2022-05-04T10:42:11Z</dcterms:modified>
</cp:coreProperties>
</file>