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14"/>
        <w:gridCol w:w="1522"/>
        <w:gridCol w:w="3050"/>
        <w:gridCol w:w="2519"/>
      </w:tblGrid>
      <w:tr>
        <w:trPr/>
        <w:tc>
          <w:tcPr>
            <w:tcW w:w="3114"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pPr>
                  <w:hyperlink r:id="rId2">
                    <w:r>
                      <w:rPr>
                        <w:rStyle w:val="InternetLink"/>
                      </w:rPr>
                      <w:t>van der Berg Andrea Michele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94"/>
            </w:tblGrid>
            <w:tr>
              <w:trPr/>
              <w:tc>
                <w:tcPr>
                  <w:tcW w:w="29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XYLEM INC.</w:t>
                  </w:r>
                </w:p>
              </w:tc>
            </w:tr>
            <w:tr>
              <w:trPr/>
              <w:tc>
                <w:tcPr>
                  <w:tcW w:w="299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WATER STREET SE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98"/>
              <w:gridCol w:w="998"/>
              <w:gridCol w:w="998"/>
            </w:tblGrid>
            <w:tr>
              <w:trPr/>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09/01/2026</w:t>
            </w:r>
          </w:p>
        </w:tc>
        <w:tc>
          <w:tcPr>
            <w:tcW w:w="5569"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Xylem Inc.</w:t>
              </w:r>
            </w:hyperlink>
            <w:r>
              <w:rPr/>
              <w:t xml:space="preserve"> [ </w:t>
            </w:r>
            <w:r>
              <w:rPr>
                <w:rFonts w:ascii="Times;serif" w:hAnsi="Times;serif"/>
                <w:color w:val="0000FF"/>
                <w:sz w:val="24"/>
                <w:shd w:fill="FFFFFF" w:val="clear"/>
              </w:rPr>
              <w:t>XYL</w:t>
            </w:r>
            <w:r>
              <w:rPr/>
              <w:t xml:space="preserve"> ] </w:t>
              <w:br/>
            </w:r>
            <w:r>
              <w:rPr>
                <w:rFonts w:ascii="arial;helvetica;sans-serif" w:hAnsi="arial;helvetica;sans-serif"/>
                <w:sz w:val="20"/>
              </w:rPr>
              <w:t>Foreign Trading Symbol</w:t>
            </w:r>
          </w:p>
        </w:tc>
      </w:tr>
      <w:tr>
        <w:trPr/>
        <w:tc>
          <w:tcPr>
            <w:tcW w:w="311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50"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9"/>
              <w:gridCol w:w="1026"/>
              <w:gridCol w:w="439"/>
              <w:gridCol w:w="1026"/>
            </w:tblGrid>
            <w:tr>
              <w:trPr/>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30"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Financial Officer</w:t>
                  </w:r>
                </w:p>
              </w:tc>
            </w:tr>
          </w:tbl>
          <w:p>
            <w:pPr>
              <w:pStyle w:val="TableContents"/>
              <w:bidi w:val="0"/>
              <w:spacing w:before="0" w:after="283"/>
              <w:jc w:val="left"/>
              <w:rPr>
                <w:sz w:val="4"/>
                <w:szCs w:val="4"/>
              </w:rPr>
            </w:pPr>
            <w:r>
              <w:rPr>
                <w:sz w:val="4"/>
                <w:szCs w:val="4"/>
              </w:rPr>
            </w:r>
          </w:p>
        </w:tc>
        <w:tc>
          <w:tcPr>
            <w:tcW w:w="2519"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14"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5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19"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9"/>
              <w:gridCol w:w="2040"/>
            </w:tblGrid>
            <w:tr>
              <w:trPr/>
              <w:tc>
                <w:tcPr>
                  <w:tcW w:w="35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7,913</w:t>
            </w:r>
            <w:r>
              <w:rPr>
                <w:rFonts w:ascii="Times;serif" w:hAnsi="Times;serif"/>
                <w:color w:val="008000"/>
                <w:position w:val="7"/>
                <w:sz w:val="16"/>
                <w:sz w:val="20"/>
                <w:shd w:fill="FFFFFF" w:val="clear"/>
              </w:rPr>
              <w:t>(1)</w:t>
            </w:r>
          </w:p>
        </w:tc>
        <w:tc>
          <w:tcPr>
            <w:tcW w:w="11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1,085</w:t>
            </w:r>
            <w:r>
              <w:rPr>
                <w:rFonts w:ascii="Times;serif" w:hAnsi="Times;serif"/>
                <w:color w:val="008000"/>
                <w:position w:val="7"/>
                <w:sz w:val="16"/>
                <w:sz w:val="20"/>
                <w:shd w:fill="FFFFFF" w:val="clear"/>
              </w:rPr>
              <w:t>(2)</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03/02/2036</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1,688</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128.98</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03/05/2035</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1,184</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129.67</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03/01/2034</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1,157</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127.94</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03/01/2033</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1,290</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101.09</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03/01/2032</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2,014</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86.76</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03/01/2031</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1,616</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102.23</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Options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(9)</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02/27/2030</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2,979</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63.55</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restricted stock units which are scheduled to vest as follows: 272 on March 1, 2027, 112 on March 5, 2027, 499 on March 1, 2028, 113 on March 5, 2028, 158 on March 1, 2029, 3,379 on June 1, 2029, and 3,380 on June 1, 2031. Each restricted stock unit represents the right to receive one share of common stock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common stock incident to previous vestings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are scheduled to vest in one-third increments on March 1, 2027, March 1, 2028, and March 1,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394 options are fully vested and exercisable, 395 are scheduled to vest on March 5, 2027, and 395 are scheduled to vest on March 5,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771 options are fully vested and exercisable, 387 are scheduled to vest on March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1,290 options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2,014 options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1,616 options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2,979 options are fully vested and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Mike Nazario, by power of attorney for Andrea M. van der Berg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0644" TargetMode="External"/><Relationship Id="rId3" Type="http://schemas.openxmlformats.org/officeDocument/2006/relationships/hyperlink" Target="http://www.sec.gov/cgi-bin/browse-edgar?action=getcompany&amp;CIK=000152447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3440</Characters>
  <CharactersWithSpaces>3997</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