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5" w:lineRule="exact"/>
        <w:rPr>
          <w:sz w:val="24"/>
          <w:szCs w:val="24"/>
          <w:color w:val="auto"/>
        </w:rPr>
      </w:pPr>
    </w:p>
    <w:p>
      <w:pPr>
        <w:ind w:left="3460" w:right="800" w:hanging="3434"/>
        <w:spacing w:after="0" w:line="461" w:lineRule="auto"/>
        <w:tabs>
          <w:tab w:leader="none" w:pos="12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029" w:right="339" w:bottom="1440" w:gutter="0" w:footer="0" w:header="0"/>
        </w:sectPr>
      </w:pPr>
    </w:p>
    <w:p>
      <w:pPr>
        <w:spacing w:after="0" w:line="196"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8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1-35229</w:t>
      </w:r>
    </w:p>
    <w:p>
      <w:pPr>
        <w:sectPr>
          <w:pgSz w:w="11900" w:h="16838" w:orient="portrait"/>
          <w:cols w:equalWidth="0" w:num="1">
            <w:col w:w="11240"/>
          </w:cols>
          <w:pgMar w:left="320" w:top="1029" w:right="339" w:bottom="1440" w:gutter="0" w:footer="0" w:header="0"/>
          <w:type w:val="continuous"/>
        </w:sectPr>
      </w:pP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029" w:right="339" w:bottom="1440" w:gutter="0" w:footer="0" w:header="0"/>
          <w:type w:val="continuous"/>
        </w:sectPr>
      </w:pPr>
    </w:p>
    <w:p>
      <w:pPr>
        <w:spacing w:after="0" w:line="246"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32" w:lineRule="exact"/>
        <w:rPr>
          <w:sz w:val="24"/>
          <w:szCs w:val="24"/>
          <w:color w:val="auto"/>
        </w:rPr>
      </w:pPr>
    </w:p>
    <w:p>
      <w:pPr>
        <w:sectPr>
          <w:pgSz w:w="11900" w:h="16838" w:orient="portrait"/>
          <w:cols w:equalWidth="0" w:num="2">
            <w:col w:w="7360" w:space="720"/>
            <w:col w:w="3160"/>
          </w:cols>
          <w:pgMar w:left="320" w:top="1029"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341" w:lineRule="exact"/>
        <w:rPr>
          <w:sz w:val="24"/>
          <w:szCs w:val="24"/>
          <w:color w:val="auto"/>
        </w:rPr>
      </w:pPr>
    </w:p>
    <w:p>
      <w:pPr>
        <w:sectPr>
          <w:pgSz w:w="11900" w:h="16838" w:orient="portrait"/>
          <w:cols w:equalWidth="0" w:num="2">
            <w:col w:w="6740" w:space="720"/>
            <w:col w:w="3780"/>
          </w:cols>
          <w:pgMar w:left="320" w:top="1029" w:right="33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Water Street SE, Washington, DC 20003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869-9150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12"/>
        </w:trPr>
        <w:tc>
          <w:tcPr>
            <w:tcW w:w="1320" w:type="dxa"/>
            <w:vAlign w:val="bottom"/>
          </w:tcPr>
          <w:p>
            <w:pPr>
              <w:spacing w:after="0"/>
              <w:rPr>
                <w:sz w:val="18"/>
                <w:szCs w:val="18"/>
                <w:color w:val="auto"/>
              </w:rPr>
            </w:pPr>
          </w:p>
        </w:tc>
        <w:tc>
          <w:tcPr>
            <w:tcW w:w="33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Title of each class</w:t>
            </w:r>
          </w:p>
        </w:tc>
        <w:tc>
          <w:tcPr>
            <w:tcW w:w="25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8"/>
              </w:rPr>
              <w:t>Trading Symbol(s)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54"/>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2"/>
                <w:szCs w:val="22"/>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234" w:lineRule="exact"/>
        <w:rPr>
          <w:sz w:val="24"/>
          <w:szCs w:val="24"/>
          <w:color w:val="auto"/>
        </w:rPr>
      </w:pPr>
    </w:p>
    <w:p>
      <w:pPr>
        <w:ind w:right="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6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47"/>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13"/>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39"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76" w:lineRule="exact"/>
        <w:rPr>
          <w:sz w:val="20"/>
          <w:szCs w:val="20"/>
          <w:color w:val="auto"/>
        </w:rPr>
      </w:pPr>
    </w:p>
    <w:p>
      <w:pPr>
        <w:ind w:right="540"/>
        <w:spacing w:after="0" w:line="29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25, 2024, there were 242,944,703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40"/>
          </w:cols>
          <w:pgMar w:left="320" w:top="60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320" w:type="dxa"/>
            <w:vAlign w:val="bottom"/>
            <w:gridSpan w:val="11"/>
          </w:tcPr>
          <w:p>
            <w:pPr>
              <w:jc w:val="center"/>
              <w:ind w:right="2920"/>
              <w:spacing w:after="0"/>
              <w:rPr>
                <w:sz w:val="20"/>
                <w:szCs w:val="20"/>
                <w:color w:val="auto"/>
              </w:rPr>
            </w:pPr>
            <w:r>
              <w:rPr>
                <w:rFonts w:ascii="Arial" w:cs="Arial" w:eastAsia="Arial" w:hAnsi="Arial"/>
                <w:sz w:val="18"/>
                <w:szCs w:val="18"/>
                <w:b w:val="1"/>
                <w:bCs w:val="1"/>
                <w:color w:val="auto"/>
                <w:w w:val="98"/>
              </w:rPr>
              <w:t>Xylem Inc.</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20" w:type="dxa"/>
            <w:vAlign w:val="bottom"/>
            <w:gridSpan w:val="11"/>
          </w:tcPr>
          <w:p>
            <w:pPr>
              <w:jc w:val="center"/>
              <w:ind w:right="290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20" w:type="dxa"/>
            <w:vAlign w:val="bottom"/>
            <w:gridSpan w:val="14"/>
          </w:tcPr>
          <w:p>
            <w:pPr>
              <w:jc w:val="center"/>
              <w:ind w:right="3720"/>
              <w:spacing w:after="0"/>
              <w:rPr>
                <w:sz w:val="20"/>
                <w:szCs w:val="20"/>
                <w:color w:val="auto"/>
              </w:rPr>
            </w:pPr>
            <w:r>
              <w:rPr>
                <w:rFonts w:ascii="Arial" w:cs="Arial" w:eastAsia="Arial" w:hAnsi="Arial"/>
                <w:sz w:val="18"/>
                <w:szCs w:val="18"/>
                <w:b w:val="1"/>
                <w:bCs w:val="1"/>
                <w:color w:val="auto"/>
                <w:w w:val="99"/>
              </w:rPr>
              <w:t>PART I – Financial Information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99"/>
              </w:rPr>
              <w:t>Financial Statements:</w:t>
            </w:r>
          </w:p>
        </w:tc>
        <w:tc>
          <w:tcPr>
            <w:tcW w:w="6080" w:type="dxa"/>
            <w:vAlign w:val="bottom"/>
            <w:gridSpan w:val="13"/>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20" w:type="dxa"/>
            <w:vAlign w:val="bottom"/>
            <w:gridSpan w:val="20"/>
          </w:tcPr>
          <w:p>
            <w:pPr>
              <w:spacing w:after="0"/>
              <w:rPr>
                <w:sz w:val="20"/>
                <w:szCs w:val="20"/>
                <w:color w:val="auto"/>
              </w:rPr>
            </w:pPr>
            <w:r>
              <w:rPr>
                <w:rFonts w:ascii="Arial" w:cs="Arial" w:eastAsia="Arial" w:hAnsi="Arial"/>
                <w:sz w:val="18"/>
                <w:szCs w:val="18"/>
                <w:color w:val="0000FF"/>
              </w:rPr>
              <w:t>Condensed Consolidated Income Statements for the Three Months and Nine Months Ended</w:t>
            </w:r>
          </w:p>
        </w:tc>
        <w:tc>
          <w:tcPr>
            <w:tcW w:w="1380" w:type="dxa"/>
            <w:vAlign w:val="bottom"/>
            <w:gridSpan w:val="2"/>
            <w:vMerge w:val="restart"/>
          </w:tcPr>
          <w:p>
            <w:pPr>
              <w:spacing w:after="0"/>
              <w:rPr>
                <w:sz w:val="18"/>
                <w:szCs w:val="18"/>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4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September 30, 2024 and 2023 (Unaudited)</w:t>
            </w:r>
          </w:p>
        </w:tc>
        <w:tc>
          <w:tcPr>
            <w:tcW w:w="390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20" w:type="dxa"/>
            <w:vAlign w:val="bottom"/>
            <w:gridSpan w:val="20"/>
          </w:tcPr>
          <w:p>
            <w:pPr>
              <w:spacing w:after="0" w:line="203" w:lineRule="exact"/>
              <w:rPr>
                <w:sz w:val="20"/>
                <w:szCs w:val="20"/>
                <w:color w:val="auto"/>
              </w:rPr>
            </w:pPr>
            <w:r>
              <w:rPr>
                <w:rFonts w:ascii="Arial" w:cs="Arial" w:eastAsia="Arial" w:hAnsi="Arial"/>
                <w:sz w:val="18"/>
                <w:szCs w:val="18"/>
                <w:color w:val="0000FF"/>
              </w:rPr>
              <w:t>Condensed Consolidated Statements of Comprehensive Income for the Three Months and</w:t>
            </w:r>
          </w:p>
        </w:tc>
        <w:tc>
          <w:tcPr>
            <w:tcW w:w="138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Nine Months Ended September 30, 2024 and 2023 (Unaudited)</w:t>
            </w:r>
          </w:p>
        </w:tc>
        <w:tc>
          <w:tcPr>
            <w:tcW w:w="7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20" w:type="dxa"/>
            <w:vAlign w:val="bottom"/>
            <w:gridSpan w:val="20"/>
            <w:vMerge w:val="restart"/>
          </w:tcPr>
          <w:p>
            <w:pPr>
              <w:spacing w:after="0"/>
              <w:rPr>
                <w:sz w:val="20"/>
                <w:szCs w:val="20"/>
                <w:color w:val="auto"/>
              </w:rPr>
            </w:pPr>
            <w:r>
              <w:rPr>
                <w:rFonts w:ascii="Arial" w:cs="Arial" w:eastAsia="Arial" w:hAnsi="Arial"/>
                <w:sz w:val="18"/>
                <w:szCs w:val="18"/>
                <w:color w:val="0000FF"/>
              </w:rPr>
              <w:t>Condensed Consolidated Balance Sheets as of September 30, 2024 and December 31, 2023</w:t>
            </w: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20" w:type="dxa"/>
            <w:vAlign w:val="bottom"/>
            <w:gridSpan w:val="20"/>
            <w:vMerge w:val="continue"/>
          </w:tcPr>
          <w:p>
            <w:pPr>
              <w:spacing w:after="0"/>
              <w:rPr>
                <w:sz w:val="17"/>
                <w:szCs w:val="17"/>
                <w:color w:val="auto"/>
              </w:rPr>
            </w:pPr>
          </w:p>
        </w:tc>
        <w:tc>
          <w:tcPr>
            <w:tcW w:w="138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4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(Unaudited)</w:t>
            </w:r>
          </w:p>
        </w:tc>
        <w:tc>
          <w:tcPr>
            <w:tcW w:w="3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20" w:type="dxa"/>
            <w:vAlign w:val="bottom"/>
            <w:gridSpan w:val="20"/>
          </w:tcPr>
          <w:p>
            <w:pPr>
              <w:spacing w:after="0" w:line="203" w:lineRule="exact"/>
              <w:rPr>
                <w:sz w:val="20"/>
                <w:szCs w:val="20"/>
                <w:color w:val="auto"/>
              </w:rPr>
            </w:pPr>
            <w:r>
              <w:rPr>
                <w:rFonts w:ascii="Arial" w:cs="Arial" w:eastAsia="Arial" w:hAnsi="Arial"/>
                <w:sz w:val="18"/>
                <w:szCs w:val="18"/>
                <w:color w:val="0000FF"/>
              </w:rPr>
              <w:t>Condensed Consolidated Statements of Cash Flows for the Nine Months Ended September</w:t>
            </w:r>
          </w:p>
        </w:tc>
        <w:tc>
          <w:tcPr>
            <w:tcW w:w="138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0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30, 2024 and 2023 (Unaudited)</w:t>
            </w:r>
          </w:p>
        </w:tc>
        <w:tc>
          <w:tcPr>
            <w:tcW w:w="222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gridSpan w:val="2"/>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520" w:type="dxa"/>
            <w:vAlign w:val="bottom"/>
            <w:gridSpan w:val="3"/>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2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gridSpan w:val="5"/>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gridSpan w:val="14"/>
          </w:tcPr>
          <w:p>
            <w:pPr>
              <w:spacing w:after="0"/>
              <w:rPr>
                <w:sz w:val="20"/>
                <w:szCs w:val="20"/>
                <w:color w:val="auto"/>
              </w:rPr>
            </w:pPr>
            <w:r>
              <w:rPr>
                <w:rFonts w:ascii="Arial" w:cs="Arial" w:eastAsia="Arial" w:hAnsi="Arial"/>
                <w:sz w:val="18"/>
                <w:szCs w:val="18"/>
                <w:color w:val="0000FF"/>
                <w:w w:val="99"/>
              </w:rPr>
              <w:t>Notes to the Condensed Consolidated Financial Statements (Unaudited)</w:t>
            </w:r>
          </w:p>
        </w:tc>
        <w:tc>
          <w:tcPr>
            <w:tcW w:w="2040" w:type="dxa"/>
            <w:vAlign w:val="bottom"/>
            <w:gridSpan w:val="6"/>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600" w:type="dxa"/>
            <w:vAlign w:val="bottom"/>
            <w:gridSpan w:val="21"/>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Management’s Discussion and Analysis of Financial Condition and Results of Operations</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600" w:type="dxa"/>
            <w:vAlign w:val="bottom"/>
            <w:gridSpan w:val="21"/>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Quantitative and Qualitative Disclosures About Market Risk</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0000FF"/>
              </w:rPr>
              <w:t>58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3"/>
          </w:tcPr>
          <w:p>
            <w:pPr>
              <w:spacing w:after="0"/>
              <w:rPr>
                <w:sz w:val="18"/>
                <w:szCs w:val="18"/>
                <w:color w:val="auto"/>
              </w:rPr>
            </w:pPr>
          </w:p>
        </w:tc>
        <w:tc>
          <w:tcPr>
            <w:tcW w:w="3100" w:type="dxa"/>
            <w:vAlign w:val="bottom"/>
            <w:gridSpan w:val="9"/>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320" w:type="dxa"/>
            <w:vAlign w:val="bottom"/>
            <w:gridSpan w:val="14"/>
          </w:tcPr>
          <w:p>
            <w:pPr>
              <w:jc w:val="center"/>
              <w:ind w:right="3700"/>
              <w:spacing w:after="0"/>
              <w:rPr>
                <w:sz w:val="20"/>
                <w:szCs w:val="20"/>
                <w:color w:val="auto"/>
              </w:rPr>
            </w:pPr>
            <w:r>
              <w:rPr>
                <w:rFonts w:ascii="Arial" w:cs="Arial" w:eastAsia="Arial" w:hAnsi="Arial"/>
                <w:sz w:val="18"/>
                <w:szCs w:val="18"/>
                <w:b w:val="1"/>
                <w:bCs w:val="1"/>
                <w:color w:val="auto"/>
                <w:w w:val="99"/>
              </w:rPr>
              <w:t>PART II – Other Information</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500" w:type="dxa"/>
            <w:vAlign w:val="bottom"/>
            <w:gridSpan w:val="6"/>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6320" w:type="dxa"/>
            <w:vAlign w:val="bottom"/>
            <w:gridSpan w:val="14"/>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60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320" w:type="dxa"/>
            <w:vAlign w:val="bottom"/>
            <w:gridSpan w:val="14"/>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600" w:type="dxa"/>
            <w:vAlign w:val="bottom"/>
            <w:gridSpan w:val="21"/>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Unregistered Sales of Equity Securities and Use of Proceeds</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0000FF"/>
              </w:rPr>
              <w:t>60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tcBorders>
            <w:gridSpan w:val="3"/>
            <w:shd w:val="clear" w:color="auto" w:fill="0000FF"/>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600" w:type="dxa"/>
            <w:vAlign w:val="bottom"/>
            <w:gridSpan w:val="21"/>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Defaults Upon Senior Securities</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0000FF"/>
              </w:rPr>
              <w:t>60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w w:val="98"/>
              </w:rPr>
              <w:t>Mine Safety Disclosures</w:t>
            </w:r>
          </w:p>
        </w:tc>
        <w:tc>
          <w:tcPr>
            <w:tcW w:w="560" w:type="dxa"/>
            <w:vAlign w:val="bottom"/>
          </w:tcPr>
          <w:p>
            <w:pPr>
              <w:spacing w:after="0"/>
              <w:rPr>
                <w:sz w:val="18"/>
                <w:szCs w:val="18"/>
                <w:color w:val="auto"/>
              </w:rPr>
            </w:pPr>
          </w:p>
        </w:tc>
        <w:tc>
          <w:tcPr>
            <w:tcW w:w="5320" w:type="dxa"/>
            <w:vAlign w:val="bottom"/>
            <w:gridSpan w:val="11"/>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5880" w:type="dxa"/>
            <w:vAlign w:val="bottom"/>
            <w:gridSpan w:val="12"/>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2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6420" w:type="dxa"/>
            <w:vAlign w:val="bottom"/>
            <w:gridSpan w:val="15"/>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60" w:type="dxa"/>
            <w:vAlign w:val="bottom"/>
            <w:gridSpan w:val="1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2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0000FF"/>
              </w:rPr>
              <w:t>63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INCOME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3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periods ended September 30,</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products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from services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Cost of revenue from products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from services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(Loss) on sale of businesses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before taxes</w:t>
            </w: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1"/>
        </w:trPr>
        <w:tc>
          <w:tcPr>
            <w:tcW w:w="490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217</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564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0.89</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242.9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Three Months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periods ended September 30,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Amount of (gain) loss reclassified into net income</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Amortization of prior service credit</w:t>
            </w:r>
          </w:p>
        </w:tc>
        <w:tc>
          <w:tcPr>
            <w:tcW w:w="1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actuarial (gain) loss into net income</w:t>
            </w:r>
          </w:p>
        </w:tc>
        <w:tc>
          <w:tcPr>
            <w:tcW w:w="1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1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4"/>
        </w:trPr>
        <w:tc>
          <w:tcPr>
            <w:tcW w:w="4740" w:type="dxa"/>
            <w:vAlign w:val="bottom"/>
          </w:tcPr>
          <w:p>
            <w:pPr>
              <w:ind w:left="20"/>
              <w:spacing w:after="0" w:line="183" w:lineRule="exact"/>
              <w:rPr>
                <w:sz w:val="20"/>
                <w:szCs w:val="20"/>
                <w:color w:val="auto"/>
              </w:rPr>
            </w:pPr>
            <w:r>
              <w:rPr>
                <w:rFonts w:ascii="Arial" w:cs="Arial" w:eastAsia="Arial" w:hAnsi="Arial"/>
                <w:sz w:val="18"/>
                <w:szCs w:val="18"/>
                <w:color w:val="auto"/>
              </w:rPr>
              <w:t>Income tax (benefit) expense related to items of other</w:t>
            </w:r>
          </w:p>
        </w:tc>
        <w:tc>
          <w:tcPr>
            <w:tcW w:w="1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(loss)</w:t>
            </w: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w:t>
            </w:r>
          </w:p>
        </w:tc>
        <w:tc>
          <w:tcPr>
            <w:tcW w:w="180" w:type="dxa"/>
            <w:vAlign w:val="bottom"/>
          </w:tcPr>
          <w:p>
            <w:pPr>
              <w:spacing w:after="0"/>
              <w:rPr>
                <w:sz w:val="19"/>
                <w:szCs w:val="19"/>
                <w:color w:val="auto"/>
              </w:rPr>
            </w:pP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7"/>
                <w:szCs w:val="17"/>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4"/>
        </w:trPr>
        <w:tc>
          <w:tcPr>
            <w:tcW w:w="7640" w:type="dxa"/>
            <w:vAlign w:val="bottom"/>
          </w:tcPr>
          <w:p>
            <w:pPr>
              <w:ind w:left="360"/>
              <w:spacing w:after="0"/>
              <w:rPr>
                <w:sz w:val="20"/>
                <w:szCs w:val="20"/>
                <w:color w:val="auto"/>
              </w:rPr>
            </w:pPr>
            <w:r>
              <w:rPr>
                <w:rFonts w:ascii="Arial" w:cs="Arial" w:eastAsia="Arial" w:hAnsi="Arial"/>
                <w:sz w:val="18"/>
                <w:szCs w:val="18"/>
                <w:color w:val="auto"/>
              </w:rPr>
              <w:t>Receivables, less allowances for discounts, returns and credit losses of $60 and $56 in</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640" w:type="dxa"/>
            <w:vAlign w:val="bottom"/>
          </w:tcPr>
          <w:p>
            <w:pPr>
              <w:ind w:left="360"/>
              <w:spacing w:after="0"/>
              <w:rPr>
                <w:sz w:val="20"/>
                <w:szCs w:val="20"/>
                <w:color w:val="auto"/>
              </w:rPr>
            </w:pPr>
            <w:r>
              <w:rPr>
                <w:rFonts w:ascii="Arial" w:cs="Arial" w:eastAsia="Arial" w:hAnsi="Arial"/>
                <w:sz w:val="18"/>
                <w:szCs w:val="18"/>
                <w:color w:val="auto"/>
              </w:rPr>
              <w:t>2024 and 2023, respectively</w:t>
            </w: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1,707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2,326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16,112</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maturities of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Accrued post-retirement benefits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accrued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10"/>
        </w:trPr>
        <w:tc>
          <w:tcPr>
            <w:tcW w:w="7640" w:type="dxa"/>
            <w:vAlign w:val="bottom"/>
          </w:tcPr>
          <w:p>
            <w:pPr>
              <w:ind w:left="140"/>
              <w:spacing w:after="0"/>
              <w:rPr>
                <w:sz w:val="20"/>
                <w:szCs w:val="20"/>
                <w:color w:val="auto"/>
              </w:rPr>
            </w:pPr>
            <w:r>
              <w:rPr>
                <w:rFonts w:ascii="Arial" w:cs="Arial" w:eastAsia="Arial" w:hAnsi="Arial"/>
                <w:sz w:val="18"/>
                <w:szCs w:val="18"/>
                <w:color w:val="auto"/>
              </w:rPr>
              <w:t>Commitments and contingencies (Note 18)</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Common stock – par value $0.01 per share:</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Authorized 750.0 shares, issued 259.2 shares and 257.6 shares in 2024 and 2023,</w:t>
            </w:r>
          </w:p>
        </w:tc>
        <w:tc>
          <w:tcPr>
            <w:tcW w:w="2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Capital in excess of par value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8,673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Treasury stock – at cost 16.2 shares and 16.0 shares in 2024 and 2023, respectively</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(753)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nine months ended September 30,</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564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and asset impairment charges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Loss from sale of business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Payments for restructuring</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assets and liabilities (net of acquisitions):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Changes in receivables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inventories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Changes in accounts payable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accrued and deferred taxes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Acquisitions of businesses, net of cash acquired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businesses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from investments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Cash paid for investments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equity investments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Cash received from interest rate swaps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from cross-currency swaps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debt issued, net</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640" w:type="dxa"/>
            <w:vAlign w:val="bottom"/>
          </w:tcPr>
          <w:p>
            <w:pPr>
              <w:ind w:left="160"/>
              <w:spacing w:after="0"/>
              <w:rPr>
                <w:sz w:val="20"/>
                <w:szCs w:val="20"/>
                <w:color w:val="auto"/>
              </w:rPr>
            </w:pPr>
            <w:r>
              <w:rPr>
                <w:rFonts w:ascii="Arial" w:cs="Arial" w:eastAsia="Arial" w:hAnsi="Arial"/>
                <w:sz w:val="16"/>
                <w:szCs w:val="16"/>
                <w:color w:val="auto"/>
              </w:rPr>
              <w:t>Short-term debt repaid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issued, net</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6"/>
        </w:trPr>
        <w:tc>
          <w:tcPr>
            <w:tcW w:w="7640" w:type="dxa"/>
            <w:vAlign w:val="bottom"/>
          </w:tcPr>
          <w:p>
            <w:pPr>
              <w:ind w:left="160"/>
              <w:spacing w:after="0"/>
              <w:rPr>
                <w:sz w:val="20"/>
                <w:szCs w:val="20"/>
                <w:color w:val="auto"/>
              </w:rPr>
            </w:pPr>
            <w:r>
              <w:rPr>
                <w:rFonts w:ascii="Arial" w:cs="Arial" w:eastAsia="Arial" w:hAnsi="Arial"/>
                <w:sz w:val="16"/>
                <w:szCs w:val="16"/>
                <w:color w:val="auto"/>
              </w:rPr>
              <w:t>Long-term debt repaid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Proceeds from exercise of employee stock options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changes on cash</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during the period for:</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560"/>
              <w:spacing w:after="0"/>
              <w:rPr>
                <w:sz w:val="20"/>
                <w:szCs w:val="20"/>
                <w:color w:val="auto"/>
              </w:rPr>
            </w:pPr>
            <w:r>
              <w:rPr>
                <w:rFonts w:ascii="Arial" w:cs="Arial" w:eastAsia="Arial" w:hAnsi="Arial"/>
                <w:sz w:val="16"/>
                <w:szCs w:val="16"/>
                <w:color w:val="auto"/>
              </w:rPr>
              <w:t>Interest</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Income taxes (net of refunds received)</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63"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Xylem operates in four segments, Water Infrastructure, Applied Water, Measurement and Control Solutions and Water Solutions and Services. See Note 19, "Segment Information," to the condensed consolidated financial statements for further segment background information.</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Evoqua</w:t>
      </w:r>
    </w:p>
    <w:p>
      <w:pPr>
        <w:spacing w:after="0" w:line="1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On May 24, 2023, Xylem completed the acquisition of Evoqua Water Technologies Corp. (“Evoqua”). Refer to Note 3, "Acquisitions and Divestitures,"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2023 ("2023 Annual Report") in preparing these unaudited condensed consolidated financial statements. These condensed consolidated financial statements should be read in conjunction with the audited consolidated financial statements and the notes included in our 2023 Annual Report. Certain prior year amounts have been reclassified to conform to the current year presentation.</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valuation results associated with purchase accounting, post-retirement obligations and assets, revenue recognition, income taxes, valuation of intangible assets, goodwill and indefinite-lived intangible impairment testing and contingent liabilities. Actual results could differ from these estimates.</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announced a change to its reportable segments effective January 1, 2024, and as a result, is now reporting the financial position and results of operations of its former Integrated Solutions and Services segment together with the dewatering business, previously within our Water Infrastructure segment, and the assessment services business, previously within our Measurement and Control Solutions segment, in a new segment that is referred to as Water Solutions and Services. The Company’s Water Infrastructure reportable segment no longer includes the results of the dewatering business, and the Company’s Measurement and Control Solutions reportable segment no longer includes the results of the assessment services business. The Company's Applied Water reportable segment remains unchanged. As a result of the change, the Company has recast prior period segment amounts to align with the new segment reporting. The recast financial information reflects depreciation, amortization and share-based compensation specifically identified to the segments that were previously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 w:name="page9"/>
    <w:bookmarkEnd w:id="8"/>
    <w:p>
      <w:pPr>
        <w:ind w:right="140"/>
        <w:spacing w:after="0" w:line="287" w:lineRule="auto"/>
        <w:rPr>
          <w:sz w:val="20"/>
          <w:szCs w:val="20"/>
          <w:color w:val="auto"/>
        </w:rPr>
      </w:pPr>
      <w:r>
        <w:rPr>
          <w:rFonts w:ascii="Arial" w:cs="Arial" w:eastAsia="Arial" w:hAnsi="Arial"/>
          <w:sz w:val="18"/>
          <w:szCs w:val="18"/>
          <w:color w:val="auto"/>
        </w:rPr>
        <w:t>within Corporate and other and Regional selling locations as part of an overall allocation. These changes have no impact on the Company’s historical consolidated financial position or results of operations.</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11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No. 2023-07, </w:t>
      </w:r>
      <w:r>
        <w:rPr>
          <w:rFonts w:ascii="Arial" w:cs="Arial" w:eastAsia="Arial" w:hAnsi="Arial"/>
          <w:sz w:val="18"/>
          <w:szCs w:val="18"/>
          <w:i w:val="1"/>
          <w:iCs w:val="1"/>
          <w:color w:val="auto"/>
        </w:rPr>
        <w:t xml:space="preserve">"Segment Reporting (Topic 280) Improvements to Reportable Segment Disclosures." </w:t>
      </w:r>
      <w:r>
        <w:rPr>
          <w:rFonts w:ascii="Arial" w:cs="Arial" w:eastAsia="Arial" w:hAnsi="Arial"/>
          <w:sz w:val="18"/>
          <w:szCs w:val="18"/>
          <w:color w:val="auto"/>
        </w:rPr>
        <w:t>This guidance requires disclosure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segment expenses. The standard is effective for fiscal years beginning after December 15, 2023, and interim periods within fiscal years beginning after December 15, 2024, with early adoption permitted. The standard is required to be applied on a retrospective basis to all periods presented in the consolidated financial statements. We plan to adopt the new standard in our 2024 Annual Report on Form 10-K by expanding related disclosures.</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The ASU is intended to improve income tax disclosure requirements, primarily through additional disclosures about a reporting entity’s effective tax rate reconciliations as well as information on income taxes paid. The standard is effective for fiscal years beginning after December 15, 2024, and interim periods within fiscal years beginning after December 15, 2025, with early adoption permitted. The amendments are required to be applied on a prospective basis, with the option to apply retrospectively to all prior periods presented in the consolidated financial statements. The Company is currently evaluating the method of adoption and the impacts of the guidance on our disclosures in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2022, the FASB issued ASU 2022-04, "</w:t>
      </w:r>
      <w:r>
        <w:rPr>
          <w:rFonts w:ascii="Arial" w:cs="Arial" w:eastAsia="Arial" w:hAnsi="Arial"/>
          <w:sz w:val="18"/>
          <w:szCs w:val="18"/>
          <w:i w:val="1"/>
          <w:iCs w:val="1"/>
          <w:color w:val="auto"/>
        </w:rPr>
        <w:t>Liabilities-Supplier Finance Programs (Subtopic 405 -50): Disclosure of Supplier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Finance Program Obligations.</w:t>
      </w:r>
      <w:r>
        <w:rPr>
          <w:rFonts w:ascii="Arial" w:cs="Arial" w:eastAsia="Arial" w:hAnsi="Arial"/>
          <w:sz w:val="18"/>
          <w:szCs w:val="18"/>
          <w:color w:val="auto"/>
        </w:rPr>
        <w:t>" This guidance requires disclosure of the key terms of outstanding supplier finance programs and a rollforward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related obligations. The standard does not affect the recognition, measurement, or financial statement presentation of supplier finance program obligations. The ASU became effective January 1, 2023, and the rollforward requirement became effective January 1, 2024. Refer to Note 11, "Current Liabilities" for the disclosures related to our adoption of the standard.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Evoqua Water Technologies Corp.</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24, 2023, the Company completed the acquisition of 100% of the issued and outstanding shares of Evoqua, a leader in providing water and wastewater treatment solutions, offering a broad portfolio of products and services to support industrial, municipal, and recreational customers, pursuant to the Agreement and Plan of Merger dated January 22, 2023 (the “Merger Agreement”). The Merger Agreement provided that Fore Merger Sub, Inc., a wholly owned subsidiary of the Company, merge with and into Evoqua, with Evoqua surviving as a wholly owned subsidiary of Xylem (the “Merger”). Under the terms and conditions of the Merger Agreement, each share of Evoqua common stock issued and outstanding immediately prior to the effective time of the Merger (other than certain excluded shares as described in the Merger Agreement) was converted into the right to receive 0.48 (the “Exchange Ratio”) of a share of the common stock of Xylem. Upon the effectiveness of the Merger on May 24, 2023, legacy Evoqua stockholders owned approximately 25% and legacy Xylem shareholders owned approximately 75% of the combined company. The purchase price for purposes of the Merger consisted of an aggregate of $6,121 million of the Company’s common stock, $160 million in replacement equity awards, and $619 million to repay certain indebtedness of Evoqua (refer to Note 12, "Credit Facilities and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acquisition-date fair value of the consideration totaled $6,900 million, which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 of Purchase Consideration</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Xylem Common Stock issued to Evoqua stockholders (58,779,096 shares)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Estimated replacement equity awards</w:t>
            </w:r>
          </w:p>
        </w:tc>
        <w:tc>
          <w:tcPr>
            <w:tcW w:w="160" w:type="dxa"/>
            <w:vAlign w:val="bottom"/>
          </w:tcPr>
          <w:p>
            <w:pPr>
              <w:spacing w:after="0"/>
              <w:rPr>
                <w:sz w:val="19"/>
                <w:szCs w:val="19"/>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certain Evoqua indebtedness</w:t>
            </w:r>
          </w:p>
        </w:tc>
        <w:tc>
          <w:tcPr>
            <w:tcW w:w="160" w:type="dxa"/>
            <w:vAlign w:val="bottom"/>
            <w:tcBorders>
              <w:bottom w:val="single" w:sz="8" w:color="auto"/>
            </w:tcBorders>
            <w:shd w:val="clear" w:color="auto" w:fill="CCEEFF"/>
          </w:tcPr>
          <w:p>
            <w:pPr>
              <w:spacing w:after="0"/>
              <w:rPr>
                <w:sz w:val="19"/>
                <w:szCs w:val="19"/>
                <w:color w:val="auto"/>
              </w:rPr>
            </w:pPr>
          </w:p>
        </w:tc>
        <w:tc>
          <w:tcPr>
            <w:tcW w:w="3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6,900</w:t>
            </w:r>
          </w:p>
        </w:tc>
      </w:tr>
      <w:tr>
        <w:trPr>
          <w:trHeight w:val="21"/>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Company has applied the acquisition method of accounting in accordance with ASC 805, Business Combinations (“ASC 805”) and recognized assets acquired and liabilities assumed at their fair value as of the date of acquisition, with the excess purchase consideration recorded to goodwill. During the second quarter of 2024, the Company finalized the purchase price allocation. The following table summarizes the acquisition date fair value of net tangible and intangible assets acquired, net of liabilities assumed from Evoqua: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Receivables(a)</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Prepaid and other current assets</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Other intangible assets, net</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Non-current assets held for sale</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Accrued and other current liabilities</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borrowings and current maturities of long-term debt</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Liabilities held for sale</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Other non-current accrued liabilities</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 liabilities</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liabilities held for sale</w:t>
            </w:r>
          </w:p>
        </w:tc>
        <w:tc>
          <w:tcPr>
            <w:tcW w:w="9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3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Including $320 million of receivables and $110 million of contract assets.</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fair values of the assets acquired and liabilities assumed were determined using the income and cost approaches. In many cases, the determination of the fair values required estimates about discount rates, future expected cash flows and other future events that are judgmental and subject to change.</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fair value of receivables acquired is $320 million, with the gross contractual amount being $329 million. The Company expects $9 million to be uncollectible.</w:t>
      </w:r>
    </w:p>
    <w:p>
      <w:pPr>
        <w:spacing w:after="0" w:line="4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$4,801 million of goodwill recognized, which is not deductible for U.S. income tax purposes, is primarily attributable to synergies and economies of scale expected from combining the operations of Evoqua and Xylem as well as the assembled workforce of Evoqua.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Evoqua acquisition: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60" w:type="dxa"/>
            <w:vAlign w:val="bottom"/>
          </w:tcPr>
          <w:p>
            <w:pPr>
              <w:spacing w:after="0"/>
              <w:rPr>
                <w:sz w:val="19"/>
                <w:szCs w:val="19"/>
                <w:color w:val="auto"/>
              </w:rPr>
            </w:pPr>
          </w:p>
        </w:tc>
        <w:tc>
          <w:tcPr>
            <w:tcW w:w="284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Useful Life (in years)</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9"/>
              </w:rPr>
              <w:t>Useful Life Weighted</w:t>
            </w:r>
          </w:p>
        </w:tc>
        <w:tc>
          <w:tcPr>
            <w:tcW w:w="540" w:type="dxa"/>
            <w:vAlign w:val="bottom"/>
          </w:tcPr>
          <w:p>
            <w:pPr>
              <w:spacing w:after="0"/>
              <w:rPr>
                <w:sz w:val="19"/>
                <w:szCs w:val="19"/>
                <w:color w:val="auto"/>
              </w:rPr>
            </w:pPr>
          </w:p>
        </w:tc>
        <w:tc>
          <w:tcPr>
            <w:tcW w:w="2000" w:type="dxa"/>
            <w:vAlign w:val="bottom"/>
          </w:tcPr>
          <w:p>
            <w:pPr>
              <w:jc w:val="right"/>
              <w:ind w:right="73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40" w:type="dxa"/>
            <w:vAlign w:val="bottom"/>
            <w:tcBorders>
              <w:bottom w:val="single" w:sz="8" w:color="auto"/>
            </w:tcBorders>
            <w:vMerge w:val="continue"/>
          </w:tcPr>
          <w:p>
            <w:pPr>
              <w:spacing w:after="0"/>
              <w:rPr>
                <w:sz w:val="17"/>
                <w:szCs w:val="17"/>
                <w:color w:val="auto"/>
              </w:rPr>
            </w:pPr>
          </w:p>
        </w:tc>
        <w:tc>
          <w:tcPr>
            <w:tcW w:w="20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Average (in years)</w:t>
            </w:r>
          </w:p>
        </w:tc>
        <w:tc>
          <w:tcPr>
            <w:tcW w:w="5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6.0</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4 - 9</w:t>
            </w: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7.1</w:t>
            </w:r>
          </w:p>
        </w:tc>
        <w:tc>
          <w:tcPr>
            <w:tcW w:w="5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and distributor relationships</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6 - 20</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17.9</w:t>
            </w:r>
          </w:p>
        </w:tc>
        <w:tc>
          <w:tcPr>
            <w:tcW w:w="5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Backlog</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1 - 10</w:t>
            </w: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5.4</w:t>
            </w:r>
          </w:p>
        </w:tc>
        <w:tc>
          <w:tcPr>
            <w:tcW w:w="5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Permits</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8.0</w:t>
            </w:r>
          </w:p>
        </w:tc>
        <w:tc>
          <w:tcPr>
            <w:tcW w:w="5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2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1 - 13</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2.3</w:t>
            </w:r>
          </w:p>
        </w:tc>
        <w:tc>
          <w:tcPr>
            <w:tcW w:w="5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8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15.4</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estimate of the fair value of Evoqua’s identifiable intangible assets was determined primarily using the “income approach,” which requires a forecast of all of the expected future cash flows either through the use of the multi-period excess earnings method or the relief-from-royalty method. The fair value measurements were primarily based on significant inputs that are not observable in the market and thus represent a Level 3 measurement of the fair value hierarchy as defined in ASC 820, Fair Value Measurements (“ASC 820”). Intangible assets consisting of the Evoqua tradename, technology, customer relationships, backlog, and permits were valued using the multi-period excess earnings method (“MEEM”), the relief from royalty (“RFR”) method, or the with and without method, which are all forms of the income approach. Intangible assets related to Evoqua software were valued using the cost approach.</w:t>
      </w:r>
    </w:p>
    <w:p>
      <w:pPr>
        <w:spacing w:after="0" w:line="75" w:lineRule="exact"/>
        <w:rPr>
          <w:sz w:val="20"/>
          <w:szCs w:val="20"/>
          <w:color w:val="auto"/>
        </w:rPr>
      </w:pPr>
    </w:p>
    <w:p>
      <w:pPr>
        <w:ind w:left="660" w:right="58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and proprietary technology intangible assets were valued using the RFR method. The RFR method of valuation suggests that in lieu of ownership, the acquirer can obtain comparable rights to use the subject asset via a license from a hypothetical third-party owner. The asset’s Fair Value is the present value of license fees avoided by owning it (i.e., the royalty savings).</w:t>
      </w:r>
    </w:p>
    <w:p>
      <w:pPr>
        <w:spacing w:after="0" w:line="68"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distributor relationships and backlog intangible assets were valued using the MEEM method. The MEEM method of valuation is an approach where the net earnings attributable to the asset being measured are isolated from other “contributory assets” over the intangible asset’s remaining economic life.</w:t>
      </w:r>
    </w:p>
    <w:p>
      <w:pPr>
        <w:spacing w:after="0" w:line="62" w:lineRule="exact"/>
        <w:rPr>
          <w:rFonts w:ascii="Arial" w:cs="Arial" w:eastAsia="Arial" w:hAnsi="Arial"/>
          <w:sz w:val="18"/>
          <w:szCs w:val="18"/>
          <w:color w:val="auto"/>
        </w:rPr>
      </w:pPr>
    </w:p>
    <w:p>
      <w:pPr>
        <w:ind w:left="660" w:right="4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Permits intangible asset was valued using the with and without method. The with and without method of valuation is an approach that considers the hypothetical impact to the projected cash flows of the business if the intangible asset was not put in place.</w:t>
      </w:r>
    </w:p>
    <w:p>
      <w:pPr>
        <w:spacing w:after="0" w:line="62"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Software intangible asset was valued using the cost approach. The cost approach method of valuation is an approach that relies on estimating the replacement or reproduction costs new of assets, along with factors of physical deterioration, based on the principle that an asset would not be purchased for a price higher than the cost to replace it with an asset of comparable utility.</w:t>
      </w:r>
    </w:p>
    <w:p>
      <w:pPr>
        <w:spacing w:after="0" w:line="62" w:lineRule="exact"/>
        <w:rPr>
          <w:rFonts w:ascii="Arial" w:cs="Arial" w:eastAsia="Arial" w:hAnsi="Arial"/>
          <w:sz w:val="18"/>
          <w:szCs w:val="18"/>
          <w:color w:val="auto"/>
        </w:rPr>
      </w:pPr>
    </w:p>
    <w:p>
      <w:pPr>
        <w:ind w:left="660" w:right="40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was estimated using the comparative sales method, which quantifies the fair value of inventory based on the expected sales price of the subject inventory (when complete), reduced for: (i) all costs expected to be incurred in its completion and disposition efforts and (ii) a profit on those value-added completion and disposition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Stock-Based Compensation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Merger, each outstanding and issued option, restricted stock unit (“RSU”), performance stock unit (“PSU”) and cash-settled stock appreciation right (“SAR”) was converted into the Xylem equivalent, with outstanding PSUs being converted into Xylem RSUs. As a result, Xylem issued 2 million replacement equity options and 707 thousand RSU awards (of which 330 thousand were converted PSUs.) The portion of the fair value related to pre-combination services of $ 160 million was included in the purchase price, and $56 million will be recognized over the remaining service periods. As of September 30, 2024, the future unrecognized expense related to the outstanding options and RSUs was less than $ 1 million and approximately $4 million, respectively. The future unrecognized expense related to options and RSUs will be recognized over a weighted-average service period of approximately one year. SARs are immaterial.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following table summarizes, on an unaudited pro forma basis, the condensed combined results of operations of the Company for the three and nine months ended September 30, 2023, assuming the acquisition had occurred on January 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(Unaudited)</w:t>
            </w:r>
          </w:p>
        </w:tc>
        <w:tc>
          <w:tcPr>
            <w:tcW w:w="300" w:type="dxa"/>
            <w:vAlign w:val="bottom"/>
          </w:tcPr>
          <w:p>
            <w:pPr>
              <w:spacing w:after="0"/>
              <w:rPr>
                <w:sz w:val="17"/>
                <w:szCs w:val="17"/>
                <w:color w:val="auto"/>
              </w:rPr>
            </w:pPr>
          </w:p>
        </w:tc>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(Unaudited)</w:t>
            </w:r>
          </w:p>
        </w:tc>
      </w:tr>
      <w:tr>
        <w:trPr>
          <w:trHeight w:val="176"/>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5"/>
                <w:szCs w:val="15"/>
                <w:color w:val="auto"/>
              </w:rPr>
            </w:pPr>
          </w:p>
        </w:tc>
        <w:tc>
          <w:tcPr>
            <w:tcW w:w="238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9"/>
              </w:rPr>
              <w:t>Nine Months Ended</w:t>
            </w:r>
          </w:p>
        </w:tc>
      </w:tr>
      <w:tr>
        <w:trPr>
          <w:trHeight w:val="243"/>
        </w:trPr>
        <w:tc>
          <w:tcPr>
            <w:tcW w:w="5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1"/>
                <w:szCs w:val="21"/>
                <w:color w:val="auto"/>
              </w:rPr>
            </w:pPr>
          </w:p>
        </w:tc>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2400" w:type="dxa"/>
            <w:vAlign w:val="bottom"/>
            <w:tcBorders>
              <w:top w:val="single" w:sz="8" w:color="auto"/>
              <w:bottom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2380" w:type="dxa"/>
            <w:vAlign w:val="bottom"/>
            <w:tcBorders>
              <w:top w:val="single" w:sz="8" w:color="auto"/>
              <w:bottom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99"/>
              </w:rPr>
              <w:t>2023</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6,025</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bl>
    <w:p>
      <w:pPr>
        <w:spacing w:after="0" w:line="200" w:lineRule="exact"/>
        <w:rPr>
          <w:sz w:val="20"/>
          <w:szCs w:val="20"/>
          <w:color w:val="auto"/>
        </w:rPr>
      </w:pP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foregoing unaudited pro forma results are for informational purposes only and are not necessarily indicative of the actual results of operations that might have occurred had the acquisition occurred on January 1, 2022, nor are they necessarily indicative of future results. The unaudited pro-forma information for all periods presented includes the following adjustments, where applicable, for business combination accounting effects resulting from the acquisition: (i) amortization of the fair value step up in inventory, (ii) additional amortization expense related to finite-lived intangible assets acquired, (iii) repayment of Evoqua’s term loan and revolver and the settlement of the related interest rate swap, (iv) additional interest expense related to financing for the acquisition (refer to Note 12, "Credit Facilities and Debt"), (v) depreciation expense on property, plant and equipment, (vi) additional incremental stock-based compensation expense for the replacement of Evoqua’s outstanding equity awards with Xylem’s replacement equity awards, and (vii) the related tax effects assuming that the business combination occurred on January 1, 2022.</w:t>
      </w:r>
    </w:p>
    <w:p>
      <w:pPr>
        <w:spacing w:after="0" w:line="7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significant nonrecurring adjustments reflected in the unaudited pro-forma consolidated information above include the reclassification of the transaction costs to the earliest period presented and the reversal of the impacts related to the settlement of the interest rate swap, each net of tax.</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During the third quarter ended September 30, 2023, Xylem sold the former Evoqua hemodialysis concentrates business for approximately $12 million.</w:t>
      </w:r>
    </w:p>
    <w:p>
      <w:pPr>
        <w:spacing w:after="0" w:line="4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On June 15, 2023, Xylem sold the former Evoqua carbon reactivation and slurry operations to Desotec US LLC, a subsidiary of Desotec N.V., for approximately $91 million, a price equal to the fair value less costs to sell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5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5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r>
      <w:tr>
        <w:trPr>
          <w:trHeight w:val="21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40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1,057</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29"/>
        </w:trPr>
        <w:tc>
          <w:tcPr>
            <w:tcW w:w="5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Building Solutions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743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30"/>
        </w:trPr>
        <w:tc>
          <w:tcPr>
            <w:tcW w:w="5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Industrial Water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400" w:type="dxa"/>
            <w:vAlign w:val="bottom"/>
          </w:tcPr>
          <w:p>
            <w:pPr>
              <w:ind w:left="280"/>
              <w:spacing w:after="0"/>
              <w:rPr>
                <w:sz w:val="20"/>
                <w:szCs w:val="20"/>
                <w:color w:val="auto"/>
              </w:rPr>
            </w:pPr>
            <w:r>
              <w:rPr>
                <w:rFonts w:ascii="Arial" w:cs="Arial" w:eastAsia="Arial" w:hAnsi="Arial"/>
                <w:sz w:val="18"/>
                <w:szCs w:val="18"/>
                <w:color w:val="auto"/>
              </w:rPr>
              <w:t>Smart Metering and Other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Analytics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70"/>
        </w:trPr>
        <w:tc>
          <w:tcPr>
            <w:tcW w:w="54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5,920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5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r>
      <w:tr>
        <w:trPr>
          <w:trHeight w:val="21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4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4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708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4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956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54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5,920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740" w:hanging="328"/>
        <w:spacing w:after="0" w:line="28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Contract Balances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Opening balance from the acquisition of Evoqua</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and other</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211</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and 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September 30, 2024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w:t>
            </w:r>
          </w:p>
        </w:tc>
      </w:tr>
      <w:tr>
        <w:trPr>
          <w:trHeight w:val="21"/>
        </w:trPr>
        <w:tc>
          <w:tcPr>
            <w:tcW w:w="5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Excludes receivable balances, which are disclosed on the Condensed Consolidated Balance Sheets</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Performance obligations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September 30, 2024, the aggregate amount of the transaction price allocated to performance obligations that are unsatisfied or partially unsatisfied for contracts with performance obligations, amount to $1.2 billion, of which $581 million was contributed by the Evoqua acquisition.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three and nine months ended September 30, 2024, we incurred restructuring charges of $4 million and $36 million, respectively. For the three and nine months ended September 30, 2024, the charges incurred primarily related to strengthening our competitive positioning and the integration of Evoqua.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4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19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2023</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Reversal of restructuring accruals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52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520" w:type="dxa"/>
            <w:vAlign w:val="bottom"/>
          </w:tcPr>
          <w:p>
            <w:pPr>
              <w:ind w:left="480"/>
              <w:spacing w:after="0"/>
              <w:rPr>
                <w:sz w:val="20"/>
                <w:szCs w:val="20"/>
                <w:color w:val="auto"/>
              </w:rPr>
            </w:pPr>
            <w:r>
              <w:rPr>
                <w:rFonts w:ascii="Arial" w:cs="Arial" w:eastAsia="Arial" w:hAnsi="Arial"/>
                <w:sz w:val="18"/>
                <w:szCs w:val="18"/>
                <w:color w:val="auto"/>
              </w:rPr>
              <w:t>Measurement and Control Solutions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Solutions and Services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7"/>
        </w:trPr>
        <w:tc>
          <w:tcPr>
            <w:tcW w:w="5520" w:type="dxa"/>
            <w:vAlign w:val="bottom"/>
          </w:tcPr>
          <w:p>
            <w:pPr>
              <w:ind w:left="48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6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displays a roll-forward of the restructuring accruals, presented on our Condensed Consolidated Balance Sheets within "Accrued and other current liabilities" and "Other non-current accrued liabilities", for the nine months ended September 30,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2023</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Restructuring costs,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 expense included within AOCL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Foreign currency and other</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accruals - September 30</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Measurement and Control Solutions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Solutions and Services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Regional selling locations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229" w:lineRule="exact"/>
        <w:rPr>
          <w:sz w:val="20"/>
          <w:szCs w:val="20"/>
          <w:color w:val="auto"/>
        </w:rPr>
      </w:pPr>
    </w:p>
    <w:p>
      <w:pPr>
        <w:ind w:left="340" w:right="180" w:hanging="332"/>
        <w:spacing w:after="0" w:line="304"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that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presents expected restructuring spend in 2024 and thereafter: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Water</w:t>
            </w:r>
          </w:p>
        </w:tc>
        <w:tc>
          <w:tcPr>
            <w:tcW w:w="16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Applied Water</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Measurement and</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Water Solutions</w:t>
            </w:r>
          </w:p>
        </w:tc>
        <w:tc>
          <w:tcPr>
            <w:tcW w:w="22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Control Solutions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and Services</w:t>
            </w: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Actions Commenced in</w:t>
            </w: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2024</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Q2 2024</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Q3 2024</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5"/>
        </w:trPr>
        <w:tc>
          <w:tcPr>
            <w:tcW w:w="2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Actions Commenced in</w:t>
            </w: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in 2023</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Q1 2024</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2024</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Q3 2024</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actions commenced in 2024 consist primarily of severance and asset impairment charges. The actions are expected to continue through the end of 2025.</w:t>
      </w:r>
    </w:p>
    <w:p>
      <w:pPr>
        <w:spacing w:after="0" w:line="4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Through the second quarter of 2024, we recognized $16 million in impairment charges primarily related to customer relationships and trademarks due to restructuring actions within our Water Solutions and Services segment. Refer to Note 9, "Goodwill and Other Intangible Assets," for additional information.</w:t>
      </w:r>
    </w:p>
    <w:p>
      <w:pPr>
        <w:spacing w:after="0" w:line="6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During the third quarter of 2024, we recognized $3 million in fixed asset impairment charges due to restructuring actions within our Water Solutions and Services segment.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During the first quarter of 2024, we recognized a $1 million impairment charge for internally developed software within Corporate. Refer to Note 9, "Goodwill and Other Intangible Assets," for additional information.</w:t>
      </w:r>
    </w:p>
    <w:p>
      <w:pPr>
        <w:spacing w:after="0" w:line="45" w:lineRule="exact"/>
        <w:rPr>
          <w:sz w:val="20"/>
          <w:szCs w:val="20"/>
          <w:color w:val="auto"/>
        </w:rPr>
      </w:pPr>
    </w:p>
    <w:p>
      <w:pPr>
        <w:jc w:val="both"/>
        <w:ind w:right="180"/>
        <w:spacing w:after="0" w:line="287" w:lineRule="auto"/>
        <w:rPr>
          <w:sz w:val="20"/>
          <w:szCs w:val="20"/>
          <w:color w:val="auto"/>
        </w:rPr>
      </w:pPr>
      <w:r>
        <w:rPr>
          <w:rFonts w:ascii="Arial" w:cs="Arial" w:eastAsia="Arial" w:hAnsi="Arial"/>
          <w:sz w:val="18"/>
          <w:szCs w:val="18"/>
          <w:color w:val="auto"/>
        </w:rPr>
        <w:t>During the third quarter of 2023, we recognized a $1 million impairment charge for certain fixed assets within our Measurement and Control Solutions segment. Refer to Note 9, "Goodwill and Other Intangible Assets," for additional information.</w:t>
      </w:r>
    </w:p>
    <w:p>
      <w:pPr>
        <w:spacing w:after="0" w:line="4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During the first quarter of 2023, we determined that internally developed in-process software within our Measurement and Control Solutions segment was impaired as a result of actions taken to prioritize strategic investments and we therefore recognized an impairment charge of $2 million. Refer to Note 9, "Goodwill and Other Intangible Assets," for additional information.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the periods presented. The comparison of our effective tax rate between periods is significantly impacted by the level and mix of earnings and losses by tax jurisdiction and discrete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right="160"/>
        <w:spacing w:after="0" w:line="259" w:lineRule="auto"/>
        <w:rPr>
          <w:sz w:val="20"/>
          <w:szCs w:val="20"/>
          <w:color w:val="auto"/>
        </w:rPr>
      </w:pPr>
      <w:r>
        <w:rPr>
          <w:rFonts w:ascii="Arial" w:cs="Arial" w:eastAsia="Arial" w:hAnsi="Arial"/>
          <w:sz w:val="18"/>
          <w:szCs w:val="18"/>
          <w:color w:val="auto"/>
        </w:rPr>
        <w:t>The income tax provision for the three months ended September 30, 2024 was $52 million resulting in an effective tax rate of 19.3%, compared to a $33 million expense resulting in an effective tax rate of 17.8% for the same period in 2023. The income tax provision for the nine months ended September 30, 2024 was $148 million resulting in an effective tax rate of 20.7%, compared to a $82 million expense resulting in an effective tax rate of 19.3% for the same period in 2023. The effective tax rate for the three and nine month periods ended September 30, 2024 was lower than the U.S. federal statutory rate primarily due to earnings mix.</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2019, Xylem’s Swedish subsidiary received a tax assessment from the Swedish Tax Agency (the "STA")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SEK837 million (approximately $83 million), consisting of the full tax assessment amount plus penalties and interest. Xylem appealed this decision with the intermediate appellate court, the Administrative Court of Appeal, and on May 15, 2024, that court rendered a decision in favor of Xylem and also remanded an issue to the trial court for resolution. In June 2024, the STA filed a notice of appeal of this decision to the Supreme Administrative Court (the “Court”). The parties await the Court’s decision as to whether it will hear the STA’s appeal, and the trial court has stayed the proceeding on the issue on remand until the Court's decision. Management, in consultation with external legal advisors, continues to believe it is more likely than not that Xylem will prevail on the proposed assessment and will continue to vigorously defend our position through this litigation. There can be no assurance that the final determination by the authorities will not be materially different than our position. As of September 30, 2024, we do not have any unrecognized tax benefits related to this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2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r>
      <w:tr>
        <w:trPr>
          <w:trHeight w:val="196"/>
        </w:trPr>
        <w:tc>
          <w:tcPr>
            <w:tcW w:w="5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w w:val="96"/>
              </w:rPr>
              <w:t>2023</w:t>
            </w:r>
          </w:p>
        </w:tc>
      </w:tr>
      <w:tr>
        <w:trPr>
          <w:trHeight w:val="224"/>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10"/>
        </w:trPr>
        <w:tc>
          <w:tcPr>
            <w:tcW w:w="5880" w:type="dxa"/>
            <w:vAlign w:val="bottom"/>
          </w:tcPr>
          <w:p>
            <w:pPr>
              <w:ind w:left="140"/>
              <w:spacing w:after="0"/>
              <w:rPr>
                <w:sz w:val="20"/>
                <w:szCs w:val="20"/>
                <w:color w:val="auto"/>
              </w:rPr>
            </w:pPr>
            <w:r>
              <w:rPr>
                <w:rFonts w:ascii="Arial" w:cs="Arial" w:eastAsia="Arial" w:hAnsi="Arial"/>
                <w:sz w:val="18"/>
                <w:szCs w:val="18"/>
                <w:color w:val="auto"/>
              </w:rPr>
              <w:t>Shares (in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242,911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240,840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242,425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208,905</w:t>
            </w:r>
          </w:p>
        </w:tc>
      </w:tr>
      <w:tr>
        <w:trPr>
          <w:trHeight w:val="22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Participating securities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242,932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240,870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242,453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208,935</w:t>
            </w: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color w:val="auto"/>
              </w:rPr>
              <w:t>Plus incremental shares from assumed conversions: (b)</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2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r>
      <w:tr>
        <w:trPr>
          <w:trHeight w:val="22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243,750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242,189</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243,437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210,083</w:t>
            </w:r>
          </w:p>
        </w:tc>
      </w:tr>
      <w:tr>
        <w:trPr>
          <w:trHeight w:val="223"/>
        </w:trPr>
        <w:tc>
          <w:tcPr>
            <w:tcW w:w="588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0.89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0.63</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bl>
    <w:p>
      <w:pPr>
        <w:spacing w:after="0" w:line="242" w:lineRule="exact"/>
        <w:rPr>
          <w:sz w:val="20"/>
          <w:szCs w:val="20"/>
          <w:color w:val="auto"/>
        </w:rPr>
      </w:pPr>
    </w:p>
    <w:p>
      <w:pPr>
        <w:ind w:left="340" w:right="180" w:hanging="332"/>
        <w:spacing w:after="0" w:line="286"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Restricted stock units containing rights to non-forfeitable dividends that participate in undistributed earnings with common stockholders are considered participating securities for purposes of computing earnings per share.</w:t>
      </w:r>
    </w:p>
    <w:p>
      <w:pPr>
        <w:spacing w:after="0" w:line="47" w:lineRule="exact"/>
        <w:rPr>
          <w:rFonts w:ascii="Arial" w:cs="Arial" w:eastAsia="Arial" w:hAnsi="Arial"/>
          <w:sz w:val="16"/>
          <w:szCs w:val="16"/>
          <w:color w:val="auto"/>
        </w:rPr>
      </w:pPr>
    </w:p>
    <w:p>
      <w:pPr>
        <w:ind w:left="340" w:right="40" w:hanging="332"/>
        <w:spacing w:after="0" w:line="262"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15, "Share-Based Compensation Plans," to the condensed consolidated financial statements for further detail on the performance share units.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286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ind w:right="455"/>
              <w:spacing w:after="0"/>
              <w:rPr>
                <w:sz w:val="20"/>
                <w:szCs w:val="20"/>
                <w:color w:val="auto"/>
              </w:rPr>
            </w:pPr>
            <w:r>
              <w:rPr>
                <w:rFonts w:ascii="Arial" w:cs="Arial" w:eastAsia="Arial" w:hAnsi="Arial"/>
                <w:sz w:val="14"/>
                <w:szCs w:val="14"/>
                <w:color w:val="auto"/>
              </w:rPr>
              <w:t>2023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41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415"/>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Performance share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1"/>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Note 8. Inventories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320" w:type="dxa"/>
            <w:vAlign w:val="bottom"/>
            <w:gridSpan w:val="2"/>
          </w:tcPr>
          <w:p>
            <w:pPr>
              <w:spacing w:after="0"/>
              <w:rPr>
                <w:sz w:val="20"/>
                <w:szCs w:val="20"/>
                <w:color w:val="auto"/>
              </w:rPr>
            </w:pPr>
            <w:r>
              <w:rPr>
                <w:rFonts w:ascii="Arial" w:cs="Arial" w:eastAsia="Arial" w:hAnsi="Arial"/>
                <w:sz w:val="18"/>
                <w:szCs w:val="18"/>
                <w:color w:val="auto"/>
              </w:rPr>
              <w:t>The components of total inventories are summarized as follows: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gridSpan w:val="2"/>
            <w:vMerge w:val="continue"/>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Work in process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3"/>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Total inventories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1,091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As a result of the change in reportable segments disclosed in Note 1, "Background and Basis of Presentation," goodwill was reallocated amongst segments. This reallocation and changes in the carrying value of goodwill by reportable segment for the nine months ended September 30, 2024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and</w:t>
            </w:r>
          </w:p>
        </w:tc>
        <w:tc>
          <w:tcPr>
            <w:tcW w:w="12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Water Solutions</w:t>
            </w:r>
          </w:p>
        </w:tc>
        <w:tc>
          <w:tcPr>
            <w:tcW w:w="320" w:type="dxa"/>
            <w:vAlign w:val="bottom"/>
          </w:tcPr>
          <w:p>
            <w:pPr>
              <w:spacing w:after="0"/>
              <w:rPr>
                <w:sz w:val="14"/>
                <w:szCs w:val="14"/>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 Solutions</w:t>
            </w:r>
          </w:p>
        </w:tc>
        <w:tc>
          <w:tcPr>
            <w:tcW w:w="140" w:type="dxa"/>
            <w:vAlign w:val="bottom"/>
          </w:tcPr>
          <w:p>
            <w:pPr>
              <w:spacing w:after="0"/>
              <w:rPr>
                <w:sz w:val="16"/>
                <w:szCs w:val="16"/>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b w:val="1"/>
                <w:bCs w:val="1"/>
                <w:color w:val="auto"/>
              </w:rPr>
              <w:t>and Services</w:t>
            </w: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Balance as of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2,519</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Reallocation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as of January 1, 2024</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2,870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i w:val="1"/>
                <w:iCs w:val="1"/>
                <w:color w:val="auto"/>
              </w:rPr>
              <w:t>Activity in 2024</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b w:val="1"/>
                <w:bCs w:val="1"/>
                <w:color w:val="auto"/>
              </w:rPr>
              <w:t>Balance as of September 30,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2,848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7,593</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has applied the acquisition method of accounting in accordance with ASC 805 and recognized assets acquired and liabilities assumed of Evoqua at their fair value as of the date of acquisition, with the excess purchase consideration recorded to goodwill. We have allocated goodwill to segments of the Company that are expected to benefit from the synergies of the acquisition.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2023</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040" w:type="dxa"/>
            <w:vAlign w:val="bottom"/>
          </w:tcPr>
          <w:p>
            <w:pPr>
              <w:jc w:val="right"/>
              <w:ind w:right="254"/>
              <w:spacing w:after="0" w:line="147"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200" w:type="dxa"/>
            <w:vAlign w:val="bottom"/>
            <w:gridSpan w:val="2"/>
          </w:tcPr>
          <w:p>
            <w:pPr>
              <w:ind w:left="340"/>
              <w:spacing w:after="0" w:line="147"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14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60" w:type="dxa"/>
            <w:vAlign w:val="bottom"/>
          </w:tcPr>
          <w:p>
            <w:pPr>
              <w:jc w:val="right"/>
              <w:ind w:right="434"/>
              <w:spacing w:after="0" w:line="147"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5"/>
        </w:trPr>
        <w:tc>
          <w:tcPr>
            <w:tcW w:w="30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Intangibles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56"/>
        </w:trPr>
        <w:tc>
          <w:tcPr>
            <w:tcW w:w="30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Customer and distributor</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2,158</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1,600</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Amortization expense related to finite-lived intangible assets was $73 million and $229 million for the three and nine-month periods ended September 30, 2024, respectively, and $84 million and $167 million for the three and nine-month periods ended September 30, 2023.</w:t>
      </w:r>
    </w:p>
    <w:p>
      <w:pPr>
        <w:spacing w:after="0" w:line="4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During the second quarter of 2024, we recognized $13 million in impairment charges primarily related to customer relationships and trademarks due to restructuring actions within our Water Solutions and Services segment.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2024, we recognized a $1 million impairment charge for internally developed software within Corporate.</w:t>
      </w:r>
    </w:p>
    <w:p>
      <w:pPr>
        <w:spacing w:after="0" w:line="117" w:lineRule="exact"/>
        <w:rPr>
          <w:sz w:val="20"/>
          <w:szCs w:val="20"/>
          <w:color w:val="auto"/>
        </w:rPr>
      </w:pPr>
    </w:p>
    <w:p>
      <w:pPr>
        <w:jc w:val="both"/>
        <w:ind w:right="500"/>
        <w:spacing w:after="0" w:line="287" w:lineRule="auto"/>
        <w:rPr>
          <w:sz w:val="20"/>
          <w:szCs w:val="20"/>
          <w:color w:val="auto"/>
        </w:rPr>
      </w:pPr>
      <w:r>
        <w:rPr>
          <w:rFonts w:ascii="Arial" w:cs="Arial" w:eastAsia="Arial" w:hAnsi="Arial"/>
          <w:sz w:val="18"/>
          <w:szCs w:val="18"/>
          <w:color w:val="auto"/>
        </w:rPr>
        <w:t>During 2023, we determined that internally developed in-process software within our Measurement and Control Solutions segment was impaired as a result of actions taken to prioritize strategic investments and we therefore recognized an impairment charge of $2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spacing w:after="0" w:line="71"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As a result of Evoqua terminating their interest rate swaps prior to the Company completing the acquisition, the Company received $38 million in proceeds during the second quarter of 2023 from the termination of the interest rate swaps.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for which we enter into cash flow hedges relate to the Euro, Swedish Krona, British Pound, Canadian Dollar, Polish Zloty, and Australian Dollar. We had foreign exchange contracts with purchased notional amounts totaling $170 million and $29 million as of September 30, 2024 and December 31, 2023, respectively. As of September 30, 2024, our most significant foreign currency derivatives included contracts to sell U.S. Dollar and purchase Euro, purchase Swedish Krona and sell Euro, sell British Pound and purchase Euro, sell Canadian Dollar and purchase Euro, purchase Polish Zloty and sell Euro, sell Australian Dollar and purchase Euro, sell Canadian Dollar and purchase U.S. Dollar, and purchase Canadian Dollar and sell U.S. Dollar. The purchased notional amounts associated with these currency derivatives are $59 million, $52 million, $22 million, $ 12 million, $10 million, $7 million, $7 million, and $1 million, respectively. As of December 31, 2023, our most significant foreign currency derivatives included contracts to purchase U.S. Dollar and sell Chinese Yuan and to purchase U.S. Dollar and sell Canadian Dollar. The purchased notional amounts associated with these currency derivatives were $19 million and $10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third quarter of 2020, and second quarter of 2022 we entered into additional cross-currency swaps. The total notional amount of derivative instruments designated as net investment hedges was $1,694 million and $1,691 million as of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1" w:name="page22"/>
    <w:bookmarkEnd w:id="21"/>
    <w:p>
      <w:pPr>
        <w:ind w:right="120"/>
        <w:spacing w:after="0" w:line="268" w:lineRule="auto"/>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 Statements of Comprehensive Income. Items in the table below reflect changes in "Other comprehensive income (loss)" ("OCI/L") within the Statements of Comprehensive Income: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21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September 30,</w:t>
            </w:r>
          </w:p>
        </w:tc>
      </w:tr>
      <w:tr>
        <w:trPr>
          <w:trHeight w:val="19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color w:val="auto"/>
              </w:rPr>
              <w:t>2023</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(loss) gain recognized in OCI/L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240" w:type="dxa"/>
            <w:vAlign w:val="bottom"/>
          </w:tcPr>
          <w:p>
            <w:pPr>
              <w:ind w:left="240"/>
              <w:spacing w:after="0"/>
              <w:rPr>
                <w:sz w:val="20"/>
                <w:szCs w:val="20"/>
                <w:color w:val="auto"/>
              </w:rPr>
            </w:pPr>
            <w:r>
              <w:rPr>
                <w:rFonts w:ascii="Arial" w:cs="Arial" w:eastAsia="Arial" w:hAnsi="Arial"/>
                <w:sz w:val="18"/>
                <w:szCs w:val="18"/>
                <w:color w:val="auto"/>
              </w:rPr>
              <w:t>Amount of loss reclassified from OCI/L into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loss reclassified from OCI/L into Cost of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gain (loss) recognized in OCI/L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7"/>
        </w:trPr>
        <w:tc>
          <w:tcPr>
            <w:tcW w:w="6240" w:type="dxa"/>
            <w:vAlign w:val="bottom"/>
          </w:tcPr>
          <w:p>
            <w:pPr>
              <w:ind w:left="240"/>
              <w:spacing w:after="0"/>
              <w:rPr>
                <w:sz w:val="20"/>
                <w:szCs w:val="20"/>
                <w:color w:val="auto"/>
              </w:rPr>
            </w:pPr>
            <w:r>
              <w:rPr>
                <w:rFonts w:ascii="Arial" w:cs="Arial" w:eastAsia="Arial" w:hAnsi="Arial"/>
                <w:sz w:val="18"/>
                <w:szCs w:val="18"/>
                <w:color w:val="auto"/>
              </w:rPr>
              <w:t>Amount of income recognized in 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2024, $1 million of net gains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2024, no gains or losses on the net investment hedges are expected to be reclassified into earnings over their duration.</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480" w:type="dxa"/>
            <w:vAlign w:val="bottom"/>
          </w:tcPr>
          <w:p>
            <w:pPr>
              <w:jc w:val="right"/>
              <w:ind w:right="3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Cash Flow Hedges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Net Investment Hedges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i w:val="1"/>
                <w:iCs w:val="1"/>
                <w:color w:val="auto"/>
              </w:rPr>
              <w:t>Cash Flow Hedges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i w:val="1"/>
                <w:iCs w:val="1"/>
                <w:color w:val="auto"/>
              </w:rPr>
              <w:t>Net Investment Hedges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accrued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11.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Customer-related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45-180 days. Xylem does not pay fees related to these programs. Xylem or the third-party financial institutions may terminate the agreements upon at least 30 days’ notice. The total outstanding balance presented within "Accounts payable" on our Condensed Consolidated Balance Sheets under these programs is $254 million and $176 million as of September 30, 2024 and December 31, 2023, respectively.</w:t>
      </w:r>
    </w:p>
    <w:p>
      <w:pPr>
        <w:spacing w:after="0" w:line="7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table below provides changes in the confirmed obligations outstanding related to our supplier financing programs over the nine months ended September 30,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193"/>
              <w:spacing w:after="0"/>
              <w:rPr>
                <w:sz w:val="20"/>
                <w:szCs w:val="20"/>
                <w:color w:val="auto"/>
              </w:rPr>
            </w:pPr>
            <w:r>
              <w:rPr>
                <w:rFonts w:ascii="Arial" w:cs="Arial" w:eastAsia="Arial" w:hAnsi="Arial"/>
                <w:sz w:val="14"/>
                <w:szCs w:val="14"/>
                <w:b w:val="1"/>
                <w:bCs w:val="1"/>
                <w:color w:val="auto"/>
              </w:rPr>
              <w:t>2024</w:t>
            </w:r>
          </w:p>
        </w:tc>
      </w:tr>
      <w:tr>
        <w:trPr>
          <w:trHeight w:val="25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January 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r>
      <w:tr>
        <w:trPr>
          <w:trHeight w:val="256"/>
        </w:trPr>
        <w:tc>
          <w:tcPr>
            <w:tcW w:w="8360" w:type="dxa"/>
            <w:vAlign w:val="bottom"/>
          </w:tcPr>
          <w:p>
            <w:pPr>
              <w:ind w:left="140"/>
              <w:spacing w:after="0"/>
              <w:rPr>
                <w:sz w:val="20"/>
                <w:szCs w:val="20"/>
                <w:color w:val="auto"/>
              </w:rPr>
            </w:pPr>
            <w:r>
              <w:rPr>
                <w:rFonts w:ascii="Arial" w:cs="Arial" w:eastAsia="Arial" w:hAnsi="Arial"/>
                <w:sz w:val="18"/>
                <w:szCs w:val="18"/>
                <w:color w:val="auto"/>
              </w:rPr>
              <w:t>Invoices confirmed</w:t>
            </w:r>
          </w:p>
        </w:tc>
        <w:tc>
          <w:tcPr>
            <w:tcW w:w="700" w:type="dxa"/>
            <w:vAlign w:val="bottom"/>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790</w:t>
            </w:r>
          </w:p>
        </w:tc>
      </w:tr>
      <w:tr>
        <w:trPr>
          <w:trHeight w:val="25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invoices paid</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r>
      <w:tr>
        <w:trPr>
          <w:trHeight w:val="256"/>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September 30</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12. Credit Facilities and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3.250% Senior Notes due 2026 (a)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1.950% Senior Notes due 2028 (a)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2031 (a)</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4.375% Senior Notes due 2046 (a)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Financing due 2025 to 2032</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Term loan</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0" w:hanging="332"/>
        <w:spacing w:after="0" w:line="260"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2026 was $491 million and $482 million as of September 30, 2024 and December 31, 2023, respectively. The fair value of our Senior Notes due 2028 was $465 million and $453 million as of September 30, 2024 and December 31, 2023, respectively. The fair value of our Senior Notes due 2031 was $441 million and $429 million as of September 30, 2024 and December 31, 2023, respectively. The fair value of our Senior Notes due 2046 was $360 million and $349 million as of September 30, 2024 and December 31, 2023, respectively.</w:t>
      </w:r>
    </w:p>
    <w:p>
      <w:pPr>
        <w:spacing w:after="0" w:line="83" w:lineRule="exact"/>
        <w:rPr>
          <w:rFonts w:ascii="Arial" w:cs="Arial" w:eastAsia="Arial" w:hAnsi="Arial"/>
          <w:sz w:val="16"/>
          <w:szCs w:val="16"/>
          <w:color w:val="auto"/>
        </w:rPr>
      </w:pPr>
    </w:p>
    <w:p>
      <w:pPr>
        <w:ind w:left="340" w:right="480" w:hanging="332"/>
        <w:spacing w:after="0" w:line="266"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Interest on the Green Bond is payable on January 30 and July 30 of each year. As of September 30, 2024, we are in compliance with all covenants for the Green Bond.</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2026, the “Senior Notes”).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300"/>
        <w:spacing w:after="0" w:line="287"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45" w:lineRule="exact"/>
        <w:rPr>
          <w:sz w:val="20"/>
          <w:szCs w:val="20"/>
          <w:color w:val="auto"/>
        </w:rPr>
      </w:pPr>
    </w:p>
    <w:p>
      <w:pPr>
        <w:ind w:right="1080"/>
        <w:spacing w:after="0" w:line="287" w:lineRule="auto"/>
        <w:rPr>
          <w:sz w:val="20"/>
          <w:szCs w:val="20"/>
          <w:color w:val="auto"/>
        </w:rPr>
      </w:pPr>
      <w:r>
        <w:rPr>
          <w:rFonts w:ascii="Arial" w:cs="Arial" w:eastAsia="Arial" w:hAnsi="Arial"/>
          <w:sz w:val="18"/>
          <w:szCs w:val="18"/>
          <w:color w:val="auto"/>
        </w:rPr>
        <w:t>Interest on the Senior Notes due 2026 and the Senior Notes due 2046 is payable on May 1 and November 1 of each year. As of September 30, 2024, we are in compliance with all covenants for the Senior Notes.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Five-Year Revolving Credit Facility</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March 1, 2023, Xylem entered into a five-year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lease-back transactions, mergers, consolidations, liquidations, dissolutions and sales of assets. The 2023 Credit Facility also contains customary events of default. Finally, Xylem has the ability to designate subsidiaries that can borrow under the 2023 Credit Facility, subject to certain requirements and conditions set forth in the 2023 Credit Facility. As of September 30, 2024, the 2023 Credit Facility was undrawn, and we are in compliance with all revolver covenants. The 2023 Credit Facility has availability of $1 billion, comprised of the $1 billion aggregate principal as of September 30, 2024.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9, 2023, the Company’s subsidiary, Xylem Europe GmbH (the “Borrower”) entered into a twenty four-month €250 million (approximately $279 million) term loan facility (the “Term Facility”) the terms of which are set forth in a term loan agreement, among the Borrower, the Company, as parent guarantor and ING Bank. The Company has entered into a parent guarantee in favor of ING Bank also dated May 9, 2023 to secure all present and future obligations of the borrower under the Term Loan Agreement. The net cash proceeds were used to repay a portion of Evoqua’s indebtedness pursuant to the Merger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On April 19, 2024 our Term Loan Facility was settled with cash on hand for a total of €250 million ($268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Equipment Financing</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a result of the Evoqua acquisition, the Company has secured financing agreements that require providing a security interest in specified equipment and, in some cases, the underlying contract and related receivables. As of September 30, 2024, the gross and net amounts of those assets are included on the Consolidated Balance Sheets as follows:</w:t>
      </w:r>
    </w:p>
    <w:p>
      <w:pPr>
        <w:spacing w:after="0" w:line="103"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September 30,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Gross</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Net</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48"/>
        </w:trPr>
        <w:tc>
          <w:tcPr>
            <w:tcW w:w="7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$1 billion inclusive of the 2023 Credit Facility. As of September 30, 2024 and December 31, 2023, none of the Company's $600 million U.S. Dollar commercial paper program was outstanding, respectively. The net cash proceeds from issuance of commercial paper were used to repay a portion of Evoqua’s indebtedness pursuant to the Merger Agreement. We have the ability to continue borrowing under this program going forward in future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$557 million) which may be denominated in a variety of currencies. The maximum issuing balance may be increased in accordance with the Dealer Agreement. As of September 30, 2024 and December 31, 2023, none of the Company's Euro commercial paper program was outstanding. We have the ability to continue borrowing under this program going forward in future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Securitization Program</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April 1, 2021, Evoqua Finance LLC (“Evoqua Finance”), now an indirect wholly-owned subsidiary of the Company, entered into an accounts receivable securitization program (the “Receivables Securitization Program”) consisting of, among other agreements, (i) a Receivables Financing Agreement (as amended, the “Receivables Financing Agreement”) among Evoqua Finance, as the borrower, the lenders from time to time party thereto (the “Receivables Financing Lenders”), PNC Bank, National Association ("PNC"), as administrative agent, EWT LLC, as initial servicer, and PNC Capital Markets LLC, as structuring agent, pursuant to which the lenders have made available to Evoqua Finance a receivables finance facility in an amount up to $150 million, (ii) a Sale and Contribution Agreement (as amended, the “Sale and Contribution Agreement”) among Evoqua Finance, as purchaser, EWT LLC, as initial servicer and as an originator, and Neptune Benson, Inc., an indirectly wholly-owned subsidiary of the Company, as an originator (together with EWT LLC, the “Originators”), and (iii) a Performance Guaranty of Xylem Inc. dated as of May 24, 2023 (the “Performance Guaranty”) in favor of PNC and for the benefit of PNC and the other secured parties under the Receivables Financing Agreement that replaced the performance guaranty of EWT Holdings II Corp. and EWT Holdings III Corp dated as of April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6" w:name="page27"/>
    <w:bookmarkEnd w:id="26"/>
    <w:p>
      <w:pPr>
        <w:ind w:right="240"/>
        <w:spacing w:after="0" w:line="262" w:lineRule="auto"/>
        <w:rPr>
          <w:sz w:val="20"/>
          <w:szCs w:val="20"/>
          <w:color w:val="auto"/>
        </w:rPr>
      </w:pPr>
      <w:r>
        <w:rPr>
          <w:rFonts w:ascii="Arial" w:cs="Arial" w:eastAsia="Arial" w:hAnsi="Arial"/>
          <w:sz w:val="18"/>
          <w:szCs w:val="18"/>
          <w:color w:val="auto"/>
        </w:rPr>
        <w:t>The Receivables Securitization Program contains certain customary representations, warranties, affirmative covenants, and negative covenants, subject to certain cure periods in some cases, including the eligibility of the receivables being sold by the Originators and securing the loans made by the Receivables Financing Lenders, as well as customary reserve requirements, events of default, termination events, and servicer defaults.</w:t>
      </w:r>
    </w:p>
    <w:p>
      <w:pPr>
        <w:spacing w:after="0" w:line="6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On July 20, 2023, the Receivables Financing Agreement, the Sale and Contribution Agreement and the Performance Guaranty and the other transaction documents under the Receivables Financing Program were terminated and all outstanding obligations for principal, interest, and fees under the agreement were paid in full.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Post-retirement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7"/>
                <w:szCs w:val="17"/>
                <w:color w:val="auto"/>
              </w:rPr>
            </w:pPr>
          </w:p>
        </w:tc>
        <w:tc>
          <w:tcPr>
            <w:tcW w:w="24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5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2023</w:t>
            </w:r>
          </w:p>
        </w:tc>
      </w:tr>
      <w:tr>
        <w:trPr>
          <w:trHeight w:val="212"/>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actuarial (gain)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540" w:type="dxa"/>
            <w:vAlign w:val="bottom"/>
          </w:tcPr>
          <w:p>
            <w:pPr>
              <w:ind w:left="140"/>
              <w:spacing w:after="0"/>
              <w:rPr>
                <w:sz w:val="20"/>
                <w:szCs w:val="20"/>
                <w:color w:val="auto"/>
              </w:rPr>
            </w:pPr>
            <w:r>
              <w:rPr>
                <w:rFonts w:ascii="Arial" w:cs="Arial" w:eastAsia="Arial" w:hAnsi="Arial"/>
                <w:sz w:val="18"/>
                <w:szCs w:val="18"/>
                <w:b w:val="1"/>
                <w:bCs w:val="1"/>
                <w:color w:val="auto"/>
              </w:rPr>
              <w:t>Total 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income, net" in the Condensed Consolidated Income Statements.</w:t>
      </w:r>
    </w:p>
    <w:p>
      <w:pPr>
        <w:spacing w:after="0" w:line="4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total net periodic benefit cost for other post-retirement employee benefit plans was less than $1 million, including net credits recognized into "Other comprehensive income (loss)" of less than $1 million, for both the three and nine months ended September 30, 2024 and 2023, respectively.</w:t>
      </w:r>
    </w:p>
    <w:p>
      <w:pPr>
        <w:spacing w:after="0" w:line="63"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We contributed $16 million and $20 million to our defined benefit plans for the nine months ended September 30, 2024 and 2023, respectively. Additional contributions ranging between approximately $7 million and $11 million are expected to be made during the remainder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14.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nine months ended September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4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Controlling</w:t>
            </w:r>
          </w:p>
        </w:tc>
        <w:tc>
          <w:tcPr>
            <w:tcW w:w="200" w:type="dxa"/>
            <w:vAlign w:val="bottom"/>
          </w:tcPr>
          <w:p>
            <w:pPr>
              <w:spacing w:after="0"/>
              <w:rPr>
                <w:sz w:val="14"/>
                <w:szCs w:val="14"/>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10,176</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($0.36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10,203</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75"/>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Dividends declared ($0.36 per</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8,660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2,774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(751)</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10,348</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business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($0.36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Distribution to minority</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shareholders</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Acquisition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55"/>
        </w:trPr>
        <w:tc>
          <w:tcPr>
            <w:tcW w:w="26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8,673</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2,902</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10,600</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shows the changes in stockholders' equity for the nine months ended September 30,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75"/>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($0.33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75"/>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replacement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awards</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140"/>
              <w:spacing w:after="0" w:line="176" w:lineRule="exact"/>
              <w:rPr>
                <w:sz w:val="20"/>
                <w:szCs w:val="20"/>
                <w:color w:val="auto"/>
              </w:rPr>
            </w:pPr>
            <w:r>
              <w:rPr>
                <w:rFonts w:ascii="Arial" w:cs="Arial" w:eastAsia="Arial" w:hAnsi="Arial"/>
                <w:sz w:val="18"/>
                <w:szCs w:val="18"/>
                <w:color w:val="auto"/>
              </w:rPr>
              <w:t>Dividends declared ($0.33 per</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9,910</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75"/>
        </w:trPr>
        <w:tc>
          <w:tcPr>
            <w:tcW w:w="2660" w:type="dxa"/>
            <w:vAlign w:val="bottom"/>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color w:val="auto"/>
              </w:rPr>
              <w:t>(loss), net</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($0.33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9,941</w:t>
            </w:r>
          </w:p>
        </w:tc>
        <w:tc>
          <w:tcPr>
            <w:tcW w:w="0" w:type="dxa"/>
            <w:vAlign w:val="bottom"/>
          </w:tcPr>
          <w:p>
            <w:pPr>
              <w:spacing w:after="0"/>
              <w:rPr>
                <w:sz w:val="1"/>
                <w:szCs w:val="1"/>
                <w:color w:val="auto"/>
              </w:rPr>
            </w:pPr>
          </w:p>
        </w:tc>
      </w:tr>
      <w:tr>
        <w:trPr>
          <w:trHeight w:val="23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 Plans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Share-based compensation expense was $12 million and $43 million during the three and nine months ended September 30, 2024, respectively, and $18 million and $45 million during the three and nine months ended September 30, 2023, respectively. The unrecognized compensation expense related to our stock options, restricted stock units and performance share units was $7 million, $43 million and $16 million, respectively, at September 30, 2024 and is expected to be recognized over a weighted average period of 2.0, 1.9 and 2.0 years, respectively. The amount of cash received from the exercise of stock options was $66 million and $45 million for the nine months ended September 30, 2024 and 2023, respectively.</w:t>
      </w:r>
    </w:p>
    <w:p>
      <w:pPr>
        <w:spacing w:after="0" w:line="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On May 24, 2023, there were an additional 2.7 million shares registered for issuance. As of September 30, 2024, there were approximately 5.3 million shares of common stock available for future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nine months ended September 30, 2024</w:t>
      </w:r>
      <w:r>
        <w:rPr>
          <w:rFonts w:ascii="Arial" w:cs="Arial" w:eastAsia="Arial" w:hAnsi="Arial"/>
          <w:sz w:val="16"/>
          <w:szCs w:val="16"/>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1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2"/>
                <w:szCs w:val="12"/>
                <w:color w:val="auto"/>
              </w:rPr>
            </w:pPr>
          </w:p>
        </w:tc>
        <w:tc>
          <w:tcPr>
            <w:tcW w:w="11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(Years)</w:t>
            </w:r>
          </w:p>
        </w:tc>
        <w:tc>
          <w:tcPr>
            <w:tcW w:w="140" w:type="dxa"/>
            <w:vAlign w:val="bottom"/>
          </w:tcPr>
          <w:p>
            <w:pPr>
              <w:spacing w:after="0"/>
              <w:rPr>
                <w:sz w:val="16"/>
                <w:szCs w:val="16"/>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127.94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Options exercisable at September 30, 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Vested and expected to vest as of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nine months ended September 30, 2024 was $73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employee exercise patterns, stock price volatility and changes in dividends. The following are weighted-average assumptions for 2024 grants:</w:t>
      </w:r>
    </w:p>
    <w:tbl>
      <w:tblPr>
        <w:tblLayout w:type="fixed"/>
        <w:tblInd w:w="0" w:type="dxa"/>
        <w:tblCellMar>
          <w:top w:w="0" w:type="dxa"/>
          <w:left w:w="0" w:type="dxa"/>
          <w:bottom w:w="0" w:type="dxa"/>
          <w:right w:w="0" w:type="dxa"/>
        </w:tblCellMar>
      </w:tblP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300" w:type="dxa"/>
            <w:vAlign w:val="bottom"/>
          </w:tcPr>
          <w:p>
            <w:pPr>
              <w:spacing w:after="0"/>
              <w:rPr>
                <w:sz w:val="19"/>
                <w:szCs w:val="19"/>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fair value / share</w:t>
            </w:r>
          </w:p>
        </w:tc>
        <w:tc>
          <w:tcPr>
            <w:tcW w:w="3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37.82</w:t>
            </w:r>
          </w:p>
        </w:tc>
        <w:tc>
          <w:tcPr>
            <w:tcW w:w="30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5" w:lineRule="exact"/>
        <w:rPr>
          <w:sz w:val="20"/>
          <w:szCs w:val="20"/>
          <w:color w:val="auto"/>
        </w:rPr>
      </w:pPr>
    </w:p>
    <w:p>
      <w:pPr>
        <w:ind w:right="360"/>
        <w:spacing w:after="0" w:line="279" w:lineRule="auto"/>
        <w:rPr>
          <w:sz w:val="20"/>
          <w:szCs w:val="20"/>
          <w:color w:val="auto"/>
        </w:rPr>
      </w:pPr>
      <w:r>
        <w:rPr>
          <w:rFonts w:ascii="Arial" w:cs="Arial" w:eastAsia="Arial" w:hAnsi="Arial"/>
          <w:sz w:val="18"/>
          <w:szCs w:val="18"/>
          <w:color w:val="auto"/>
        </w:rPr>
        <w:t>The following is a summary of restricted stock unit activity for the nine months ended September 30, 2024</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128.87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September 30,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111.01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ROIC and Adjusted EBITDA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ROIC and EBITDA grants for the nine months ended September 30, 2024. The fair value of the adjusted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EBITDA performance share units is equal to the closing share price on the date of the grant: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7"/>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127.94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102.51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September 30, 2024</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105.08</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firstLine="8"/>
        <w:spacing w:after="0" w:line="286"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ROIC performance share units awarded based on the final market condition achievement at the end of the performance period of such awards.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115"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following is a summary of our Total Shareholder Return ("TSR") performance share unit grants for the nine months ended September 30, 2024:</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181.80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117.67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September 30, 2024</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125.57</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40" w:firstLine="8"/>
        <w:spacing w:after="0" w:line="286" w:lineRule="auto"/>
        <w:tabs>
          <w:tab w:leader="none" w:pos="2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a decrease in the number of original TSR performance share units awarded based on the final market condition achievement at the end of the performance period of such awards.</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2024 grants: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47"/>
        </w:trPr>
        <w:tc>
          <w:tcPr>
            <w:tcW w:w="614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4.33</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Revenue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performance share unit grants for the nine months ended September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3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Share units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9"/>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29"/>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127.94</w:t>
            </w:r>
          </w:p>
        </w:tc>
        <w:tc>
          <w:tcPr>
            <w:tcW w:w="0" w:type="dxa"/>
            <w:vAlign w:val="bottom"/>
          </w:tcPr>
          <w:p>
            <w:pPr>
              <w:spacing w:after="0"/>
              <w:rPr>
                <w:sz w:val="1"/>
                <w:szCs w:val="1"/>
                <w:color w:val="auto"/>
              </w:rPr>
            </w:pPr>
          </w:p>
        </w:tc>
      </w:tr>
      <w:tr>
        <w:trPr>
          <w:trHeight w:val="230"/>
        </w:trPr>
        <w:tc>
          <w:tcPr>
            <w:tcW w:w="9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September 30, 2024</w:t>
            </w:r>
          </w:p>
        </w:tc>
        <w:tc>
          <w:tcPr>
            <w:tcW w:w="13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62.76</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Revenue performance share unit awards is determined using the closing price of our common stock on date of grant.</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the performance periods, the performance share units were awarded at a target of 100% with actual payout contingent upon the achievement of a pre-set, three-year adjusted ROIC performance target for ROIC performance share units, a third-year adjusted EBITDA performance target for adjusted EBITDA performance share units, a pre-set third year revenue target for Revenue performance share units and a relative TSR performance for TSR performance share units.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the three and nine months ended September 30, 2024, the Company repurchased less than 0.1 million shares of common stock for approximately $1 million and approximately 0.2 million shares of common stock for $19 million, respectively. For the three and nine months ended September 30, 2023, the Company repurchased less than 0.1 million shares of common stock for less than $1 million and approximately 0.1 million shares of common stock for $10 million, respectively. Repurchases include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There were no shares repurchased under the program for the three and nine months ended September 30, 2024 and September 30, 2023. There are up to $182 million in shares that may still be purchased under this plan as of September 30, 2024.</w:t>
      </w:r>
    </w:p>
    <w:p>
      <w:pPr>
        <w:spacing w:after="0" w:line="6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Aside from the aforementioned repurchase program, we repurchased less than 0.1 million shares and approximately 0.2 million shares for approximately $1 million and $19 million for the three and nine months ended September 30, 2024, respectively, in relation to settlement of employee tax withholding obligations due as a result of the vesting of restricted stock units. Likewise, we repurchased less than 0.1 million shares and approximately 0.1 million shares for less than $1 million and $10 million for the three and nine months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AOCL for the nine months ended September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unrealized gain on derivative hedge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2024</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provides the components of AOCL for the nine months ended September 30,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Amortization of actuarial gain on post-retirement benefit plans</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into other non-operating income, net</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March 31, 2023</w:t>
            </w:r>
          </w:p>
        </w:tc>
        <w:tc>
          <w:tcPr>
            <w:tcW w:w="22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Amortization of prior service cost and net actuarial gain on post-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retirement benefit plans into other non-operating income, net</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retirement benefit plans into other non-operating income, net</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See Note 6, "Income Taxes," of our condensed consolidated financial statements for a description of a pending tax litigation matter.</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$6 million and $18 million as of September 30, 2024 and December 31, 2023, respectively, for these general legal matters.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insurance-related requirements. As of September 30, 2024 and December 31, 2023, the amount of surety bonds, bank guarantees, insurance letters of credit, stand-by letters of credit as well as revenue and customs guarantees was $756 million and $729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$4 million as of September 30, 2024 and December 31, 2023 for environmental matters.</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15" w:lineRule="exact"/>
        <w:rPr>
          <w:sz w:val="20"/>
          <w:szCs w:val="20"/>
          <w:color w:val="auto"/>
        </w:rPr>
      </w:pPr>
    </w:p>
    <w:p>
      <w:pPr>
        <w:ind w:right="600"/>
        <w:spacing w:after="0" w:line="295" w:lineRule="auto"/>
        <w:rPr>
          <w:sz w:val="20"/>
          <w:szCs w:val="20"/>
          <w:color w:val="auto"/>
        </w:rPr>
      </w:pPr>
      <w:r>
        <w:rPr>
          <w:rFonts w:ascii="Arial" w:cs="Arial" w:eastAsia="Arial" w:hAnsi="Arial"/>
          <w:sz w:val="17"/>
          <w:szCs w:val="17"/>
          <w:color w:val="auto"/>
        </w:rPr>
        <w:t>We warrant numerous products, the terms of which vary widely. In general, we warrant products against defects and specific non-performance. The table below provides changes in the combined current and non-current product warranty accruals over each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2023</w:t>
            </w:r>
          </w:p>
        </w:tc>
      </w:tr>
      <w:tr>
        <w:trPr>
          <w:trHeight w:val="224"/>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673"/>
              <w:spacing w:after="0"/>
              <w:rPr>
                <w:sz w:val="20"/>
                <w:szCs w:val="20"/>
                <w:color w:val="auto"/>
              </w:rPr>
            </w:pPr>
            <w:r>
              <w:rPr>
                <w:rFonts w:ascii="Arial" w:cs="Arial" w:eastAsia="Arial" w:hAnsi="Arial"/>
                <w:sz w:val="18"/>
                <w:szCs w:val="18"/>
                <w:color w:val="auto"/>
                <w:w w:val="99"/>
              </w:rPr>
              <w:t>54</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center"/>
              <w:ind w:left="673"/>
              <w:spacing w:after="0"/>
              <w:rPr>
                <w:sz w:val="20"/>
                <w:szCs w:val="20"/>
                <w:color w:val="auto"/>
              </w:rPr>
            </w:pPr>
            <w:r>
              <w:rPr>
                <w:rFonts w:ascii="Arial" w:cs="Arial" w:eastAsia="Arial" w:hAnsi="Arial"/>
                <w:sz w:val="18"/>
                <w:szCs w:val="18"/>
                <w:color w:val="auto"/>
                <w:w w:val="99"/>
              </w:rPr>
              <w:t>22</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Evoqua additions from acquisition</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73"/>
              <w:spacing w:after="0"/>
              <w:rPr>
                <w:sz w:val="20"/>
                <w:szCs w:val="20"/>
                <w:color w:val="auto"/>
              </w:rPr>
            </w:pPr>
            <w:r>
              <w:rPr>
                <w:rFonts w:ascii="Arial" w:cs="Arial" w:eastAsia="Arial" w:hAnsi="Arial"/>
                <w:sz w:val="18"/>
                <w:szCs w:val="18"/>
                <w:color w:val="auto"/>
                <w:w w:val="99"/>
              </w:rPr>
              <w:t>10</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Settlement of warranty claims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73"/>
              <w:spacing w:after="0"/>
              <w:rPr>
                <w:sz w:val="20"/>
                <w:szCs w:val="20"/>
                <w:color w:val="auto"/>
              </w:rPr>
            </w:pPr>
            <w:r>
              <w:rPr>
                <w:rFonts w:ascii="Arial" w:cs="Arial" w:eastAsia="Arial" w:hAnsi="Arial"/>
                <w:sz w:val="18"/>
                <w:szCs w:val="18"/>
                <w:color w:val="auto"/>
                <w:w w:val="99"/>
              </w:rPr>
              <w:t>(22)</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Warranty accrual – September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673"/>
              <w:spacing w:after="0"/>
              <w:rPr>
                <w:sz w:val="20"/>
                <w:szCs w:val="20"/>
                <w:color w:val="auto"/>
              </w:rPr>
            </w:pPr>
            <w:r>
              <w:rPr>
                <w:rFonts w:ascii="Arial" w:cs="Arial" w:eastAsia="Arial" w:hAnsi="Arial"/>
                <w:sz w:val="18"/>
                <w:szCs w:val="18"/>
                <w:color w:val="auto"/>
                <w:w w:val="99"/>
              </w:rPr>
              <w:t>64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19. Segment Information</w:t>
      </w:r>
    </w:p>
    <w:p>
      <w:pPr>
        <w:spacing w:after="0" w:line="117"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Our business has four reportable segments: Water Infrastructure, Applied Water, Measurement and Control Solutions and Water Solutions and Services. The Water Infrastructure segment focuses on the transportation and treatment of water, offering a range of products including water, wastewater and storm water pumps, controls and systems; treatment equipment: filtration and separation, disinfection, wastewater solutions; anodes and electro chlorination technologies for municipal and industrial applications. The Applied Water segment serves many of the primary uses of water and focuses on the residential, commercial and industrial markets. The Applied Water segment's major products include pumps, valves, heat exchangers, controls and dispensing equipment. The Measurement and Control Solutions segment focuses on developing advanced technology solutions that enable intelligent use and conservation of critical water and energy resources as well as analytical instrumentation used in the testing of water. The Measurement and Control Solutions segment's major products include smart metering, networked communications, measurement and control technologies, critical infrastructure technologies, software and services including cloud-based analytics, and remote monitoring and data management. The Water Solutions and Services segment provides tailored services and solutions, in collaboration with customers and backed by life</w:t>
      </w:r>
      <w:r>
        <w:rPr>
          <w:rFonts w:ascii="MS PGothic" w:cs="MS PGothic" w:eastAsia="MS PGothic" w:hAnsi="MS PGothic"/>
          <w:sz w:val="18"/>
          <w:szCs w:val="18"/>
          <w:color w:val="auto"/>
        </w:rPr>
        <w:t>‑</w:t>
      </w:r>
      <w:r>
        <w:rPr>
          <w:rFonts w:ascii="Arial" w:cs="Arial" w:eastAsia="Arial" w:hAnsi="Arial"/>
          <w:sz w:val="18"/>
          <w:szCs w:val="18"/>
          <w:color w:val="auto"/>
        </w:rPr>
        <w:t>cycle 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 / 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as well as leak detection, condition assessment and asset management and pressure monitoring solutions.</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section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 1 in the 2023 Annual Report. The following table contains financial information for each reportable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5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2"/>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447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Water Solutions and Services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2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Water Solutions and Services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Total operating income</w:t>
            </w:r>
          </w:p>
        </w:tc>
        <w:tc>
          <w:tcPr>
            <w:tcW w:w="94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Other non-operating income, net</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sale of business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940" w:type="dxa"/>
            <w:vAlign w:val="bottom"/>
          </w:tcPr>
          <w:p>
            <w:pPr>
              <w:jc w:val="right"/>
              <w:ind w:right="733"/>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Solutions and Services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Water Solutions and Services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(a)</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Represents capital expenditures incurred by the Regional selling locations not allocated to the segments.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of September 30, 2024, the Company owned a 25.1% equity interest in Global Omnium Idrica, S.L. ("Idrica"), a leader in water data management and analytics, and accounted for this interest as an equity method investment. On October 29, 2024, the Company sent a notice to exercise the call option to Idrica pursuant to the amended shareholders' agreement to acquire an additional 35.9% equity interest for approximately €146 million ($163 million). The Company expects to close the transaction in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left="1560" w:right="1600" w:hanging="1538"/>
        <w:spacing w:after="0" w:line="249" w:lineRule="auto"/>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80"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4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inflation and related monetary policy by governments in response to inflation, and the strength of the residential and commercial real estate markets, on economic activity and our operations; geopolitical events, including the ongoing and possible escalation of the conflicts involving Russia and Ukraine, and the Middle East, as well as regulatory, economic and other risks associated with our global sales and operations, including those related to domestic content requirements applicable to projects receiving governmental funding; manufacturing and operating cost increases due to macroeconomic conditions, including inflation, energy supply, supply chain shortages, logistics challenges, tight labor markets, prevailing price changes, tariffs and other factors; demand for our products, disruption, competition or pricing pressures in the markets we serve; cybersecurity incidents or other disruptions of information technology systems on which we rely, or involving our connected products and services; lack of availability or delays in receiving parts and raw materials from our supply chain, including electronic components (in particular, semiconductors); disruptions in operations at our facilities or that of third parties upon which we rely; uncertainty related to the realization of the benefits and synergies from our acquisition of Evoqua Water Technologies Corp.; safe and compliant treatment and handling of water, wastewater and hazardous materials; failure to successfully execute large projects, including with respect to meeting performance guarantees and customers’ budgets, timelines and safety requirements; our ability to retain and attract leadership and other diverse and key talent, as well as competition for overall talent and labor; defects, security, warranty and liability claims, and recalls related to our products; uncertainty around restructuring and realignment actions and related costs and savings; our ability to execute strategic investments for growth, including related to acquisitions and divestitures; availability, regulation or interference with radio spectrum used by certain of our products; volatility in served markets or impacts on our business and operations due to weather conditions, including the effects of climate change; risks related to our sustainability commitments and related disclosures; fluctuations in foreign currency exchange rates; difficulty predicting our financial results; risk of future impairments to goodwill and other intangible assets; changes in our effective tax rates or tax expenses; financial market risks related to our pension and other defined benefit plans; failure to comply with, or changes in, laws or regulations, including those pertaining to our business conduct, operations, products and services, including anti-corruption, data privacy and security, trade, competition, the environment, climate change and health and safety; legal, governmental or regulatory claims, investigations or proceedings and associated contingent liabilities; matters related to intellectual property infringement or expiration of rights; and other factors set forth under “Item 1A. Risk Factors” in our Annual Report on Form 10-K for the year ended December 31, 2023 ("2023 Annual Report") and in subsequent filings we make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1" w:right="379" w:bottom="1440" w:gutter="0" w:footer="0" w:header="0"/>
        </w:sectPr>
      </w:pPr>
    </w:p>
    <w:bookmarkStart w:id="38" w:name="page39"/>
    <w:bookmarkEnd w:id="38"/>
    <w:p>
      <w:pPr>
        <w:ind w:right="60"/>
        <w:spacing w:after="0" w:line="255" w:lineRule="auto"/>
        <w:rPr>
          <w:sz w:val="20"/>
          <w:szCs w:val="20"/>
          <w:color w:val="auto"/>
        </w:rPr>
      </w:pPr>
      <w:r>
        <w:rPr>
          <w:rFonts w:ascii="Arial" w:cs="Arial" w:eastAsia="Arial" w:hAnsi="Arial"/>
          <w:sz w:val="18"/>
          <w:szCs w:val="18"/>
          <w:i w:val="1"/>
          <w:iCs w:val="1"/>
          <w:color w:val="auto"/>
        </w:rPr>
        <w:t>Forward-looking and other statements in this Report regarding our environmental and other sustainability plans and goals are not an indication that these statements are necessarily material to investors, to our business, operating results, financial condition, outlook, or strategy, to our impacts on sustainability matters or other parties,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solutions settings. Our broad portfolio of solutions addresses customer needs of scarcity, resilience, and affordability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 The Company announced a change to its reportable segments effective January 1, 2024, and as such, has recast prior period segment amounts to be on a comparative basis with the new segment reporting (refer to Note 1, "Background and Basis of Presentation").</w:t>
      </w:r>
    </w:p>
    <w:p>
      <w:pPr>
        <w:spacing w:after="0" w:line="77" w:lineRule="exact"/>
        <w:rPr>
          <w:sz w:val="20"/>
          <w:szCs w:val="20"/>
          <w:color w:val="auto"/>
        </w:rPr>
      </w:pPr>
    </w:p>
    <w:p>
      <w:pPr>
        <w:ind w:left="660" w:right="20" w:hanging="328"/>
        <w:spacing w:after="0" w:line="254" w:lineRule="auto"/>
        <w:tabs>
          <w:tab w:leader="none" w:pos="649" w:val="left"/>
        </w:tabs>
        <w:numPr>
          <w:ilvl w:val="0"/>
          <w:numId w:val="11"/>
        </w:numPr>
        <w:rPr>
          <w:rFonts w:ascii="Georgia" w:cs="Georgia" w:eastAsia="Georgia" w:hAnsi="Georgia"/>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The Water Infrastructure segment also provides a range of highly differentiated and scalable products and technologies with product offerings in the filtration and separation, disinfection, wastewater solutions, anode and electrochlorination technology, for municipal and industrial applications. In the Water Infrastructure segment, we provide the majority of our sales directly to customers along with strong applications expertise, while the remaining amount is through distribution partners.</w:t>
      </w:r>
    </w:p>
    <w:p>
      <w:pPr>
        <w:spacing w:after="0" w:line="76" w:lineRule="exact"/>
        <w:rPr>
          <w:rFonts w:ascii="Georgia" w:cs="Georgia" w:eastAsia="Georgia" w:hAnsi="Georgia"/>
          <w:sz w:val="18"/>
          <w:szCs w:val="18"/>
          <w:color w:val="auto"/>
        </w:rPr>
      </w:pPr>
    </w:p>
    <w:p>
      <w:pPr>
        <w:ind w:left="660" w:right="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solutions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4"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and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including cloud-based analytics, and remote monitoring and data management.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9" w:name="page40"/>
    <w:bookmarkEnd w:id="39"/>
    <w:p>
      <w:pPr>
        <w:ind w:left="660" w:right="40" w:hanging="328"/>
        <w:spacing w:after="0" w:line="226" w:lineRule="exact"/>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Water Solutions and Services </w:t>
      </w:r>
      <w:r>
        <w:rPr>
          <w:rFonts w:ascii="Arial" w:cs="Arial" w:eastAsia="Arial" w:hAnsi="Arial"/>
          <w:sz w:val="18"/>
          <w:szCs w:val="18"/>
          <w:color w:val="auto"/>
        </w:rPr>
        <w:t>provides tailored services and solutions, in collaboration with customers,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w:t>
      </w:r>
      <w:r>
        <w:rPr>
          <w:rFonts w:ascii="Arial" w:cs="Arial" w:eastAsia="Arial" w:hAnsi="Arial"/>
          <w:sz w:val="18"/>
          <w:szCs w:val="18"/>
          <w:i w:val="1"/>
          <w:iCs w:val="1"/>
          <w:color w:val="auto"/>
        </w:rPr>
        <w:t xml:space="preserve"> </w:t>
      </w:r>
      <w:r>
        <w:rPr>
          <w:rFonts w:ascii="Arial" w:cs="Arial" w:eastAsia="Arial" w:hAnsi="Arial"/>
          <w:sz w:val="18"/>
          <w:szCs w:val="18"/>
          <w:color w:val="auto"/>
        </w:rPr>
        <w:t>outsourced water, recycle / 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as well as leak detection, condition assessment and asset management and pressure monitoring solutions.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Evoqua Acquisition</w:t>
      </w:r>
    </w:p>
    <w:p>
      <w:pPr>
        <w:spacing w:after="0" w:line="115"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On May 24, 2023, Xylem completed the acquisition of Evoqua. Commencing from the acquisition date, Xylem’s financial statements include the assets, liabilities, operating results and cash flows of Evoqua. Refer to Note 3, "Acquisitions and Divestitures," for additional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Xylem reported revenue for the third quarter of 2024 of $2,104 million, an increase of 1.3% compared to $2,076 million reported in the third quarter of 2023. The revenue increase consisted primarily of organic growth of 1.1% driven by strong execution and demand in our Measurement and Control Solutions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September 30, 2024 include the following:</w:t>
      </w:r>
    </w:p>
    <w:p>
      <w:pPr>
        <w:spacing w:after="0" w:line="11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Orders of $2,201 million, up 8.4% from $2,031 million in the prior year period, and up 8.2% on an organic basis.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per share of $0.89, up 41.3% compared to prior year ($1.11, up 12.1% versus prior year, on an adjusted basis).</w:t>
      </w:r>
    </w:p>
    <w:p>
      <w:pPr>
        <w:spacing w:after="0" w:line="117" w:lineRule="exact"/>
        <w:rPr>
          <w:rFonts w:ascii="Arial" w:cs="Arial" w:eastAsia="Arial" w:hAnsi="Arial"/>
          <w:sz w:val="18"/>
          <w:szCs w:val="18"/>
          <w:color w:val="auto"/>
        </w:rPr>
      </w:pPr>
    </w:p>
    <w:p>
      <w:pPr>
        <w:ind w:left="340" w:right="420" w:hanging="332"/>
        <w:spacing w:after="0" w:line="28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as a percent of revenue of 10.3%, up 300 basis points compared to 7.3% in the prior year. Adjusted EBITDA margin of 21.2%, up 140 basis points when compared to 19.8%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61"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spacing w:after="0" w:line="79" w:lineRule="exact"/>
        <w:rPr>
          <w:sz w:val="20"/>
          <w:szCs w:val="20"/>
          <w:color w:val="auto"/>
        </w:rPr>
      </w:pPr>
    </w:p>
    <w:p>
      <w:pPr>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71"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62"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amortization of acquired intangible assets, gain or loss from the sale of businesses, special charges and tax-related special items, as applicable. A reconciliation of adjusted net income and adjusted earnings per share is provided below.</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2024</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ind w:left="140"/>
              <w:spacing w:after="0" w:line="157" w:lineRule="exact"/>
              <w:rPr>
                <w:sz w:val="20"/>
                <w:szCs w:val="20"/>
                <w:color w:val="auto"/>
              </w:rPr>
            </w:pPr>
            <w:r>
              <w:rPr>
                <w:rFonts w:ascii="Arial" w:cs="Arial" w:eastAsia="Arial" w:hAnsi="Arial"/>
                <w:sz w:val="18"/>
                <w:szCs w:val="18"/>
                <w:b w:val="1"/>
                <w:bCs w:val="1"/>
                <w:color w:val="auto"/>
              </w:rPr>
              <w:t>Net income &amp; Earnings per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3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2.32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share</w:t>
            </w:r>
          </w:p>
        </w:tc>
        <w:tc>
          <w:tcPr>
            <w:tcW w:w="20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360" w:type="dxa"/>
            <w:vAlign w:val="bottom"/>
            <w:gridSpan w:val="3"/>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Acquired intangible</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0.67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Special charges (a)</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Tax-related special items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75"/>
        </w:trPr>
        <w:tc>
          <w:tcPr>
            <w:tcW w:w="2600" w:type="dxa"/>
            <w:vAlign w:val="bottom"/>
          </w:tcPr>
          <w:p>
            <w:pPr>
              <w:ind w:left="140"/>
              <w:spacing w:after="0" w:line="176" w:lineRule="exact"/>
              <w:rPr>
                <w:sz w:val="20"/>
                <w:szCs w:val="20"/>
                <w:color w:val="auto"/>
              </w:rPr>
            </w:pPr>
            <w:r>
              <w:rPr>
                <w:rFonts w:ascii="Arial" w:cs="Arial" w:eastAsia="Arial" w:hAnsi="Arial"/>
                <w:sz w:val="18"/>
                <w:szCs w:val="18"/>
                <w:color w:val="auto"/>
              </w:rPr>
              <w:t>(Gain) loss from sale of</w:t>
            </w: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0.02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00" w:type="dxa"/>
            <w:vAlign w:val="bottom"/>
          </w:tcPr>
          <w:p>
            <w:pPr>
              <w:ind w:left="140"/>
              <w:spacing w:after="0"/>
              <w:rPr>
                <w:sz w:val="20"/>
                <w:szCs w:val="20"/>
                <w:color w:val="auto"/>
              </w:rPr>
            </w:pPr>
            <w:r>
              <w:rPr>
                <w:rFonts w:ascii="Arial" w:cs="Arial" w:eastAsia="Arial" w:hAnsi="Arial"/>
                <w:sz w:val="18"/>
                <w:szCs w:val="18"/>
                <w:color w:val="auto"/>
              </w:rPr>
              <w:t>business</w:t>
            </w:r>
          </w:p>
        </w:tc>
        <w:tc>
          <w:tcPr>
            <w:tcW w:w="20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effects of adjustments (b)</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(0.24)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155"/>
        </w:trPr>
        <w:tc>
          <w:tcPr>
            <w:tcW w:w="2600" w:type="dxa"/>
            <w:vAlign w:val="bottom"/>
          </w:tcPr>
          <w:p>
            <w:pPr>
              <w:ind w:left="140"/>
              <w:spacing w:after="0" w:line="156" w:lineRule="exact"/>
              <w:rPr>
                <w:sz w:val="20"/>
                <w:szCs w:val="20"/>
                <w:color w:val="auto"/>
              </w:rPr>
            </w:pPr>
            <w:r>
              <w:rPr>
                <w:rFonts w:ascii="Arial" w:cs="Arial" w:eastAsia="Arial" w:hAnsi="Arial"/>
                <w:sz w:val="18"/>
                <w:szCs w:val="18"/>
                <w:b w:val="1"/>
                <w:bCs w:val="1"/>
                <w:color w:val="auto"/>
              </w:rPr>
              <w:t>Adjusted net income &amp;</w:t>
            </w: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269</w:t>
            </w:r>
          </w:p>
        </w:tc>
        <w:tc>
          <w:tcPr>
            <w:tcW w:w="3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1.11</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754</w:t>
            </w:r>
          </w:p>
        </w:tc>
        <w:tc>
          <w:tcPr>
            <w:tcW w:w="100" w:type="dxa"/>
            <w:vAlign w:val="bottom"/>
          </w:tcPr>
          <w:p>
            <w:pPr>
              <w:spacing w:after="0"/>
              <w:rPr>
                <w:sz w:val="13"/>
                <w:szCs w:val="13"/>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3.10</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40"/>
              <w:spacing w:after="0"/>
              <w:rPr>
                <w:sz w:val="20"/>
                <w:szCs w:val="20"/>
                <w:color w:val="auto"/>
              </w:rPr>
            </w:pPr>
            <w:r>
              <w:rPr>
                <w:rFonts w:ascii="Arial" w:cs="Arial" w:eastAsia="Arial" w:hAnsi="Arial"/>
                <w:sz w:val="18"/>
                <w:szCs w:val="18"/>
                <w:b w:val="1"/>
                <w:bCs w:val="1"/>
                <w:color w:val="auto"/>
              </w:rPr>
              <w:t>Adjusted earnings per share $</w:t>
            </w:r>
          </w:p>
        </w:tc>
        <w:tc>
          <w:tcPr>
            <w:tcW w:w="600" w:type="dxa"/>
            <w:vAlign w:val="bottom"/>
            <w:vMerge w:val="continue"/>
          </w:tcPr>
          <w:p>
            <w:pPr>
              <w:spacing w:after="0"/>
              <w:rPr>
                <w:sz w:val="18"/>
                <w:szCs w:val="18"/>
                <w:color w:val="auto"/>
              </w:rPr>
            </w:pPr>
          </w:p>
        </w:tc>
        <w:tc>
          <w:tcPr>
            <w:tcW w:w="36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0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b w:val="1"/>
                <w:bCs w:val="1"/>
                <w:color w:val="auto"/>
              </w:rPr>
              <w:t>Weighted average number</w:t>
            </w:r>
          </w:p>
        </w:tc>
        <w:tc>
          <w:tcPr>
            <w:tcW w:w="2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243.8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243.4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of shares - diluted</w:t>
            </w:r>
          </w:p>
        </w:tc>
        <w:tc>
          <w:tcPr>
            <w:tcW w:w="20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ind w:left="348" w:right="420" w:hanging="6"/>
        <w:spacing w:after="0" w:line="271" w:lineRule="auto"/>
        <w:tabs>
          <w:tab w:leader="none" w:pos="6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special charges for the three and nine months ended September 30, 2024 and 2023 consist primarily of acquisition and integration costs related to the Evoqua transaction.</w:t>
      </w:r>
    </w:p>
    <w:p>
      <w:pPr>
        <w:spacing w:after="0" w:line="5" w:lineRule="exact"/>
        <w:rPr>
          <w:rFonts w:ascii="Arial" w:cs="Arial" w:eastAsia="Arial" w:hAnsi="Arial"/>
          <w:sz w:val="18"/>
          <w:szCs w:val="18"/>
          <w:color w:val="auto"/>
        </w:rPr>
      </w:pPr>
    </w:p>
    <w:p>
      <w:pPr>
        <w:ind w:left="348" w:right="380" w:hanging="6"/>
        <w:spacing w:after="0" w:line="271" w:lineRule="auto"/>
        <w:tabs>
          <w:tab w:leader="none" w:pos="6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tax effects of adjustments are calculated using the statutory tax rate, taking into consideration the nature of the item and the relevant taxing jurisdiction.</w:t>
      </w:r>
    </w:p>
    <w:p>
      <w:pPr>
        <w:spacing w:after="0" w:line="180" w:lineRule="exact"/>
        <w:rPr>
          <w:rFonts w:ascii="Arial" w:cs="Arial" w:eastAsia="Arial" w:hAnsi="Arial"/>
          <w:sz w:val="18"/>
          <w:szCs w:val="18"/>
          <w:color w:val="auto"/>
        </w:rPr>
      </w:pPr>
    </w:p>
    <w:p>
      <w:pPr>
        <w:ind w:left="328" w:right="600" w:hanging="328"/>
        <w:spacing w:after="0" w:line="287"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amortization of acquired intangible assets, restructuring and realignment costs and special charges.</w:t>
      </w:r>
    </w:p>
    <w:p>
      <w:pPr>
        <w:spacing w:after="0" w:line="44" w:lineRule="exact"/>
        <w:rPr>
          <w:rFonts w:ascii="Arial" w:cs="Arial" w:eastAsia="Arial" w:hAnsi="Arial"/>
          <w:sz w:val="18"/>
          <w:szCs w:val="18"/>
          <w:color w:val="auto"/>
        </w:rPr>
      </w:pPr>
    </w:p>
    <w:p>
      <w:pPr>
        <w:ind w:left="328" w:right="200" w:hanging="328"/>
        <w:spacing w:after="0" w:line="268"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amortization of acquired intangible assets, and special charges, as applicable; and "adjusted operating margin" defined as adjusted operating income divided by total revenue.</w:t>
      </w:r>
    </w:p>
    <w:p>
      <w:pPr>
        <w:spacing w:after="0" w:line="62" w:lineRule="exact"/>
        <w:rPr>
          <w:rFonts w:ascii="Arial" w:cs="Arial" w:eastAsia="Arial" w:hAnsi="Arial"/>
          <w:sz w:val="18"/>
          <w:szCs w:val="18"/>
          <w:color w:val="auto"/>
        </w:rPr>
      </w:pPr>
    </w:p>
    <w:p>
      <w:pPr>
        <w:ind w:left="328" w:right="60" w:hanging="328"/>
        <w:spacing w:after="0" w:line="268"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"adjusted EBITDA" reflects the adjustment to EBITDA to exclude share-based compensation charges, restructuring and realignment costs, gain or loss from sale of businesses and special charges, and "adjusted EBITDA margin" defined as adjusted EBITDA divided by total revenue.</w:t>
      </w:r>
    </w:p>
    <w:p>
      <w:pPr>
        <w:spacing w:after="0" w:line="62" w:lineRule="exact"/>
        <w:rPr>
          <w:rFonts w:ascii="Arial" w:cs="Arial" w:eastAsia="Arial" w:hAnsi="Arial"/>
          <w:sz w:val="18"/>
          <w:szCs w:val="18"/>
          <w:color w:val="auto"/>
        </w:rPr>
      </w:pPr>
    </w:p>
    <w:p>
      <w:pPr>
        <w:ind w:left="328" w:right="320" w:hanging="328"/>
        <w:spacing w:after="0" w:line="287"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44" w:lineRule="exact"/>
        <w:rPr>
          <w:rFonts w:ascii="Arial" w:cs="Arial" w:eastAsia="Arial" w:hAnsi="Arial"/>
          <w:sz w:val="18"/>
          <w:szCs w:val="18"/>
          <w:color w:val="auto"/>
        </w:rPr>
      </w:pPr>
    </w:p>
    <w:p>
      <w:pPr>
        <w:ind w:left="328" w:right="280" w:hanging="328"/>
        <w:spacing w:after="0" w:line="287" w:lineRule="auto"/>
        <w:tabs>
          <w:tab w:leader="none" w:pos="317" w:val="left"/>
        </w:tabs>
        <w:numPr>
          <w:ilvl w:val="0"/>
          <w:numId w:val="15"/>
        </w:numPr>
        <w:rPr>
          <w:rFonts w:ascii="Arial" w:cs="Arial" w:eastAsia="Arial" w:hAnsi="Arial"/>
          <w:sz w:val="16"/>
          <w:szCs w:val="16"/>
          <w:color w:val="auto"/>
        </w:rPr>
      </w:pPr>
      <w:r>
        <w:rPr>
          <w:rFonts w:ascii="Arial" w:cs="Arial" w:eastAsia="Arial" w:hAnsi="Arial"/>
          <w:sz w:val="18"/>
          <w:szCs w:val="18"/>
          <w:color w:val="auto"/>
        </w:rPr>
        <w:t>“special charges" defined as non-recurring costs incurred by the Company, such as those related to acquisitions and integrations, divestitures and non-cash impairment charges.</w:t>
      </w:r>
    </w:p>
    <w:p>
      <w:pPr>
        <w:spacing w:after="0" w:line="44" w:lineRule="exact"/>
        <w:rPr>
          <w:rFonts w:ascii="Arial" w:cs="Arial" w:eastAsia="Arial" w:hAnsi="Arial"/>
          <w:sz w:val="16"/>
          <w:szCs w:val="16"/>
          <w:color w:val="auto"/>
        </w:rPr>
      </w:pPr>
    </w:p>
    <w:p>
      <w:pPr>
        <w:ind w:left="328" w:right="480" w:hanging="328"/>
        <w:spacing w:after="0" w:line="287"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44" w:lineRule="exact"/>
        <w:rPr>
          <w:rFonts w:ascii="Arial" w:cs="Arial" w:eastAsia="Arial" w:hAnsi="Arial"/>
          <w:sz w:val="18"/>
          <w:szCs w:val="18"/>
          <w:color w:val="auto"/>
        </w:rPr>
      </w:pPr>
    </w:p>
    <w:p>
      <w:pPr>
        <w:ind w:left="328" w:hanging="328"/>
        <w:spacing w:after="0" w:line="268"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Condensed Consolidated Statement of Cash Flows, less capital expenditures. Our definition of "free cash flow" does not consider certain non-discretionary cash payments, such as debt. The following table provides a reconciliation of free cash flow.</w:t>
      </w:r>
    </w:p>
    <w:p>
      <w:pPr>
        <w:spacing w:after="0" w:line="113" w:lineRule="exact"/>
        <w:rPr>
          <w:sz w:val="20"/>
          <w:szCs w:val="20"/>
          <w:color w:val="auto"/>
        </w:rPr>
      </w:pPr>
    </w:p>
    <w:tbl>
      <w:tblPr>
        <w:tblLayout w:type="fixed"/>
        <w:tblInd w:w="248"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center"/>
              <w:ind w:left="717"/>
              <w:spacing w:after="0"/>
              <w:rPr>
                <w:sz w:val="20"/>
                <w:szCs w:val="20"/>
                <w:color w:val="auto"/>
              </w:rPr>
            </w:pPr>
            <w:r>
              <w:rPr>
                <w:rFonts w:ascii="Arial" w:cs="Arial" w:eastAsia="Arial" w:hAnsi="Arial"/>
                <w:sz w:val="18"/>
                <w:szCs w:val="18"/>
                <w:b w:val="1"/>
                <w:bCs w:val="1"/>
                <w:color w:val="auto"/>
                <w:w w:val="99"/>
              </w:rPr>
              <w:t>688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Capital expenditures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17"/>
              <w:spacing w:after="0"/>
              <w:rPr>
                <w:sz w:val="20"/>
                <w:szCs w:val="20"/>
                <w:color w:val="auto"/>
              </w:rPr>
            </w:pPr>
            <w:r>
              <w:rPr>
                <w:rFonts w:ascii="Arial" w:cs="Arial" w:eastAsia="Arial" w:hAnsi="Arial"/>
                <w:sz w:val="18"/>
                <w:szCs w:val="18"/>
                <w:b w:val="1"/>
                <w:bCs w:val="1"/>
                <w:color w:val="auto"/>
                <w:w w:val="99"/>
              </w:rPr>
              <w:t>(221)</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Free cash flow</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center"/>
              <w:ind w:left="717"/>
              <w:spacing w:after="0"/>
              <w:rPr>
                <w:sz w:val="20"/>
                <w:szCs w:val="20"/>
                <w:color w:val="auto"/>
              </w:rPr>
            </w:pPr>
            <w:r>
              <w:rPr>
                <w:rFonts w:ascii="Arial" w:cs="Arial" w:eastAsia="Arial" w:hAnsi="Arial"/>
                <w:sz w:val="18"/>
                <w:szCs w:val="18"/>
                <w:b w:val="1"/>
                <w:bCs w:val="1"/>
                <w:color w:val="auto"/>
                <w:w w:val="99"/>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center"/>
              <w:ind w:left="717"/>
              <w:spacing w:after="0" w:line="203" w:lineRule="exact"/>
              <w:rPr>
                <w:sz w:val="20"/>
                <w:szCs w:val="20"/>
                <w:color w:val="auto"/>
              </w:rPr>
            </w:pPr>
            <w:r>
              <w:rPr>
                <w:rFonts w:ascii="Arial" w:cs="Arial" w:eastAsia="Arial" w:hAnsi="Arial"/>
                <w:sz w:val="18"/>
                <w:szCs w:val="18"/>
                <w:b w:val="1"/>
                <w:bCs w:val="1"/>
                <w:color w:val="auto"/>
                <w:w w:val="99"/>
              </w:rPr>
              <w:t>(193)</w:t>
            </w:r>
          </w:p>
        </w:tc>
        <w:tc>
          <w:tcPr>
            <w:tcW w:w="120" w:type="dxa"/>
            <w:vAlign w:val="bottom"/>
          </w:tcPr>
          <w:p>
            <w:pPr>
              <w:spacing w:after="0"/>
              <w:rPr>
                <w:sz w:val="17"/>
                <w:szCs w:val="17"/>
                <w:color w:val="auto"/>
              </w:rPr>
            </w:pPr>
          </w:p>
        </w:tc>
        <w:tc>
          <w:tcPr>
            <w:tcW w:w="640" w:type="dxa"/>
            <w:vAlign w:val="bottom"/>
          </w:tcPr>
          <w:p>
            <w:pPr>
              <w:jc w:val="right"/>
              <w:ind w:right="43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center"/>
              <w:ind w:left="717"/>
              <w:spacing w:after="0"/>
              <w:rPr>
                <w:sz w:val="20"/>
                <w:szCs w:val="20"/>
                <w:color w:val="auto"/>
              </w:rPr>
            </w:pPr>
            <w:r>
              <w:rPr>
                <w:rFonts w:ascii="Arial" w:cs="Arial" w:eastAsia="Arial" w:hAnsi="Arial"/>
                <w:sz w:val="18"/>
                <w:szCs w:val="18"/>
                <w:b w:val="1"/>
                <w:bCs w:val="1"/>
                <w:color w:val="auto"/>
                <w:w w:val="99"/>
              </w:rPr>
              <w:t>(520)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72"/>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255"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6,306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784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2,355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 bp</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1,613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(360) bp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(340) bp</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46.6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742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68.3</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Arial" w:cs="Arial" w:eastAsia="Arial" w:hAnsi="Arial"/>
                <w:sz w:val="18"/>
                <w:szCs w:val="18"/>
                <w:color w:val="auto"/>
              </w:rPr>
              <w:t>Interest and other non-operating</w:t>
            </w:r>
          </w:p>
        </w:tc>
        <w:tc>
          <w:tcPr>
            <w:tcW w:w="280" w:type="dxa"/>
            <w:vAlign w:val="bottom"/>
          </w:tcPr>
          <w:p>
            <w:pPr>
              <w:spacing w:after="0"/>
              <w:rPr>
                <w:sz w:val="15"/>
                <w:szCs w:val="15"/>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ind w:right="15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8"/>
                <w:szCs w:val="18"/>
                <w:color w:val="auto"/>
              </w:rPr>
              <w:t>50.0</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ind w:right="15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sale of businesses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57.6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Tax rate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247"/>
        </w:trPr>
        <w:tc>
          <w:tcPr>
            <w:tcW w:w="3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42.8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564</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64.4</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 generated during the three and nine months ended September 30, 2024 was $ 2,104 million and $6,306 million, respectively, reflecting an increase of $28 million, or 1.3%, and $1,060 million, or 20.2%, respectively, compared to the prior year. Revenue growth contributed by acquisitions and divestitures, net, was $0 million for the three months ended and $782 million for the nine months ended September 30, 2024, respectively. Organic revenue increased $22 million, or 1.1%, and $283 million, or 5.4%, for the three and nine months ended September 30, 2024. Foreign currency translation had a favorable impact on revenue of $6 million and an unfavorable impact on revenue of $5 million, for the three and nine months ended September 30, 2024 respectively. The increases in organic revenue reflect strong organic growth in the U.S., and other North America, partially offset by organic declines in western Europe and the emerging markets for the three months ended September 30, 2024, and strong organic growth across all major regions, led by the U.S., for the nine months ended September 30, 2024.</w:t>
      </w:r>
    </w:p>
    <w:p>
      <w:pPr>
        <w:spacing w:after="0" w:line="7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the three and nine months ended September 30, 2024:</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3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Water Infrastructure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Applied Water</w:t>
            </w:r>
          </w:p>
        </w:tc>
        <w:tc>
          <w:tcPr>
            <w:tcW w:w="1860" w:type="dxa"/>
            <w:vAlign w:val="bottom"/>
          </w:tcPr>
          <w:p>
            <w:pPr>
              <w:ind w:left="340"/>
              <w:spacing w:after="0"/>
              <w:rPr>
                <w:sz w:val="20"/>
                <w:szCs w:val="20"/>
                <w:color w:val="auto"/>
              </w:rPr>
            </w:pPr>
            <w:r>
              <w:rPr>
                <w:rFonts w:ascii="Arial" w:cs="Arial" w:eastAsia="Arial" w:hAnsi="Arial"/>
                <w:sz w:val="14"/>
                <w:szCs w:val="14"/>
                <w:b w:val="1"/>
                <w:bCs w:val="1"/>
                <w:color w:val="auto"/>
              </w:rPr>
              <w:t>Measurement and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36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860" w:type="dxa"/>
            <w:vAlign w:val="bottom"/>
          </w:tcPr>
          <w:p>
            <w:pPr>
              <w:ind w:left="340"/>
              <w:spacing w:after="0"/>
              <w:rPr>
                <w:sz w:val="20"/>
                <w:szCs w:val="20"/>
                <w:color w:val="auto"/>
              </w:rPr>
            </w:pPr>
            <w:r>
              <w:rPr>
                <w:rFonts w:ascii="Arial" w:cs="Arial" w:eastAsia="Arial" w:hAnsi="Arial"/>
                <w:sz w:val="14"/>
                <w:szCs w:val="14"/>
                <w:b w:val="1"/>
                <w:bCs w:val="1"/>
                <w:color w:val="auto"/>
              </w:rPr>
              <w:t>Control Solutions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Arial" w:cs="Arial" w:eastAsia="Arial" w:hAnsi="Arial"/>
                <w:sz w:val="14"/>
                <w:szCs w:val="14"/>
                <w:color w:val="auto"/>
              </w:rPr>
              <w:t>(in millions)</w:t>
            </w:r>
          </w:p>
        </w:tc>
        <w:tc>
          <w:tcPr>
            <w:tcW w:w="2360" w:type="dxa"/>
            <w:vAlign w:val="bottom"/>
          </w:tcPr>
          <w:p>
            <w:pPr>
              <w:ind w:left="680"/>
              <w:spacing w:after="0"/>
              <w:rPr>
                <w:sz w:val="20"/>
                <w:szCs w:val="20"/>
                <w:color w:val="auto"/>
              </w:rPr>
            </w:pPr>
            <w:r>
              <w:rPr>
                <w:rFonts w:ascii="Arial" w:cs="Arial" w:eastAsia="Arial" w:hAnsi="Arial"/>
                <w:sz w:val="14"/>
                <w:szCs w:val="14"/>
                <w:color w:val="auto"/>
              </w:rPr>
              <w:t>$ Change   % Change</w:t>
            </w:r>
          </w:p>
        </w:tc>
        <w:tc>
          <w:tcPr>
            <w:tcW w:w="184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60" w:type="dxa"/>
            <w:vAlign w:val="bottom"/>
          </w:tcPr>
          <w:p>
            <w:pPr>
              <w:ind w:left="160"/>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940" w:type="dxa"/>
            <w:vAlign w:val="bottom"/>
          </w:tcPr>
          <w:p>
            <w:pPr>
              <w:ind w:left="180"/>
              <w:spacing w:after="0"/>
              <w:rPr>
                <w:sz w:val="20"/>
                <w:szCs w:val="20"/>
                <w:color w:val="auto"/>
              </w:rPr>
            </w:pPr>
            <w:r>
              <w:rPr>
                <w:rFonts w:ascii="Arial" w:cs="Arial" w:eastAsia="Arial" w:hAnsi="Arial"/>
                <w:sz w:val="14"/>
                <w:szCs w:val="14"/>
                <w:color w:val="auto"/>
              </w:rPr>
              <w:t>$ Change</w:t>
            </w:r>
          </w:p>
        </w:tc>
        <w:tc>
          <w:tcPr>
            <w:tcW w:w="800" w:type="dxa"/>
            <w:vAlign w:val="bottom"/>
          </w:tcPr>
          <w:p>
            <w:pPr>
              <w:ind w:left="140"/>
              <w:spacing w:after="0"/>
              <w:rPr>
                <w:sz w:val="20"/>
                <w:szCs w:val="20"/>
                <w:color w:val="auto"/>
              </w:rPr>
            </w:pPr>
            <w:r>
              <w:rPr>
                <w:rFonts w:ascii="Arial" w:cs="Arial" w:eastAsia="Arial" w:hAnsi="Arial"/>
                <w:sz w:val="14"/>
                <w:szCs w:val="14"/>
                <w:color w:val="auto"/>
                <w:w w:val="97"/>
              </w:rPr>
              <w:t>%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9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6"/>
                <w:szCs w:val="16"/>
                <w:color w:val="auto"/>
              </w:rPr>
              <w:t>Organic Growth</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940" w:type="dxa"/>
            <w:vAlign w:val="bottom"/>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98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revenue</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2024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2,104</w:t>
            </w: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360" w:hanging="332"/>
        <w:spacing w:after="0" w:line="286"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strengthening in value of various currencies against the U.S. Dollar, the largest being the British Pound and the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tbl>
      <w:tblPr>
        <w:tblLayout w:type="fixed"/>
        <w:tblInd w:w="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34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rPr>
              <w:t>Water Infrastructure</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Applied Water</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Measurement and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48"/>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8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720" w:type="dxa"/>
            <w:vAlign w:val="bottom"/>
          </w:tcPr>
          <w:p>
            <w:pPr>
              <w:jc w:val="center"/>
              <w:ind w:left="10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6"/>
                <w:szCs w:val="16"/>
                <w:color w:val="auto"/>
              </w:rPr>
              <w:t>Organic Growth</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92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w:t>
            </w:r>
          </w:p>
        </w:tc>
        <w:tc>
          <w:tcPr>
            <w:tcW w:w="960" w:type="dxa"/>
            <w:vAlign w:val="bottom"/>
          </w:tcPr>
          <w:p>
            <w:pPr>
              <w:jc w:val="right"/>
              <w:spacing w:after="0"/>
              <w:rPr>
                <w:sz w:val="20"/>
                <w:szCs w:val="20"/>
                <w:color w:val="auto"/>
              </w:rPr>
            </w:pPr>
            <w:r>
              <w:rPr>
                <w:rFonts w:ascii="Arial" w:cs="Arial" w:eastAsia="Arial" w:hAnsi="Arial"/>
                <w:sz w:val="18"/>
                <w:szCs w:val="18"/>
                <w:color w:val="auto"/>
              </w:rPr>
              <w:t>19.3 %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94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w:t>
            </w:r>
          </w:p>
        </w:tc>
        <w:tc>
          <w:tcPr>
            <w:tcW w:w="96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19.3 %</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revenue</w:t>
            </w: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9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9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19.3 %</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53.2 %</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9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2024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1,828</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1,339</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1,737</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6,306</w:t>
            </w: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80" w:hanging="332"/>
        <w:spacing w:after="0" w:line="286"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Chinese Yuan, Chilean Peso, Canadian Dollar and the Egyptian pound, offset by the strengthening in the British Pound.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Water Infrastructure revenue increased $11 million, or 1.8%, for the third quarter of 2024 as compared to the prior year. Revenue growth for the quarter included organic revenue growth of $6 million, or 1.0% and $5 million of favorable impacts from foreign currency translation. The transport application contributed $15 million of organic revenue growth, driven by strength across all of our major geographic regions and other North America. Growth was led by western Europe due to increased revenue from capital projects, and price realization. Organic revenue for the treatment applications decreased by $9 million, with declines across all major geographic regions, led by declines in the U.S. driven by project timing.</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September 30, 2024, revenue increased $287 million, or 18.6% as compared to the prior year. Revenue growth contributed by acquisitions was $221 million, with the remainder of the increase coming from organic revenue growth of $66 million, or 4.3%. The transport application had $53 million of organic revenue growth, driven by strength in all of our major geographic regions, driven by backlog execution, infrastructure projects, and price realization in western Europe, the U.S. and other North America. Organic revenue for the treatment applications grew by $13 million, led by increased sales volume in the U.S. and project revenue in other Asia Pacific.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Applied Water revenue decreased $18 million, or 3.9%, for the third quarter of 2024 as compared to the prior year. Revenue was positively impacted by $2 million of foreign currency translation, with the change at constant currency coming entirely from an organic decline of $20 million, or 4.3%. Organic weakness was driven by declines in both the building solutions and industrial applications. Building solutions organic revenue decreased by $ 13 million due to softness across all major geographic regions, led by the U.S. Industrial organic revenue declined $7 million as a result of softness in the emerging markets and western Europe, partially offset by modest organic growth in the U.S.</w:t>
      </w:r>
    </w:p>
    <w:p>
      <w:pPr>
        <w:spacing w:after="0" w:line="71"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For the nine months ended September 30, 2024, revenue decreased $ 57 million, or 4.1% as compared to the prior year. Revenue was negatively impacted by $1 million of foreign currency translation during the nine month period, with the change at constant currency coming entirely from organic declines of $56 million, or 4.0%. Organic weakness was driven by declines in both the industrial and building solutions applications. Industrial organic revenue decreased by $30 million due to timing of projects in the emerging markets and softness in the U.S. and western Europe. Organic revenue from building solutions declined $26 million as a result of softness in the U.S. and western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Measurement and Control Solutions revenue increased $ 45 million, or 10.9%, for the third quarter of 2024 as compared to the prior year. Revenue was positively impacted by $1 million of foreign currency translation, with the change at constant currency coming entirely from organic growth of $44 million, or 10.7%. Organic revenue growth during the quarter was driven by $50 million in the smart metering and other applications in the U.S. due to increased sales volume due to supply chain improvements, which was partially offset by $6 million in organic declines from analytics driven by lapping of project deliveries and backlog execution in the U.S. in the prior year.</w:t>
      </w:r>
    </w:p>
    <w:p>
      <w:pPr>
        <w:spacing w:after="0" w:line="5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For the nine months ended September 30, 2024, revenue increased $227 million, or 19.3% as compared to the prior year, coming entirely from organic revenue growth. Smart metering and other applications had $234 million of organic growth for the nine months, which was</w:t>
      </w:r>
    </w:p>
    <w:p>
      <w:pPr>
        <w:spacing w:after="0" w:line="1" w:lineRule="exact"/>
        <w:rPr>
          <w:sz w:val="20"/>
          <w:szCs w:val="20"/>
          <w:color w:val="auto"/>
        </w:rPr>
      </w:pPr>
    </w:p>
    <w:p>
      <w:pPr>
        <w:ind w:right="1040"/>
        <w:spacing w:after="0" w:line="357" w:lineRule="auto"/>
        <w:rPr>
          <w:sz w:val="20"/>
          <w:szCs w:val="20"/>
          <w:color w:val="auto"/>
        </w:rPr>
      </w:pPr>
      <w:r>
        <w:rPr>
          <w:rFonts w:ascii="Arial" w:cs="Arial" w:eastAsia="Arial" w:hAnsi="Arial"/>
          <w:sz w:val="18"/>
          <w:szCs w:val="18"/>
          <w:color w:val="auto"/>
        </w:rPr>
        <w:t xml:space="preserve">partially offset by $7 million of organic decline in analytics, both impacted by similar dynamics experienced in the current quarter. </w:t>
      </w:r>
      <w:r>
        <w:rPr>
          <w:rFonts w:ascii="Arial" w:cs="Arial" w:eastAsia="Arial" w:hAnsi="Arial"/>
          <w:sz w:val="18"/>
          <w:szCs w:val="18"/>
          <w:i w:val="1"/>
          <w:iCs w:val="1"/>
          <w:color w:val="auto"/>
        </w:rPr>
        <w:t>Water Solutions and Services</w:t>
      </w:r>
    </w:p>
    <w:p>
      <w:pPr>
        <w:spacing w:after="0" w:line="1"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Water Solutions and Services revenue decreased $10 million, or 1.7%, for the third quarter of 2024 as compared to the prior year. Revenue declines for the quarter included organic revenue declines of $ 8 million, or 1.4%, and $2 million of unfavorable impacts from foreign currency translation. Organic revenue declines were primarily driven by declines in the U.S. driven by lapping of large capital projects in the prior year, partially offset by demand in the dewatering rental application, and demand in dewatering applications in the emerging markets.</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nine months ended September 30, 2024, revenue increased $603 million, or 53.2% as compared to the prior year. Revenue growth contributed by acquisitions was $561 million, with the remainder of the increase coming from organic revenue growth of $46 million, or 4.0%, partially offset by $4 million of unfavorable impacts from foreign currency translation. Organic revenue growth was primarily from strength in the dewatering applications in the U.S. and the emerging markets due to increased sales volume, strong rental demand and increased capital project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Orders</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tables illustrate the impact from organic decline/growth, recent acquisitions and divestitures, and foreign currency translation in relation to orders during the three and nine months ended September 30, 2024: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Water Infrastructure</w:t>
            </w:r>
          </w:p>
        </w:tc>
        <w:tc>
          <w:tcPr>
            <w:tcW w:w="200" w:type="dxa"/>
            <w:vAlign w:val="bottom"/>
          </w:tcPr>
          <w:p>
            <w:pPr>
              <w:spacing w:after="0"/>
              <w:rPr>
                <w:sz w:val="14"/>
                <w:szCs w:val="14"/>
                <w:color w:val="auto"/>
              </w:rPr>
            </w:pPr>
          </w:p>
        </w:tc>
        <w:tc>
          <w:tcPr>
            <w:tcW w:w="16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Applied Water</w:t>
            </w:r>
          </w:p>
        </w:tc>
        <w:tc>
          <w:tcPr>
            <w:tcW w:w="200" w:type="dxa"/>
            <w:vAlign w:val="bottom"/>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Measurement and</w:t>
            </w:r>
          </w:p>
        </w:tc>
        <w:tc>
          <w:tcPr>
            <w:tcW w:w="180" w:type="dxa"/>
            <w:vAlign w:val="bottom"/>
          </w:tcPr>
          <w:p>
            <w:pPr>
              <w:spacing w:after="0"/>
              <w:rPr>
                <w:sz w:val="14"/>
                <w:szCs w:val="14"/>
                <w:color w:val="auto"/>
              </w:rPr>
            </w:pPr>
          </w:p>
        </w:tc>
        <w:tc>
          <w:tcPr>
            <w:tcW w:w="16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Water Solutions and</w:t>
            </w:r>
          </w:p>
        </w:tc>
        <w:tc>
          <w:tcPr>
            <w:tcW w:w="200" w:type="dxa"/>
            <w:vAlign w:val="bottom"/>
          </w:tcPr>
          <w:p>
            <w:pPr>
              <w:spacing w:after="0"/>
              <w:rPr>
                <w:sz w:val="14"/>
                <w:szCs w:val="14"/>
                <w:color w:val="auto"/>
              </w:rPr>
            </w:pPr>
          </w:p>
        </w:tc>
        <w:tc>
          <w:tcPr>
            <w:tcW w:w="1620" w:type="dxa"/>
            <w:vAlign w:val="bottom"/>
            <w:gridSpan w:val="2"/>
            <w:vMerge w:val="restart"/>
          </w:tcPr>
          <w:p>
            <w:pPr>
              <w:jc w:val="right"/>
              <w:ind w:right="433"/>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93"/>
        </w:trPr>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Control Solutions</w:t>
            </w:r>
          </w:p>
        </w:tc>
        <w:tc>
          <w:tcPr>
            <w:tcW w:w="180" w:type="dxa"/>
            <w:vAlign w:val="bottom"/>
          </w:tcPr>
          <w:p>
            <w:pPr>
              <w:spacing w:after="0"/>
              <w:rPr>
                <w:sz w:val="16"/>
                <w:szCs w:val="16"/>
                <w:color w:val="auto"/>
              </w:rPr>
            </w:pPr>
          </w:p>
        </w:tc>
        <w:tc>
          <w:tcPr>
            <w:tcW w:w="16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4"/>
              <w:spacing w:after="0"/>
              <w:rPr>
                <w:sz w:val="20"/>
                <w:szCs w:val="20"/>
                <w:color w:val="auto"/>
              </w:rPr>
            </w:pPr>
            <w:r>
              <w:rPr>
                <w:rFonts w:ascii="Arial" w:cs="Arial" w:eastAsia="Arial" w:hAnsi="Arial"/>
                <w:sz w:val="14"/>
                <w:szCs w:val="14"/>
                <w:color w:val="auto"/>
              </w:rPr>
              <w:t>Change</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5"/>
              <w:spacing w:after="0"/>
              <w:rPr>
                <w:sz w:val="20"/>
                <w:szCs w:val="20"/>
                <w:color w:val="auto"/>
              </w:rPr>
            </w:pPr>
            <w:r>
              <w:rPr>
                <w:rFonts w:ascii="Arial" w:cs="Arial" w:eastAsia="Arial" w:hAnsi="Arial"/>
                <w:sz w:val="14"/>
                <w:szCs w:val="14"/>
                <w:color w:val="auto"/>
              </w:rPr>
              <w:t>Change</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4"/>
              <w:spacing w:after="0"/>
              <w:rPr>
                <w:sz w:val="20"/>
                <w:szCs w:val="20"/>
                <w:color w:val="auto"/>
              </w:rPr>
            </w:pPr>
            <w:r>
              <w:rPr>
                <w:rFonts w:ascii="Arial" w:cs="Arial" w:eastAsia="Arial" w:hAnsi="Arial"/>
                <w:sz w:val="14"/>
                <w:szCs w:val="14"/>
                <w:color w:val="auto"/>
              </w:rPr>
              <w:t>Change</w:t>
            </w:r>
          </w:p>
        </w:tc>
        <w:tc>
          <w:tcPr>
            <w:tcW w:w="980" w:type="dxa"/>
            <w:vAlign w:val="bottom"/>
          </w:tcPr>
          <w:p>
            <w:pPr>
              <w:jc w:val="right"/>
              <w:ind w:right="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7"/>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 Orders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w:t>
            </w: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2,031</w:t>
            </w: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6"/>
                <w:szCs w:val="16"/>
                <w:color w:val="auto"/>
              </w:rPr>
              <w:t>Organic Impact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96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96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960" w:type="dxa"/>
            <w:vAlign w:val="bottom"/>
          </w:tcPr>
          <w:p>
            <w:pPr>
              <w:jc w:val="right"/>
              <w:spacing w:after="0"/>
              <w:rPr>
                <w:sz w:val="20"/>
                <w:szCs w:val="20"/>
                <w:color w:val="auto"/>
              </w:rPr>
            </w:pPr>
            <w:r>
              <w:rPr>
                <w:rFonts w:ascii="Arial" w:cs="Arial" w:eastAsia="Arial" w:hAnsi="Arial"/>
                <w:sz w:val="18"/>
                <w:szCs w:val="18"/>
                <w:color w:val="auto"/>
              </w:rPr>
              <w:t>12.0 %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940" w:type="dxa"/>
            <w:vAlign w:val="bottom"/>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98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1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orders</w:t>
            </w: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9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9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9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12.5 %</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9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2024 Orders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2,201</w:t>
            </w: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360" w:hanging="332"/>
        <w:spacing w:after="0" w:line="304"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strengthening in value of various currencies against the U.S. Dollar, the largest being the British Pound and the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5" w:name="page46"/>
    <w:bookmarkEnd w:id="45"/>
    <w:tbl>
      <w:tblPr>
        <w:tblLayout w:type="fixed"/>
        <w:tblInd w:w="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34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rPr>
              <w:t>Water Infrastructure</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Applied Water</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Measurement and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48"/>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8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720" w:type="dxa"/>
            <w:vAlign w:val="bottom"/>
          </w:tcPr>
          <w:p>
            <w:pPr>
              <w:jc w:val="center"/>
              <w:ind w:left="10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 Orders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1,680</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1,350</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1,228</w:t>
            </w: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1,199</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5,457</w:t>
            </w: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6"/>
                <w:szCs w:val="16"/>
                <w:color w:val="auto"/>
              </w:rPr>
              <w:t>Organic Impact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92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9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94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96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723</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orders</w:t>
            </w: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w:t>
            </w:r>
          </w:p>
        </w:tc>
        <w:tc>
          <w:tcPr>
            <w:tcW w:w="9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9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59.9 %</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1,077</w:t>
            </w:r>
          </w:p>
        </w:tc>
        <w:tc>
          <w:tcPr>
            <w:tcW w:w="9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2024 Orders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2,036</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1,382</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1,199</w:t>
            </w: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1,917</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6,534</w:t>
            </w: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80" w:hanging="332"/>
        <w:spacing w:after="0" w:line="286"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Chinese Yuan, Chilean Peso, Canadian Dollar and the Egyptian pound, offset by the strengthening in the British Pound.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capital projects require longer lead production cycles and deployment schedules and delays occur from time to time. Total backlog was $5,253 million at September 30, 2024, an increase of $84 million or 1.6%, as compared to September 30, 2023 backlog of $5,169 million. The increase in backlog was driven by the order intake and contract wins in the current period outpacing revenue, as well as favorable impacts from foreign currency translation. Backlog grew in the Water Solutions and Services and Water Infrastructure segments, partially offset by a decrease in the Measurement and Control Solutions segment's backlog due to execution on previously elevated backlog levels. Backlog increased $165 million or 3.2%, as compared to December 31, 2023 backlog of $5,088 million. We anticipate that approximately 30% of the backlog at September 30, 2024 will be recognized as revenue in the remainder of 2024. There were no significant order cancellations during the quarter.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Gross margin as a percentage of revenue increased 50 basis points t</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37.3% for the three months ended September 30, 2024, as compared to 36.8% for the three months ended September 30, 2023. Gross margin for the quarter included favorable impacts of 50 basis points from decreases in special charges and realignment costs as compared to the prior year. Additionally, gross margin included 290 basis points of favorable operational impacts, consisting of 180 basis points of productivity savings and 110 basis points of price realization. These increases in gross margin were offset by 290 basis points of unfavorable operational impacts driven by 170 basis points of inflation, 30 basis points of unfavorable mix and 30 basis points of increased spending on strategic investments.</w:t>
      </w:r>
    </w:p>
    <w:p>
      <w:pPr>
        <w:spacing w:after="0" w:line="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Gross margin as a percentage of revenue decreased 10 basis points to 37.3% for the nine months ended September 30, 2024, as compared to 37.4% in the prior year. The gross margin decrease included 20 basis points of unfavorable impacts from increases in acquired intangible asset amortization, partially offset by decreases in realignment costs and special charges as compared to the prior year. Additionally, gross margin decline included 270 basis points of unfavorable operational impacts, driven by 130 basis points of inflation, 70 basis points of unfavorable impacts from the Evoqua acquisition, 30 basis points in increased spending on strategic investments, and 30 basis points of increased inventory management costs. The gross margin decrease was partially offset by 280 basis points of favorable operational impacts driven by 180 basis points of productivity savings and 90 basis points of favorable price realization.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and nine months ended September 30, 2024 and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Change</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56"/>
        </w:trPr>
        <w:tc>
          <w:tcPr>
            <w:tcW w:w="3500" w:type="dxa"/>
            <w:vAlign w:val="bottom"/>
          </w:tcPr>
          <w:p>
            <w:pPr>
              <w:ind w:left="140"/>
              <w:spacing w:after="0" w:line="156" w:lineRule="exact"/>
              <w:rPr>
                <w:sz w:val="20"/>
                <w:szCs w:val="20"/>
                <w:color w:val="auto"/>
              </w:rPr>
            </w:pPr>
            <w:r>
              <w:rPr>
                <w:rFonts w:ascii="Arial" w:cs="Arial" w:eastAsia="Arial" w:hAnsi="Arial"/>
                <w:sz w:val="18"/>
                <w:szCs w:val="18"/>
                <w:color w:val="auto"/>
              </w:rPr>
              <w:t>Selling, general and administrative</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445</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54"/>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vMerge w:val="restart"/>
          </w:tcPr>
          <w:p>
            <w:pPr>
              <w:jc w:val="right"/>
              <w:ind w:right="172"/>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1,404</w:t>
            </w:r>
          </w:p>
        </w:tc>
        <w:tc>
          <w:tcPr>
            <w:tcW w:w="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54"/>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ind w:right="172"/>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43"/>
        </w:trPr>
        <w:tc>
          <w:tcPr>
            <w:tcW w:w="3500" w:type="dxa"/>
            <w:vAlign w:val="bottom"/>
          </w:tcPr>
          <w:p>
            <w:pPr>
              <w:ind w:left="140"/>
              <w:spacing w:after="0"/>
              <w:rPr>
                <w:sz w:val="20"/>
                <w:szCs w:val="20"/>
                <w:color w:val="auto"/>
              </w:rPr>
            </w:pPr>
            <w:r>
              <w:rPr>
                <w:rFonts w:ascii="Arial" w:cs="Arial" w:eastAsia="Arial" w:hAnsi="Arial"/>
                <w:sz w:val="18"/>
                <w:szCs w:val="18"/>
                <w:color w:val="auto"/>
              </w:rPr>
              <w:t>expenses</w:t>
            </w:r>
          </w:p>
        </w:tc>
        <w:tc>
          <w:tcPr>
            <w:tcW w:w="26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 bp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(230) bp</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b w:val="1"/>
                <w:bCs w:val="1"/>
                <w:color w:val="auto"/>
              </w:rPr>
              <w:t>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R&amp;D as a % of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 bp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 bp</w:t>
            </w:r>
          </w:p>
        </w:tc>
        <w:tc>
          <w:tcPr>
            <w:tcW w:w="0" w:type="dxa"/>
            <w:vAlign w:val="bottom"/>
          </w:tcPr>
          <w:p>
            <w:pPr>
              <w:spacing w:after="0"/>
              <w:rPr>
                <w:sz w:val="1"/>
                <w:szCs w:val="1"/>
                <w:color w:val="auto"/>
              </w:rPr>
            </w:pPr>
          </w:p>
        </w:tc>
      </w:tr>
      <w:tr>
        <w:trPr>
          <w:trHeight w:val="176"/>
        </w:trPr>
        <w:tc>
          <w:tcPr>
            <w:tcW w:w="3500" w:type="dxa"/>
            <w:vAlign w:val="bottom"/>
          </w:tcPr>
          <w:p>
            <w:pPr>
              <w:ind w:left="140"/>
              <w:spacing w:after="0" w:line="176" w:lineRule="exact"/>
              <w:rPr>
                <w:sz w:val="20"/>
                <w:szCs w:val="20"/>
                <w:color w:val="auto"/>
              </w:rPr>
            </w:pPr>
            <w:r>
              <w:rPr>
                <w:rFonts w:ascii="Arial" w:cs="Arial" w:eastAsia="Arial" w:hAnsi="Arial"/>
                <w:sz w:val="18"/>
                <w:szCs w:val="18"/>
                <w:color w:val="auto"/>
              </w:rPr>
              <w:t>Restructuring and asset impairment</w:t>
            </w:r>
          </w:p>
        </w:tc>
        <w:tc>
          <w:tcPr>
            <w:tcW w:w="260" w:type="dxa"/>
            <w:vAlign w:val="bottom"/>
          </w:tcPr>
          <w:p>
            <w:pPr>
              <w:spacing w:after="0"/>
              <w:rPr>
                <w:sz w:val="15"/>
                <w:szCs w:val="15"/>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172"/>
              <w:spacing w:after="0"/>
              <w:rPr>
                <w:sz w:val="20"/>
                <w:szCs w:val="20"/>
                <w:color w:val="auto"/>
              </w:rPr>
            </w:pPr>
            <w:r>
              <w:rPr>
                <w:rFonts w:ascii="Arial" w:cs="Arial" w:eastAsia="Arial" w:hAnsi="Arial"/>
                <w:sz w:val="18"/>
                <w:szCs w:val="18"/>
                <w:color w:val="auto"/>
              </w:rPr>
              <w:t>(81.0)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15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ind w:right="172"/>
              <w:spacing w:after="0"/>
              <w:rPr>
                <w:sz w:val="20"/>
                <w:szCs w:val="20"/>
                <w:color w:val="auto"/>
              </w:rPr>
            </w:pPr>
            <w:r>
              <w:rPr>
                <w:rFonts w:ascii="Arial" w:cs="Arial" w:eastAsia="Arial" w:hAnsi="Arial"/>
                <w:sz w:val="18"/>
                <w:szCs w:val="18"/>
                <w:color w:val="auto"/>
              </w:rPr>
              <w:t>(35.1) %</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charges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47"/>
        </w:trPr>
        <w:tc>
          <w:tcPr>
            <w:tcW w:w="3500" w:type="dxa"/>
            <w:vAlign w:val="bottom"/>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(360) bp</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25.6 %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(340) bp</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SG&amp;A expenses decreased by $46 million to $445 million, or 21.2% of revenue, in the third quarter of 2024, as compared to $491 million, or 23.7% of revenue, in the comparable 2023 period and increased $113 million to $1,404 million, or 22.3% of revenue, in the nine-month period ended September 30, 2024, as compared to $1,291 million, or 24.6% of revenue, in the comparable 2023 period. Decreases in SG&amp;A in the third quarter of 2024 as compared to the prior year primarily consisted of a $29 million decrease in acquired intangible asset amortization, special charges, and realignment costs, $22 million of productivity savings, including cost synergies from the Evoqua acquisition, partially offset by inflation of $11 million. Increases in SG&amp;A in the nine-month period ended September 30, 2024 as compared to the prior year were primarily driven by $148 million of additional operational SG&amp;A from the acquisition of Evoqua, inflation of $34 million, increased spending on strategic investments of $20 million and an increase in acquired intangible asset amortization of $12 million. These increases to SG&amp;A expenses were partially offset by decreases in special charges and realignment costs of $65 million and $47 million of productivity savings, including Evoqua cost synergies.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R&amp;D expense was $ 55 million, or 2.6% of revenue, in the third quarter of 2024, as compared to $61 million, or 2.9% of revenue in the third quarter of 2023, and was $172 million, or 2.7% of revenue, in the nine months ended September 30, 2024, as compared to $172 million, or 3.3% of revenue in the nine months ended September 30, 2023. The R&amp;D spend has remained fairly consistent year over year.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three and nine months ended September 30, 2024, we incurred restructuring charges of $4 million and $36 million, respectively. For the three and nine months ended September 30, 2024, the charges incurred primarily related to strengthening our competitive positioning and the integration of Evoqua.</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and nine months ended September 30, 2023, we incurred restructuring costs of $20 million and $54 million, respectively. We incurred these charges primarily as a result of our acquisition of Evoqua and the related integration activities. Approximately, $11 million and $25 million of the charges, respectively, are related to stock based compensation expense due to acceleration clauses in Evoqua's equity compensation agreements and approximately $ 1 million and $14 million of the charges, respectively, resulted from the reduction of headcount related to the Evoqua integration for the three and nine months ended September 30, 2023. Additionally, during the three and nine month ended September 30, 2023, we incurred $8 million and $15 million, respectively of charges related to our efforts to reposition our businesses to optimize our cost structure, improve our operational efficiency and effectiveness, strengthen our competitive positioning and better serve our customers. The charges were incurred across all of our segments.</w:t>
      </w:r>
    </w:p>
    <w:p>
      <w:pPr>
        <w:spacing w:after="0" w:line="7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Actions commenced in 2024 and 2023 consist primarily of severance and asset impairment charges. We currently expect to incur between $40 and $50 million in restructuring costs for the full year related to these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Refer to Note 5, "Restructuring and Asset Impairment Charges" for more information.</w:t>
      </w:r>
    </w:p>
    <w:p>
      <w:pPr>
        <w:spacing w:after="0" w:line="117"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color w:val="auto"/>
        </w:rPr>
        <w:t>The following is a roll-forward for the nine months ended September 30, 2024 and 2023 of employee position eliminations associated with restructuring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20" w:type="dxa"/>
            <w:vAlign w:val="bottom"/>
            <w:gridSpan w:val="2"/>
          </w:tcPr>
          <w:p>
            <w:pPr>
              <w:ind w:left="9100"/>
              <w:spacing w:after="0"/>
              <w:rPr>
                <w:sz w:val="20"/>
                <w:szCs w:val="20"/>
                <w:color w:val="auto"/>
              </w:rPr>
            </w:pPr>
            <w:r>
              <w:rPr>
                <w:rFonts w:ascii="Arial" w:cs="Arial" w:eastAsia="Arial" w:hAnsi="Arial"/>
                <w:sz w:val="14"/>
                <w:szCs w:val="14"/>
                <w:b w:val="1"/>
                <w:bCs w:val="1"/>
                <w:color w:val="auto"/>
                <w:w w:val="96"/>
              </w:rPr>
              <w:t>2024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color w:val="auto"/>
              </w:rPr>
              <w:t>2023</w:t>
            </w:r>
          </w:p>
        </w:tc>
      </w:tr>
      <w:tr>
        <w:trPr>
          <w:trHeight w:val="224"/>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7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ind w:left="694"/>
              <w:spacing w:after="0"/>
              <w:rPr>
                <w:sz w:val="20"/>
                <w:szCs w:val="20"/>
                <w:color w:val="auto"/>
              </w:rPr>
            </w:pPr>
            <w:r>
              <w:rPr>
                <w:rFonts w:ascii="Arial" w:cs="Arial" w:eastAsia="Arial" w:hAnsi="Arial"/>
                <w:sz w:val="18"/>
                <w:szCs w:val="18"/>
                <w:color w:val="auto"/>
                <w:w w:val="99"/>
              </w:rPr>
              <w:t>102</w:t>
            </w:r>
          </w:p>
        </w:tc>
      </w:tr>
      <w:tr>
        <w:trPr>
          <w:trHeight w:val="229"/>
        </w:trPr>
        <w:tc>
          <w:tcPr>
            <w:tcW w:w="942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tcPr>
          <w:p>
            <w:pPr>
              <w:spacing w:after="0"/>
              <w:rPr>
                <w:sz w:val="19"/>
                <w:szCs w:val="19"/>
                <w:color w:val="auto"/>
              </w:rPr>
            </w:pPr>
          </w:p>
        </w:tc>
        <w:tc>
          <w:tcPr>
            <w:tcW w:w="1240" w:type="dxa"/>
            <w:vAlign w:val="bottom"/>
          </w:tcPr>
          <w:p>
            <w:pPr>
              <w:jc w:val="center"/>
              <w:ind w:left="694"/>
              <w:spacing w:after="0"/>
              <w:rPr>
                <w:sz w:val="20"/>
                <w:szCs w:val="20"/>
                <w:color w:val="auto"/>
              </w:rPr>
            </w:pPr>
            <w:r>
              <w:rPr>
                <w:rFonts w:ascii="Arial" w:cs="Arial" w:eastAsia="Arial" w:hAnsi="Arial"/>
                <w:sz w:val="18"/>
                <w:szCs w:val="18"/>
                <w:color w:val="auto"/>
                <w:w w:val="99"/>
              </w:rPr>
              <w:t>272</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(190)</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654"/>
              <w:spacing w:after="0"/>
              <w:rPr>
                <w:sz w:val="20"/>
                <w:szCs w:val="20"/>
                <w:color w:val="auto"/>
              </w:rPr>
            </w:pPr>
            <w:r>
              <w:rPr>
                <w:rFonts w:ascii="Arial" w:cs="Arial" w:eastAsia="Arial" w:hAnsi="Arial"/>
                <w:sz w:val="18"/>
                <w:szCs w:val="18"/>
                <w:color w:val="auto"/>
                <w:w w:val="99"/>
              </w:rPr>
              <w:t>(175)</w:t>
            </w:r>
          </w:p>
        </w:tc>
      </w:tr>
      <w:tr>
        <w:trPr>
          <w:trHeight w:val="223"/>
        </w:trPr>
        <w:tc>
          <w:tcPr>
            <w:tcW w:w="9420" w:type="dxa"/>
            <w:vAlign w:val="bottom"/>
            <w:gridSpan w:val="2"/>
          </w:tcPr>
          <w:p>
            <w:pPr>
              <w:ind w:left="20"/>
              <w:spacing w:after="0"/>
              <w:rPr>
                <w:sz w:val="20"/>
                <w:szCs w:val="20"/>
                <w:color w:val="auto"/>
              </w:rPr>
            </w:pPr>
            <w:r>
              <w:rPr>
                <w:rFonts w:ascii="Arial" w:cs="Arial" w:eastAsia="Arial" w:hAnsi="Arial"/>
                <w:sz w:val="18"/>
                <w:szCs w:val="18"/>
                <w:color w:val="auto"/>
              </w:rPr>
              <w:t>Planned reductions - September 30</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19"/>
                <w:szCs w:val="19"/>
                <w:color w:val="auto"/>
              </w:rPr>
            </w:pPr>
          </w:p>
        </w:tc>
        <w:tc>
          <w:tcPr>
            <w:tcW w:w="1240" w:type="dxa"/>
            <w:vAlign w:val="bottom"/>
          </w:tcPr>
          <w:p>
            <w:pPr>
              <w:jc w:val="center"/>
              <w:ind w:left="694"/>
              <w:spacing w:after="0"/>
              <w:rPr>
                <w:sz w:val="20"/>
                <w:szCs w:val="20"/>
                <w:color w:val="auto"/>
              </w:rPr>
            </w:pPr>
            <w:r>
              <w:rPr>
                <w:rFonts w:ascii="Arial" w:cs="Arial" w:eastAsia="Arial" w:hAnsi="Arial"/>
                <w:sz w:val="18"/>
                <w:szCs w:val="18"/>
                <w:color w:val="auto"/>
                <w:w w:val="99"/>
              </w:rPr>
              <w:t>199</w:t>
            </w:r>
          </w:p>
        </w:tc>
      </w:tr>
      <w:tr>
        <w:trPr>
          <w:trHeight w:val="21"/>
        </w:trPr>
        <w:tc>
          <w:tcPr>
            <w:tcW w:w="8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Refer to Note 9, "Goodwill and Other Intangible Assets" for more information on intangible asset impairment charges incurred during the three and nine months ended September 30,2024.</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Net Income, and Adjusted EBITDA</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was $280 million (operating margin of 13.3%) during the third quarter of 2024, an increase of $ 89 million, or 46.6%, when compared to operating income of $191 million (operating margin of 9.2%) during the prior year. Operating margin increased 410 basis points, which included net favorable impacts of 270 basis points from decreases in restructuring and realignment costs, special charges and acquired intangible asset amortization compared to the prior year. Additionally, operating margin expansion included 510 basis points of favorable operational impacts driven by 290 basis points of productivity savings and 150 basis points of price realization. These favorable impacts were partially offset by 370 basis points of unfavorable operational impacts, driven by 230 basis points of inflation, followed by 60 basis points of increased spending on strategic investments. Excluding acquired intangible asset amortization, restructuring and realignment costs, and special charges, adjusted operating income was $350 million (adjusted operating margin of 16.6%) for the third quarter of 2024 as compared to adjusted operating income of $315 million (adjusted operating margin of 15.2%) during the comparable quarter in the prior year.</w:t>
      </w:r>
    </w:p>
    <w:p>
      <w:pPr>
        <w:spacing w:after="0" w:line="7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income for the third quarter was $217 million (net income margin of 10.3%), an increase of $65 million as compared to net income in the prior year of $152 million (net income margin of 7.3%). The increase in net income was driven by increased operating income of $89 million and decreased interest expense of $4 million, partially offset by increased income tax expense of $19 million and decreased non-operating income of $7 million and increased loss from sale of businesses of $2 million. Adjusted EBITDA was $447 million (adjusted EBITDA margin of 21.2%) during the third quarter of 2024, an increase of $36 million, or 8.8%, when compared to adjusted EBITDA of $411 million (adjusted EBITDA margin of 19.8%) during the comparable quarter in the prior year, an increase to adjusted EBITDA margin of 140 basis points. Adjusted EBITDA margin was impacted by the same offsetting factors impacting the adjusted operating margin.</w:t>
      </w:r>
    </w:p>
    <w:p>
      <w:pPr>
        <w:spacing w:after="0" w:line="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Operating income was $742 million (operating margin of 11.8%) during the nine months ended September 30, 2024, an increase of $301 million, or 68.3%, when compared to operating income of $441 million (operating margin of 8.4%) during the prior year. Operating margin increased 340 basis points, which included net favorable impacts of 210 basis points from decreases in special charges and restructuring and realignment costs, partially offset by increased acquired intangible asset amortization compared to the prior year. Additionally, operating margin expansion included 470 basis points of favorable operational impacts driven by 260 basis points of productivity savings, 120 basis points of price realization, and 80 basis points of increased volume. These favorable impacts were partially offset by 340 basis points of unfavorable operational impacts, driven by 200 basis points of inflation, followed by 70 basis points of increased spending on strategic investments. Excluding acquired intangible asset amortization, restructuring and realignment costs, and special charges, adjusted operating income was $996 million (adjusted operating margin of 15.8%) for the nine months ended September 30, 2024 as compared to adjusted operating income of $759 million (adjusted operating margin of 14.5%) during the comparable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spacing w:after="0" w:line="255" w:lineRule="auto"/>
        <w:rPr>
          <w:sz w:val="20"/>
          <w:szCs w:val="20"/>
          <w:color w:val="auto"/>
        </w:rPr>
      </w:pPr>
      <w:r>
        <w:rPr>
          <w:rFonts w:ascii="Arial" w:cs="Arial" w:eastAsia="Arial" w:hAnsi="Arial"/>
          <w:sz w:val="18"/>
          <w:szCs w:val="18"/>
          <w:color w:val="auto"/>
        </w:rPr>
        <w:t>Net income for the nine months ended September 30, 2024 was $564 million (net income margin of 8.9%), an increase of $221 million as compared to Net income in the prior year of $343 million (net income margin of 6.5%). The increase in net income was driven by increased operating income of $301 million, partially offset by decreased non-operating income of $8 million, increased loss from sale of businesses of $6 million, and increased income tax expense of $66 million. Adjusted EBITDA was $1,290 million (adjusted EBITDA margin of 20.5%) during the nine months ended September 30, 2024, an increase of $314 million, or 32%, when compared to adjusted EBITDA of $976 million (adjusted EBITDA margin of 18.6%) during the comparable prior year period, an increase to adjusted EBITDA margin of 190 basis points. Adjusted EBITDA margin was impacted by the same offsetting factors impacting the adjusted operating margin; however, adjusted EBITDA margin also benefited from the exclusion of incremental depreciation and amortization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9" w:name="page50"/>
    <w:bookmarkEnd w:id="49"/>
    <w:p>
      <w:pPr>
        <w:ind w:right="200"/>
        <w:spacing w:after="0" w:line="279"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7"/>
                <w:szCs w:val="17"/>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280" w:type="dxa"/>
            <w:vAlign w:val="bottom"/>
            <w:gridSpan w:val="3"/>
          </w:tcPr>
          <w:p>
            <w:pPr>
              <w:ind w:left="34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31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7"/>
        </w:trPr>
        <w:tc>
          <w:tcPr>
            <w:tcW w:w="3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Water Infrastructure</w:t>
            </w: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96</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234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17.0</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15.4 %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13.7 %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12.8 %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(20) 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114.3</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(26.7)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4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(133.3)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(77.8) %</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17.8 %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17.5 %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30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16.4 %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16.2 %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i w:val="1"/>
                <w:iCs w:val="1"/>
                <w:color w:val="auto"/>
              </w:rPr>
              <w:t>20</w:t>
            </w:r>
          </w:p>
        </w:tc>
        <w:tc>
          <w:tcPr>
            <w:tcW w:w="48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Applied Water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71</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203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99"/>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15.9 %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15.7 %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(200) bp</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(66.7)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(45.5) %</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16.3 %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17.0 %</w:t>
            </w:r>
          </w:p>
        </w:tc>
        <w:tc>
          <w:tcPr>
            <w:tcW w:w="1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6"/>
                <w:szCs w:val="16"/>
                <w:i w:val="1"/>
                <w:iCs w:val="1"/>
                <w:color w:val="auto"/>
              </w:rPr>
              <w:t>(70) 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15.6 %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18.0 %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16"/>
                <w:szCs w:val="16"/>
                <w:i w:val="1"/>
                <w:iCs w:val="1"/>
                <w:color w:val="auto"/>
              </w:rPr>
              <w:t>(240) 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Measurement and Control Solutions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66</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215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138.9</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14.4 %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8.5 %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590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15.3 %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760</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(116.7)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99"/>
              <w:spacing w:after="0"/>
              <w:rPr>
                <w:sz w:val="20"/>
                <w:szCs w:val="20"/>
                <w:color w:val="auto"/>
              </w:rPr>
            </w:pPr>
            <w:r>
              <w:rPr>
                <w:rFonts w:ascii="Arial" w:cs="Arial" w:eastAsia="Arial" w:hAnsi="Arial"/>
                <w:sz w:val="16"/>
                <w:szCs w:val="16"/>
                <w:color w:val="auto"/>
              </w:rPr>
              <w:t>(78.6) %</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4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100.0</w:t>
            </w:r>
          </w:p>
        </w:tc>
        <w:tc>
          <w:tcPr>
            <w:tcW w:w="4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17.9 %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13.6 %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430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18.8 %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12.8 %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i w:val="1"/>
                <w:iCs w:val="1"/>
                <w:color w:val="auto"/>
              </w:rPr>
              <w:t>600</w:t>
            </w:r>
          </w:p>
        </w:tc>
        <w:tc>
          <w:tcPr>
            <w:tcW w:w="48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Water Solutions and Services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63</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160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107.8</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10.9 %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5.6 %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530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9.2 %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240</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(55.6)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76.5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(29.7)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4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(88.9)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(18.8) %</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16.3 %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15.0 %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130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15.9 %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14.4 %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i w:val="1"/>
                <w:iCs w:val="1"/>
                <w:color w:val="auto"/>
              </w:rPr>
              <w:t>150</w:t>
            </w:r>
          </w:p>
        </w:tc>
        <w:tc>
          <w:tcPr>
            <w:tcW w:w="48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Corporate and other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loss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(16)</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(52.9) %</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(70)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99"/>
              <w:spacing w:after="0"/>
              <w:rPr>
                <w:sz w:val="20"/>
                <w:szCs w:val="20"/>
                <w:color w:val="auto"/>
              </w:rPr>
            </w:pPr>
            <w:r>
              <w:rPr>
                <w:rFonts w:ascii="Arial" w:cs="Arial" w:eastAsia="Arial" w:hAnsi="Arial"/>
                <w:sz w:val="16"/>
                <w:szCs w:val="16"/>
                <w:color w:val="auto"/>
              </w:rPr>
              <w:t>(57.8)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(97.0) %</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(25.0)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(79.7) %</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Adjusted operating loss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(33.3)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6"/>
                <w:szCs w:val="16"/>
                <w:b w:val="1"/>
                <w:bCs w:val="1"/>
                <w:color w:val="auto"/>
              </w:rPr>
              <w:t>Total Xylem</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280</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13.3 %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9.2 %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410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11.8 %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8.4 %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i w:val="1"/>
                <w:iCs w:val="1"/>
                <w:color w:val="auto"/>
              </w:rPr>
              <w:t>340</w:t>
            </w:r>
          </w:p>
        </w:tc>
        <w:tc>
          <w:tcPr>
            <w:tcW w:w="48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(67.6)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(32.9) %</w:t>
            </w:r>
          </w:p>
        </w:tc>
        <w:tc>
          <w:tcPr>
            <w:tcW w:w="0" w:type="dxa"/>
            <w:vAlign w:val="bottom"/>
          </w:tcPr>
          <w:p>
            <w:pPr>
              <w:spacing w:after="0"/>
              <w:rPr>
                <w:sz w:val="1"/>
                <w:szCs w:val="1"/>
                <w:color w:val="auto"/>
              </w:rPr>
            </w:pPr>
          </w:p>
        </w:tc>
      </w:tr>
      <w:tr>
        <w:trPr>
          <w:trHeight w:val="162"/>
        </w:trPr>
        <w:tc>
          <w:tcPr>
            <w:tcW w:w="3580" w:type="dxa"/>
            <w:vAlign w:val="bottom"/>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tcPr>
          <w:p>
            <w:pPr>
              <w:spacing w:after="0"/>
              <w:rPr>
                <w:sz w:val="14"/>
                <w:szCs w:val="14"/>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52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4"/>
                <w:szCs w:val="14"/>
                <w:color w:val="auto"/>
              </w:rPr>
            </w:pPr>
          </w:p>
        </w:tc>
        <w:tc>
          <w:tcPr>
            <w:tcW w:w="118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(21.2)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163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35.8</w:t>
            </w:r>
          </w:p>
        </w:tc>
        <w:tc>
          <w:tcPr>
            <w:tcW w:w="48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(70.8)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(69.0) %</w:t>
            </w:r>
          </w:p>
        </w:tc>
        <w:tc>
          <w:tcPr>
            <w:tcW w:w="0" w:type="dxa"/>
            <w:vAlign w:val="bottom"/>
          </w:tcPr>
          <w:p>
            <w:pPr>
              <w:spacing w:after="0"/>
              <w:rPr>
                <w:sz w:val="1"/>
                <w:szCs w:val="1"/>
                <w:color w:val="auto"/>
              </w:rPr>
            </w:pPr>
          </w:p>
        </w:tc>
      </w:tr>
      <w:tr>
        <w:trPr>
          <w:trHeight w:val="210"/>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350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996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31.2</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16.6 %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15.2 %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15.8 %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130</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color w:val="auto"/>
        </w:rPr>
        <w:t>The table below provides a reconciliation of net income to consolidated EBITDA and adjusted EBITDA:</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6"/>
          </w:tcPr>
          <w:p>
            <w:pPr>
              <w:ind w:left="740"/>
              <w:spacing w:after="0"/>
              <w:rPr>
                <w:sz w:val="20"/>
                <w:szCs w:val="20"/>
                <w:color w:val="auto"/>
              </w:rPr>
            </w:pPr>
            <w:r>
              <w:rPr>
                <w:rFonts w:ascii="Arial" w:cs="Arial" w:eastAsia="Arial" w:hAnsi="Arial"/>
                <w:sz w:val="18"/>
                <w:szCs w:val="18"/>
                <w:b w:val="1"/>
                <w:bCs w:val="1"/>
                <w:color w:val="auto"/>
                <w:w w:val="98"/>
              </w:rPr>
              <w:t>Three Months Ended</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jc w:val="center"/>
              <w:ind w:left="10"/>
              <w:spacing w:after="0"/>
              <w:rPr>
                <w:sz w:val="20"/>
                <w:szCs w:val="20"/>
                <w:color w:val="auto"/>
              </w:rPr>
            </w:pPr>
            <w:r>
              <w:rPr>
                <w:rFonts w:ascii="Arial" w:cs="Arial" w:eastAsia="Arial" w:hAnsi="Arial"/>
                <w:sz w:val="18"/>
                <w:szCs w:val="18"/>
                <w:b w:val="1"/>
                <w:bCs w:val="1"/>
                <w:color w:val="auto"/>
                <w:w w:val="99"/>
              </w:rPr>
              <w:t>Nine Months Ended</w:t>
            </w:r>
          </w:p>
        </w:tc>
        <w:tc>
          <w:tcPr>
            <w:tcW w:w="260" w:type="dxa"/>
            <w:vAlign w:val="bottom"/>
          </w:tcPr>
          <w:p>
            <w:pPr>
              <w:spacing w:after="0"/>
              <w:rPr>
                <w:sz w:val="19"/>
                <w:szCs w:val="19"/>
                <w:color w:val="auto"/>
              </w:rPr>
            </w:pPr>
          </w:p>
        </w:tc>
      </w:tr>
      <w:tr>
        <w:trPr>
          <w:trHeight w:val="235"/>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9"/>
              </w:rPr>
              <w:t>September 30</w:t>
            </w: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223"/>
        </w:trPr>
        <w:tc>
          <w:tcPr>
            <w:tcW w:w="39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Change</w:t>
            </w: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Change</w:t>
            </w:r>
          </w:p>
        </w:tc>
        <w:tc>
          <w:tcPr>
            <w:tcW w:w="260" w:type="dxa"/>
            <w:vAlign w:val="bottom"/>
            <w:tcBorders>
              <w:bottom w:val="single" w:sz="8" w:color="auto"/>
            </w:tcBorders>
            <w:shd w:val="clear" w:color="auto" w:fill="CCEEFF"/>
          </w:tcPr>
          <w:p>
            <w:pPr>
              <w:spacing w:after="0"/>
              <w:rPr>
                <w:sz w:val="19"/>
                <w:szCs w:val="19"/>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margin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bp</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bp</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415</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1,150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20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(Gain)/Loss on sale of businesses</w:t>
            </w:r>
          </w:p>
        </w:tc>
        <w:tc>
          <w:tcPr>
            <w:tcW w:w="20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9"/>
                <w:szCs w:val="19"/>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140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bp</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190</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bp</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each segment's operating income (loss) to EBITDA and adjusted EBITDA:</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September 30, 2024</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60" w:type="dxa"/>
            <w:vAlign w:val="bottom"/>
          </w:tcPr>
          <w:p>
            <w:pPr>
              <w:spacing w:after="0"/>
              <w:rPr>
                <w:sz w:val="15"/>
                <w:szCs w:val="15"/>
                <w:color w:val="auto"/>
              </w:rPr>
            </w:pPr>
          </w:p>
        </w:tc>
        <w:tc>
          <w:tcPr>
            <w:tcW w:w="1900" w:type="dxa"/>
            <w:vAlign w:val="bottom"/>
            <w:gridSpan w:val="2"/>
          </w:tcPr>
          <w:p>
            <w:pPr>
              <w:jc w:val="center"/>
              <w:ind w:right="42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180" w:type="dxa"/>
            <w:vAlign w:val="bottom"/>
          </w:tcPr>
          <w:p>
            <w:pPr>
              <w:spacing w:after="0"/>
              <w:rPr>
                <w:sz w:val="15"/>
                <w:szCs w:val="15"/>
                <w:color w:val="auto"/>
              </w:rPr>
            </w:pPr>
          </w:p>
        </w:tc>
        <w:tc>
          <w:tcPr>
            <w:tcW w:w="1980" w:type="dxa"/>
            <w:vAlign w:val="bottom"/>
            <w:gridSpan w:val="2"/>
          </w:tcPr>
          <w:p>
            <w:pPr>
              <w:ind w:left="80"/>
              <w:spacing w:after="0" w:line="181" w:lineRule="exact"/>
              <w:rPr>
                <w:sz w:val="20"/>
                <w:szCs w:val="20"/>
                <w:color w:val="auto"/>
              </w:rPr>
            </w:pPr>
            <w:r>
              <w:rPr>
                <w:rFonts w:ascii="Arial" w:cs="Arial" w:eastAsia="Arial" w:hAnsi="Arial"/>
                <w:sz w:val="18"/>
                <w:szCs w:val="18"/>
                <w:b w:val="1"/>
                <w:bCs w:val="1"/>
                <w:color w:val="auto"/>
              </w:rPr>
              <w:t>Measurement and</w:t>
            </w:r>
          </w:p>
        </w:tc>
        <w:tc>
          <w:tcPr>
            <w:tcW w:w="120" w:type="dxa"/>
            <w:vAlign w:val="bottom"/>
          </w:tcPr>
          <w:p>
            <w:pPr>
              <w:spacing w:after="0"/>
              <w:rPr>
                <w:sz w:val="15"/>
                <w:szCs w:val="15"/>
                <w:color w:val="auto"/>
              </w:rPr>
            </w:pPr>
          </w:p>
        </w:tc>
        <w:tc>
          <w:tcPr>
            <w:tcW w:w="1900" w:type="dxa"/>
            <w:vAlign w:val="bottom"/>
          </w:tcPr>
          <w:p>
            <w:pPr>
              <w:jc w:val="right"/>
              <w:ind w:right="50"/>
              <w:spacing w:after="0" w:line="181"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0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Systems</w:t>
            </w:r>
          </w:p>
        </w:tc>
        <w:tc>
          <w:tcPr>
            <w:tcW w:w="180" w:type="dxa"/>
            <w:vAlign w:val="bottom"/>
          </w:tcPr>
          <w:p>
            <w:pPr>
              <w:spacing w:after="0"/>
              <w:rPr>
                <w:sz w:val="21"/>
                <w:szCs w:val="21"/>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Control Solutions</w:t>
            </w:r>
          </w:p>
        </w:tc>
        <w:tc>
          <w:tcPr>
            <w:tcW w:w="120" w:type="dxa"/>
            <w:vAlign w:val="bottom"/>
          </w:tcPr>
          <w:p>
            <w:pPr>
              <w:spacing w:after="0"/>
              <w:rPr>
                <w:sz w:val="21"/>
                <w:szCs w:val="21"/>
                <w:color w:val="auto"/>
              </w:rPr>
            </w:pPr>
          </w:p>
        </w:tc>
        <w:tc>
          <w:tcPr>
            <w:tcW w:w="1900" w:type="dxa"/>
            <w:vAlign w:val="bottom"/>
          </w:tcPr>
          <w:p>
            <w:pPr>
              <w:jc w:val="right"/>
              <w:ind w:right="55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15.4 %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15.9 %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14.4 %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10.9 %</w:t>
            </w: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Gain/(Loss) on sale of</w:t>
            </w:r>
          </w:p>
        </w:tc>
        <w:tc>
          <w:tcPr>
            <w:tcW w:w="140" w:type="dxa"/>
            <w:vAlign w:val="bottom"/>
            <w:shd w:val="clear" w:color="auto" w:fill="CCEEFF"/>
          </w:tcPr>
          <w:p>
            <w:pPr>
              <w:spacing w:after="0"/>
              <w:rPr>
                <w:sz w:val="15"/>
                <w:szCs w:val="15"/>
                <w:color w:val="auto"/>
              </w:rPr>
            </w:pPr>
          </w:p>
        </w:tc>
        <w:tc>
          <w:tcPr>
            <w:tcW w:w="20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5"/>
                <w:szCs w:val="15"/>
                <w:color w:val="auto"/>
              </w:rPr>
            </w:pPr>
          </w:p>
        </w:tc>
        <w:tc>
          <w:tcPr>
            <w:tcW w:w="19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9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140" w:type="dxa"/>
            <w:vAlign w:val="bottom"/>
            <w:shd w:val="clear" w:color="auto" w:fill="CCEEFF"/>
          </w:tcPr>
          <w:p>
            <w:pPr>
              <w:spacing w:after="0"/>
              <w:rPr>
                <w:sz w:val="21"/>
                <w:szCs w:val="21"/>
                <w:color w:val="auto"/>
              </w:rPr>
            </w:pPr>
          </w:p>
        </w:tc>
        <w:tc>
          <w:tcPr>
            <w:tcW w:w="206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income (expense),</w:t>
            </w:r>
          </w:p>
        </w:tc>
        <w:tc>
          <w:tcPr>
            <w:tcW w:w="140" w:type="dxa"/>
            <w:vAlign w:val="bottom"/>
          </w:tcPr>
          <w:p>
            <w:pPr>
              <w:spacing w:after="0"/>
              <w:rPr>
                <w:sz w:val="15"/>
                <w:szCs w:val="15"/>
                <w:color w:val="auto"/>
              </w:rPr>
            </w:pPr>
          </w:p>
        </w:tc>
        <w:tc>
          <w:tcPr>
            <w:tcW w:w="1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5"/>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excluding interest</w:t>
            </w: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Restructuring &amp;</w:t>
            </w:r>
          </w:p>
        </w:tc>
        <w:tc>
          <w:tcPr>
            <w:tcW w:w="14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realignment</w:t>
            </w:r>
          </w:p>
        </w:tc>
        <w:tc>
          <w:tcPr>
            <w:tcW w:w="14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Pr>
          <w:p>
            <w:pPr>
              <w:spacing w:after="0"/>
              <w:rPr>
                <w:sz w:val="19"/>
                <w:szCs w:val="19"/>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(Gain)/Loss on sale of</w:t>
            </w:r>
          </w:p>
        </w:tc>
        <w:tc>
          <w:tcPr>
            <w:tcW w:w="140" w:type="dxa"/>
            <w:vAlign w:val="bottom"/>
            <w:shd w:val="clear" w:color="auto" w:fill="CCEEFF"/>
          </w:tcPr>
          <w:p>
            <w:pPr>
              <w:spacing w:after="0"/>
              <w:rPr>
                <w:sz w:val="15"/>
                <w:szCs w:val="15"/>
                <w:color w:val="auto"/>
              </w:rPr>
            </w:pPr>
          </w:p>
        </w:tc>
        <w:tc>
          <w:tcPr>
            <w:tcW w:w="20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5"/>
                <w:szCs w:val="15"/>
                <w:color w:val="auto"/>
              </w:rPr>
            </w:pPr>
          </w:p>
        </w:tc>
        <w:tc>
          <w:tcPr>
            <w:tcW w:w="19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9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140" w:type="dxa"/>
            <w:vAlign w:val="bottom"/>
            <w:shd w:val="clear" w:color="auto" w:fill="CCEEFF"/>
          </w:tcPr>
          <w:p>
            <w:pPr>
              <w:spacing w:after="0"/>
              <w:rPr>
                <w:sz w:val="21"/>
                <w:szCs w:val="21"/>
                <w:color w:val="auto"/>
              </w:rPr>
            </w:pPr>
          </w:p>
        </w:tc>
        <w:tc>
          <w:tcPr>
            <w:tcW w:w="206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127</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83</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20.4 %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18.6 %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24.7 %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9"/>
        </w:trPr>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gridSpan w:val="8"/>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gridSpan w:val="8"/>
          </w:tcPr>
          <w:p>
            <w:pPr>
              <w:jc w:val="right"/>
              <w:ind w:right="1420"/>
              <w:spacing w:after="0"/>
              <w:rPr>
                <w:sz w:val="20"/>
                <w:szCs w:val="20"/>
                <w:color w:val="auto"/>
              </w:rPr>
            </w:pPr>
            <w:r>
              <w:rPr>
                <w:rFonts w:ascii="Arial" w:cs="Arial" w:eastAsia="Arial" w:hAnsi="Arial"/>
                <w:sz w:val="18"/>
                <w:szCs w:val="18"/>
                <w:b w:val="1"/>
                <w:bCs w:val="1"/>
                <w:color w:val="auto"/>
              </w:rPr>
              <w:t>September 30, 2023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222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rPr>
              <w:t>Water Infrastructure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center"/>
              <w:ind w:right="500"/>
              <w:spacing w:after="0" w:line="189" w:lineRule="exact"/>
              <w:rPr>
                <w:sz w:val="20"/>
                <w:szCs w:val="20"/>
                <w:color w:val="auto"/>
              </w:rPr>
            </w:pPr>
            <w:r>
              <w:rPr>
                <w:rFonts w:ascii="Arial" w:cs="Arial" w:eastAsia="Arial" w:hAnsi="Arial"/>
                <w:sz w:val="18"/>
                <w:szCs w:val="18"/>
                <w:b w:val="1"/>
                <w:bCs w:val="1"/>
                <w:color w:val="auto"/>
                <w:w w:val="99"/>
              </w:rPr>
              <w:t>Applied Water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Measurement and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35"/>
        </w:trPr>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2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Systems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3"/>
          </w:tcPr>
          <w:p>
            <w:pPr>
              <w:ind w:left="40"/>
              <w:spacing w:after="0"/>
              <w:rPr>
                <w:sz w:val="20"/>
                <w:szCs w:val="20"/>
                <w:color w:val="auto"/>
              </w:rPr>
            </w:pPr>
            <w:r>
              <w:rPr>
                <w:rFonts w:ascii="Arial" w:cs="Arial" w:eastAsia="Arial" w:hAnsi="Arial"/>
                <w:sz w:val="18"/>
                <w:szCs w:val="18"/>
                <w:b w:val="1"/>
                <w:bCs w:val="1"/>
                <w:color w:val="auto"/>
              </w:rPr>
              <w:t>Control Solutions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13.7 %</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15.7 %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8.5 %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5.6 %</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Other non-operating</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income (expense),</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6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2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interest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110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19.9 %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18.7 %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22.7 %</w:t>
            </w:r>
          </w:p>
        </w:tc>
        <w:tc>
          <w:tcPr>
            <w:tcW w:w="0" w:type="dxa"/>
            <w:vAlign w:val="bottom"/>
          </w:tcPr>
          <w:p>
            <w:pPr>
              <w:spacing w:after="0"/>
              <w:rPr>
                <w:sz w:val="1"/>
                <w:szCs w:val="1"/>
                <w:color w:val="auto"/>
              </w:rPr>
            </w:pPr>
          </w:p>
        </w:tc>
      </w:tr>
      <w:tr>
        <w:trPr>
          <w:trHeight w:val="454"/>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gridSpan w:val="8"/>
          </w:tcPr>
          <w:p>
            <w:pPr>
              <w:ind w:left="96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gridSpan w:val="8"/>
          </w:tcPr>
          <w:p>
            <w:pPr>
              <w:jc w:val="right"/>
              <w:ind w:right="1440"/>
              <w:spacing w:after="0"/>
              <w:rPr>
                <w:sz w:val="20"/>
                <w:szCs w:val="20"/>
                <w:color w:val="auto"/>
              </w:rPr>
            </w:pPr>
            <w:r>
              <w:rPr>
                <w:rFonts w:ascii="Arial" w:cs="Arial" w:eastAsia="Arial" w:hAnsi="Arial"/>
                <w:sz w:val="18"/>
                <w:szCs w:val="18"/>
                <w:b w:val="1"/>
                <w:bCs w:val="1"/>
                <w:color w:val="auto"/>
              </w:rPr>
              <w:t>2024 versus 2023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3"/>
          </w:tcPr>
          <w:p>
            <w:pPr>
              <w:jc w:val="center"/>
              <w:ind w:right="26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3"/>
          </w:tcPr>
          <w:p>
            <w:pPr>
              <w:ind w:left="80"/>
              <w:spacing w:after="0" w:line="181" w:lineRule="exact"/>
              <w:rPr>
                <w:sz w:val="20"/>
                <w:szCs w:val="20"/>
                <w:color w:val="auto"/>
              </w:rPr>
            </w:pPr>
            <w:r>
              <w:rPr>
                <w:rFonts w:ascii="Arial" w:cs="Arial" w:eastAsia="Arial" w:hAnsi="Arial"/>
                <w:sz w:val="18"/>
                <w:szCs w:val="18"/>
                <w:b w:val="1"/>
                <w:bCs w:val="1"/>
                <w:color w:val="auto"/>
              </w:rPr>
              <w:t>Measurement and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8"/>
              </w:rPr>
              <w:t>Water Solutions and</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Systems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b w:val="1"/>
                <w:bCs w:val="1"/>
                <w:color w:val="auto"/>
              </w:rPr>
              <w:t>Control Solutions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tcBorders>
              <w:top w:val="single" w:sz="8" w:color="CCEEFF"/>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170 bps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20 bps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590 bps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530 bps</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Gain/(Loss) on sale of</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3"/>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6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 income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(expense), excluding interest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60" w:type="dxa"/>
            <w:vAlign w:val="bottom"/>
            <w:tcBorders>
              <w:top w:val="single" w:sz="8" w:color="CCEEFF"/>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(Gain)/Loss on sale of</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3"/>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6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 bps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 bps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350 bps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 bps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80" w:top="1147" w:right="3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60" w:type="dxa"/>
            <w:vAlign w:val="bottom"/>
            <w:gridSpan w:val="8"/>
          </w:tcPr>
          <w:p>
            <w:pPr>
              <w:ind w:left="96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60" w:type="dxa"/>
            <w:vAlign w:val="bottom"/>
            <w:gridSpan w:val="8"/>
          </w:tcPr>
          <w:p>
            <w:pPr>
              <w:ind w:left="960"/>
              <w:spacing w:after="0"/>
              <w:rPr>
                <w:sz w:val="20"/>
                <w:szCs w:val="20"/>
                <w:color w:val="auto"/>
              </w:rPr>
            </w:pPr>
            <w:r>
              <w:rPr>
                <w:rFonts w:ascii="Arial" w:cs="Arial" w:eastAsia="Arial" w:hAnsi="Arial"/>
                <w:sz w:val="18"/>
                <w:szCs w:val="18"/>
                <w:b w:val="1"/>
                <w:bCs w:val="1"/>
                <w:color w:val="auto"/>
              </w:rPr>
              <w:t>September 30, 2024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jc w:val="center"/>
              <w:ind w:right="440"/>
              <w:spacing w:after="0" w:line="181" w:lineRule="exact"/>
              <w:rPr>
                <w:sz w:val="20"/>
                <w:szCs w:val="20"/>
                <w:color w:val="auto"/>
              </w:rPr>
            </w:pPr>
            <w:r>
              <w:rPr>
                <w:rFonts w:ascii="Arial" w:cs="Arial" w:eastAsia="Arial" w:hAnsi="Arial"/>
                <w:sz w:val="18"/>
                <w:szCs w:val="18"/>
                <w:b w:val="1"/>
                <w:bCs w:val="1"/>
                <w:color w:val="auto"/>
              </w:rPr>
              <w:t>Applied Water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3"/>
          </w:tcPr>
          <w:p>
            <w:pPr>
              <w:ind w:left="60"/>
              <w:spacing w:after="0" w:line="181" w:lineRule="exact"/>
              <w:rPr>
                <w:sz w:val="20"/>
                <w:szCs w:val="20"/>
                <w:color w:val="auto"/>
              </w:rPr>
            </w:pPr>
            <w:r>
              <w:rPr>
                <w:rFonts w:ascii="Arial" w:cs="Arial" w:eastAsia="Arial" w:hAnsi="Arial"/>
                <w:sz w:val="18"/>
                <w:szCs w:val="18"/>
                <w:b w:val="1"/>
                <w:bCs w:val="1"/>
                <w:color w:val="auto"/>
              </w:rPr>
              <w:t>Measurement and</w:t>
            </w:r>
          </w:p>
        </w:tc>
        <w:tc>
          <w:tcPr>
            <w:tcW w:w="40" w:type="dxa"/>
            <w:vAlign w:val="bottom"/>
          </w:tcPr>
          <w:p>
            <w:pPr>
              <w:spacing w:after="0"/>
              <w:rPr>
                <w:sz w:val="15"/>
                <w:szCs w:val="15"/>
                <w:color w:val="auto"/>
              </w:rPr>
            </w:pPr>
          </w:p>
        </w:tc>
        <w:tc>
          <w:tcPr>
            <w:tcW w:w="2020" w:type="dxa"/>
            <w:vAlign w:val="bottom"/>
            <w:gridSpan w:val="3"/>
          </w:tcPr>
          <w:p>
            <w:pPr>
              <w:jc w:val="right"/>
              <w:ind w:right="180"/>
              <w:spacing w:after="0" w:line="181" w:lineRule="exact"/>
              <w:rPr>
                <w:sz w:val="20"/>
                <w:szCs w:val="20"/>
                <w:color w:val="auto"/>
              </w:rPr>
            </w:pPr>
            <w:r>
              <w:rPr>
                <w:rFonts w:ascii="Arial" w:cs="Arial" w:eastAsia="Arial" w:hAnsi="Arial"/>
                <w:sz w:val="18"/>
                <w:szCs w:val="18"/>
                <w:b w:val="1"/>
                <w:bCs w:val="1"/>
                <w:color w:val="auto"/>
              </w:rPr>
              <w:t>Water Solutions and</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9"/>
              </w:rPr>
              <w:t>Systems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b w:val="1"/>
                <w:bCs w:val="1"/>
                <w:color w:val="auto"/>
              </w:rPr>
              <w:t>Control Solutions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12.8 %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15.2 %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15.3 %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9.2 %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Gain/(Loss) on sale of</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0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6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income (expense),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460" w:type="dxa"/>
            <w:vAlign w:val="bottom"/>
          </w:tcPr>
          <w:p>
            <w:pPr>
              <w:ind w:left="20"/>
              <w:spacing w:after="0"/>
              <w:rPr>
                <w:sz w:val="20"/>
                <w:szCs w:val="20"/>
                <w:color w:val="auto"/>
              </w:rPr>
            </w:pPr>
            <w:r>
              <w:rPr>
                <w:rFonts w:ascii="Arial" w:cs="Arial" w:eastAsia="Arial" w:hAnsi="Arial"/>
                <w:sz w:val="18"/>
                <w:szCs w:val="18"/>
                <w:color w:val="auto"/>
              </w:rPr>
              <w:t>excluding interest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ind w:right="130"/>
              <w:spacing w:after="0" w:line="203" w:lineRule="exact"/>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Restructuring &amp;</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realignment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(Gain)/Loss on sale of</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0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6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19.4 %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17.6 %</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22.5 %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23.6 %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5"/>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gridSpan w:val="8"/>
          </w:tcPr>
          <w:p>
            <w:pPr>
              <w:ind w:left="100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60" w:type="dxa"/>
            <w:vAlign w:val="bottom"/>
            <w:gridSpan w:val="8"/>
          </w:tcPr>
          <w:p>
            <w:pPr>
              <w:ind w:left="1000"/>
              <w:spacing w:after="0"/>
              <w:rPr>
                <w:sz w:val="20"/>
                <w:szCs w:val="20"/>
                <w:color w:val="auto"/>
              </w:rPr>
            </w:pPr>
            <w:r>
              <w:rPr>
                <w:rFonts w:ascii="Arial" w:cs="Arial" w:eastAsia="Arial" w:hAnsi="Arial"/>
                <w:sz w:val="18"/>
                <w:szCs w:val="18"/>
                <w:b w:val="1"/>
                <w:bCs w:val="1"/>
                <w:color w:val="auto"/>
              </w:rPr>
              <w:t>September 30, 2023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Water Infrastructure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jc w:val="center"/>
              <w:ind w:right="38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3"/>
          </w:tcPr>
          <w:p>
            <w:pPr>
              <w:ind w:left="100"/>
              <w:spacing w:after="0" w:line="181" w:lineRule="exact"/>
              <w:rPr>
                <w:sz w:val="20"/>
                <w:szCs w:val="20"/>
                <w:color w:val="auto"/>
              </w:rPr>
            </w:pPr>
            <w:r>
              <w:rPr>
                <w:rFonts w:ascii="Arial" w:cs="Arial" w:eastAsia="Arial" w:hAnsi="Arial"/>
                <w:sz w:val="18"/>
                <w:szCs w:val="18"/>
                <w:b w:val="1"/>
                <w:bCs w:val="1"/>
                <w:color w:val="auto"/>
              </w:rPr>
              <w:t>Measurement and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tcPr>
          <w:p>
            <w:pPr>
              <w:jc w:val="right"/>
              <w:ind w:right="140"/>
              <w:spacing w:after="0" w:line="181"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9"/>
              </w:rPr>
              <w:t>Systems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ind w:left="120"/>
              <w:spacing w:after="0"/>
              <w:rPr>
                <w:sz w:val="20"/>
                <w:szCs w:val="20"/>
                <w:color w:val="auto"/>
              </w:rPr>
            </w:pPr>
            <w:r>
              <w:rPr>
                <w:rFonts w:ascii="Arial" w:cs="Arial" w:eastAsia="Arial" w:hAnsi="Arial"/>
                <w:sz w:val="18"/>
                <w:szCs w:val="18"/>
                <w:b w:val="1"/>
                <w:bCs w:val="1"/>
                <w:color w:val="auto"/>
              </w:rPr>
              <w:t>Control Solutions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240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13.0 %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17.2 %</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7.7 %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6.8 %</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income (expense),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vMerge w:val="restart"/>
          </w:tcPr>
          <w:p>
            <w:pPr>
              <w:jc w:val="right"/>
              <w:ind w:right="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restart"/>
          </w:tcPr>
          <w:p>
            <w:pPr>
              <w:jc w:val="right"/>
              <w:ind w:right="11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excluding interest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259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288</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272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244</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18.7 %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19.5 %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17.1 %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21.5 %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41" w:right="539" w:bottom="1440" w:gutter="0" w:footer="0" w:header="0"/>
        </w:sectPr>
      </w:pPr>
    </w:p>
    <w:bookmarkStart w:id="53" w:name="page54"/>
    <w:bookmarkEnd w:id="53"/>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Nine Months Ended</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2024 versus 2023</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Water Infrastructure</w:t>
            </w:r>
          </w:p>
        </w:tc>
        <w:tc>
          <w:tcPr>
            <w:tcW w:w="260" w:type="dxa"/>
            <w:vAlign w:val="bottom"/>
          </w:tcPr>
          <w:p>
            <w:pPr>
              <w:spacing w:after="0"/>
              <w:rPr>
                <w:sz w:val="15"/>
                <w:szCs w:val="15"/>
                <w:color w:val="auto"/>
              </w:rPr>
            </w:pPr>
          </w:p>
        </w:tc>
        <w:tc>
          <w:tcPr>
            <w:tcW w:w="1880" w:type="dxa"/>
            <w:vAlign w:val="bottom"/>
            <w:gridSpan w:val="2"/>
          </w:tcPr>
          <w:p>
            <w:pPr>
              <w:jc w:val="center"/>
              <w:ind w:right="40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180" w:type="dxa"/>
            <w:vAlign w:val="bottom"/>
          </w:tcPr>
          <w:p>
            <w:pPr>
              <w:spacing w:after="0"/>
              <w:rPr>
                <w:sz w:val="15"/>
                <w:szCs w:val="15"/>
                <w:color w:val="auto"/>
              </w:rPr>
            </w:pPr>
          </w:p>
        </w:tc>
        <w:tc>
          <w:tcPr>
            <w:tcW w:w="1920" w:type="dxa"/>
            <w:vAlign w:val="bottom"/>
            <w:gridSpan w:val="2"/>
          </w:tcPr>
          <w:p>
            <w:pPr>
              <w:ind w:left="60"/>
              <w:spacing w:after="0" w:line="181" w:lineRule="exact"/>
              <w:rPr>
                <w:sz w:val="20"/>
                <w:szCs w:val="20"/>
                <w:color w:val="auto"/>
              </w:rPr>
            </w:pPr>
            <w:r>
              <w:rPr>
                <w:rFonts w:ascii="Arial" w:cs="Arial" w:eastAsia="Arial" w:hAnsi="Arial"/>
                <w:sz w:val="18"/>
                <w:szCs w:val="18"/>
                <w:b w:val="1"/>
                <w:bCs w:val="1"/>
                <w:color w:val="auto"/>
              </w:rPr>
              <w:t>Measurement and</w:t>
            </w:r>
          </w:p>
        </w:tc>
        <w:tc>
          <w:tcPr>
            <w:tcW w:w="120" w:type="dxa"/>
            <w:vAlign w:val="bottom"/>
          </w:tcPr>
          <w:p>
            <w:pPr>
              <w:spacing w:after="0"/>
              <w:rPr>
                <w:sz w:val="15"/>
                <w:szCs w:val="15"/>
                <w:color w:val="auto"/>
              </w:rPr>
            </w:pPr>
          </w:p>
        </w:tc>
        <w:tc>
          <w:tcPr>
            <w:tcW w:w="1880" w:type="dxa"/>
            <w:vAlign w:val="bottom"/>
          </w:tcPr>
          <w:p>
            <w:pPr>
              <w:jc w:val="right"/>
              <w:ind w:right="50"/>
              <w:spacing w:after="0" w:line="181" w:lineRule="exact"/>
              <w:rPr>
                <w:sz w:val="20"/>
                <w:szCs w:val="20"/>
                <w:color w:val="auto"/>
              </w:rPr>
            </w:pPr>
            <w:r>
              <w:rPr>
                <w:rFonts w:ascii="Arial" w:cs="Arial" w:eastAsia="Arial" w:hAnsi="Arial"/>
                <w:sz w:val="18"/>
                <w:szCs w:val="18"/>
                <w:b w:val="1"/>
                <w:bCs w:val="1"/>
                <w:color w:val="auto"/>
                <w:w w:val="98"/>
              </w:rPr>
              <w:t>Water Solutions and</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20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Systems</w:t>
            </w:r>
          </w:p>
        </w:tc>
        <w:tc>
          <w:tcPr>
            <w:tcW w:w="18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Control Solutions</w:t>
            </w:r>
          </w:p>
        </w:tc>
        <w:tc>
          <w:tcPr>
            <w:tcW w:w="120" w:type="dxa"/>
            <w:vAlign w:val="bottom"/>
          </w:tcPr>
          <w:p>
            <w:pPr>
              <w:spacing w:after="0"/>
              <w:rPr>
                <w:sz w:val="21"/>
                <w:szCs w:val="21"/>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Borders>
              <w:top w:val="single" w:sz="8" w:color="CCEEFF"/>
            </w:tcBorders>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(20) bps</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(200) bps</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760 bps</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240 bps</w:t>
            </w:r>
          </w:p>
        </w:tc>
        <w:tc>
          <w:tcPr>
            <w:tcW w:w="0" w:type="dxa"/>
            <w:vAlign w:val="bottom"/>
          </w:tcPr>
          <w:p>
            <w:pPr>
              <w:spacing w:after="0"/>
              <w:rPr>
                <w:sz w:val="1"/>
                <w:szCs w:val="1"/>
                <w:color w:val="auto"/>
              </w:rPr>
            </w:pPr>
          </w:p>
        </w:tc>
      </w:tr>
      <w:tr>
        <w:trPr>
          <w:trHeight w:val="175"/>
        </w:trPr>
        <w:tc>
          <w:tcPr>
            <w:tcW w:w="2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Gain/(Loss) on sale of</w:t>
            </w:r>
          </w:p>
        </w:tc>
        <w:tc>
          <w:tcPr>
            <w:tcW w:w="120" w:type="dxa"/>
            <w:vAlign w:val="bottom"/>
            <w:shd w:val="clear" w:color="auto" w:fill="CCEEFF"/>
          </w:tcPr>
          <w:p>
            <w:pPr>
              <w:spacing w:after="0"/>
              <w:rPr>
                <w:sz w:val="15"/>
                <w:szCs w:val="15"/>
                <w:color w:val="auto"/>
              </w:rPr>
            </w:pPr>
          </w:p>
        </w:tc>
        <w:tc>
          <w:tcPr>
            <w:tcW w:w="2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120" w:type="dxa"/>
            <w:vAlign w:val="bottom"/>
            <w:shd w:val="clear" w:color="auto" w:fill="CCEEFF"/>
          </w:tcPr>
          <w:p>
            <w:pPr>
              <w:spacing w:after="0"/>
              <w:rPr>
                <w:sz w:val="21"/>
                <w:szCs w:val="21"/>
                <w:color w:val="auto"/>
              </w:rPr>
            </w:pPr>
          </w:p>
        </w:tc>
        <w:tc>
          <w:tcPr>
            <w:tcW w:w="202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 income</w:t>
            </w:r>
          </w:p>
        </w:tc>
        <w:tc>
          <w:tcPr>
            <w:tcW w:w="12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 excluding interest</w:t>
            </w:r>
          </w:p>
        </w:tc>
        <w:tc>
          <w:tcPr>
            <w:tcW w:w="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(Gain)/Loss on sale of</w:t>
            </w:r>
          </w:p>
        </w:tc>
        <w:tc>
          <w:tcPr>
            <w:tcW w:w="120" w:type="dxa"/>
            <w:vAlign w:val="bottom"/>
            <w:shd w:val="clear" w:color="auto" w:fill="CCEEFF"/>
          </w:tcPr>
          <w:p>
            <w:pPr>
              <w:spacing w:after="0"/>
              <w:rPr>
                <w:sz w:val="15"/>
                <w:szCs w:val="15"/>
                <w:color w:val="auto"/>
              </w:rPr>
            </w:pPr>
          </w:p>
        </w:tc>
        <w:tc>
          <w:tcPr>
            <w:tcW w:w="2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120" w:type="dxa"/>
            <w:vAlign w:val="bottom"/>
            <w:shd w:val="clear" w:color="auto" w:fill="CCEEFF"/>
          </w:tcPr>
          <w:p>
            <w:pPr>
              <w:spacing w:after="0"/>
              <w:rPr>
                <w:sz w:val="21"/>
                <w:szCs w:val="21"/>
                <w:color w:val="auto"/>
              </w:rPr>
            </w:pPr>
          </w:p>
        </w:tc>
        <w:tc>
          <w:tcPr>
            <w:tcW w:w="202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 bps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 bps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 bps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bps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Operating income for our Water Infrastructure segment was $96 million (operating margin of 15.4%) during the third quarter of 2024, an increase of $12 million, or 14.3%, when compared to operating income of $84 million (operating margin of 13.7%) during the prior year, or a total increase in operating margin of 170 basis points. Operating margin expansion included favorable impacts of 140 basis points from decreases in special charges and acquired intangible asset amortization, partially offset by increased restructuring and realignment costs as compared to the prior year. Additionally, operating margin expansion included 460 basis points from favorable operating impacts driven by 330 basis points of productivity savings and 90 basis points of price realization. Margin expansion was partially offset by 430 basis points of unfavorable operational impacts, driven by 230 basis points of inflation, 90 basis points of unfavorable mix, and 50 basis points of inventory management costs. Excluding amortization of acquired intangibles, restructuring and realignment cost and special charges, adjusted operating income was $111 million (adjusted operating margin of 17.8%) for the third quarter of 2024 as compared to adjusted operating income of $107 million (adjusted operating margin of 17.5%) for the third quarter of 2023.</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Adjusted EBITDA was $127 million (adjusted EBITDA margin of 20.4%) for the third quarter of 2024, an increase of $5 million, or 4.1%, when compared to adjusted EBITDA of $122 million (adjusted EBITDA margin of 19.9%) during the prior year. Adjusted EBITDA margin was impacted by the same offsetting factors impacting the adjusted operating margin; however, adjusted EBITDA margin also benefited from the exclusion of incremental depreciation and amortization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ind w:right="60"/>
        <w:spacing w:after="0" w:line="253" w:lineRule="auto"/>
        <w:rPr>
          <w:sz w:val="20"/>
          <w:szCs w:val="20"/>
          <w:color w:val="auto"/>
        </w:rPr>
      </w:pPr>
      <w:r>
        <w:rPr>
          <w:rFonts w:ascii="Arial" w:cs="Arial" w:eastAsia="Arial" w:hAnsi="Arial"/>
          <w:sz w:val="18"/>
          <w:szCs w:val="18"/>
          <w:color w:val="auto"/>
        </w:rPr>
        <w:t>Operating income for our Water Infrastructure segment was $234 million (operating margin of 12.8%) during the nine months ended September 30, 2024, an increase of $34 million, or 17.0%, when compared to operating income of $200 million (operating margin of 13.0%) during the prior year, or a total decrease in operating margin of 20 basis points. Operating margin declines included net unfavorable impacts of 40 basis points from increases in acquired intangible asset amortization and restructuring and realignment costs partially offset by decreases in special charges as compared to the prior year. Additionally, operating margin declines included 430 basis points of unfavorable operational impacts, driven by 190 basis points of inflation, 50 basis points of decreased operating margin related to the Evoqua acquisition, 30 basis points of increased employee related costs, and 30 basis points of increased spending on strategic investments. Margin declines were largely offset by 450 basis points from favorable operating impacts driven by of 270 basis points of productivity savings, 70 basis points of price realization, 50 basis points of favorable mix, and 40 basis points of favorable currency impacts. Excluding amortization of acquired intangibles, restructuring and realignment cost and special charges, adjusted operating income was $ 300 million (adjusted operating margin of 16.4%) for the nine months ended September 30, 2024 as compared to adjusted operating income of $249 million (adjusted operating margin of 16.2%) for the nine months ended September 30, 2023.</w:t>
      </w:r>
    </w:p>
    <w:p>
      <w:pPr>
        <w:spacing w:after="0" w:line="8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Adjusted EBITDA was $354 million (adjusted EBITDA margin of 19.4%) for the nine months ended September 30, 2024, an increase of $66 million, or 23%, when compared to adjusted EBITDA of $288 million (adjusted EBITDA margin of 18.7%) during the prior year. Adjusted EBITDA margin was impacted by the same offsetting factors impacting the adjusted operating margin; however, adjusted EBITDA margin also benefited from the relative incremental increase in depreciation and software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Operating income for our Applied Water segment was $71 million (operating margin of 15.9%) during the third quarter of 2024, a decrease of $2 million, or 2.7%, when compared to operating income of $73 million (operating margin of 15.7%) during the prior year, or a total increase in operating margin of 20 basis points. Operating margin expansion included favorable impacts of 90 basis points from decreases in restructuring and realignment costs as compared to the prior year. Operating margin expansion included 390 basis points of favorable operational impacts, driven by 220 basis points of productivity savings and 60 basis points of price realization. Operating margin expansion was offset by 460 basis points of unfavorable operational impacts, driven by 170 basis points of inflation, 140 basis points of decreased volume and 70 basis points of unfavorable mix. Excluding restructuring and realignment costs, adjusted operating income was $73 million (adjusted operating margin of 16.3%) for the third quarter of 2024 as compared to adjusted operating income of $79 million (adjusted operating margin of 17.0%) for the third quarter of 2023.</w:t>
      </w:r>
    </w:p>
    <w:p>
      <w:pPr>
        <w:spacing w:after="0" w:line="7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Adjusted EBITDA was $83 million (adjusted EBITDA margin of 18.6%) for the third quarter of 2024, a decrease of $4 million, or 4.6%, when compared to adjusted EBITDA of $87 million (adjusted EBITDA margin of 18.7%) during the prior year. The decrease in adjusted EBITDA margin was primarily due to the same factors impacting the decrease in adjusted operating margin; however, adjusted EBITDA margin was not negatively impacted by increased share-based compensation expense.</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for our Applied Water segment was $203 million (operating margin of 15.2%) during the nine months ended September 30, 2024, a decrease of $37 million, or 15.4%, when compared to operating income of $240 million (operating margin of 17.2%) during the prior year, or a total decrease in operating margin of 200 basis points. Operating margin declines included favorable impacts of 40 basis points from a decrease in restructuring and realignment costs as compared to the prior year. Additionally, operating margin declines included 540 basis points from unfavorable operational impacts, driven by 200 basis points of inflation, 160 basis points of unfavorable mix and 110 basis points of decreased volume. The decline in margin was partially offset by 300 basis points of favorable operational impacts consisting of 270 basis points of productivity savings and 30 basis points of price realization. Excluding restructuring and realignment costs, adjusted operating income was $209 million (adjusted operating margin of 15.6%) for the nine months ended September 30, 2024 as compared to adjusted operating income of $251 million (adjusted operating margin of 18.0%)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right="180"/>
        <w:spacing w:after="0" w:line="259" w:lineRule="auto"/>
        <w:rPr>
          <w:sz w:val="20"/>
          <w:szCs w:val="20"/>
          <w:color w:val="auto"/>
        </w:rPr>
      </w:pPr>
      <w:r>
        <w:rPr>
          <w:rFonts w:ascii="Arial" w:cs="Arial" w:eastAsia="Arial" w:hAnsi="Arial"/>
          <w:sz w:val="18"/>
          <w:szCs w:val="18"/>
          <w:color w:val="auto"/>
        </w:rPr>
        <w:t>Adjusted EBITDA was $235 million (adjusted EBITDA margin of 17.6%) for the nine months ended September 30, 2024, a decrease of $37 million, or 14%, when compared to adjusted EBITDA of $272 million (adjusted EBITDA margin of 19.5%) during the prior year. The decrease in adjusted EBITDA margin was primarily due to the same factors impacting the decrease in adjusted operating margin; however, adjusted EBITDA margin was not negatively impacted by increased share-based compensation expense, or the relative impact of depreciation, and software amortization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Operating income for our Measurement and Control Solutions segment was $66 million (operating margin of 14.4%) during the third quarter of 2024, an increase of $31 million, or 88.6%, when compared to operating income of $35 million (operating margin of 8.5%) during the prior year, or a total increase in operating margin of 590 basis points. Operating margin expansion included favorable impacts of 160 basis points from a decrease in restructuring and realignment costs, offset by slight increases to acquired intangible asset amortization and special charges as compared to the prior year on increased revenue. Additionally, operating margin expansion included 920 basis points of favorable operational impacts, primarily consisting of 340 basis points of productivity savings, 330 basis points of price realization and 190 basis points of increased volume. Margin expansion was partially offset by negative operational impacts of 490 basis points driven by 330 basis points of inflation and 100 basis points of increased spending on strategic investments. Excluding acquired intangible asset amortization, restructuring and realignment costs and special charges, adjusted operating income was $82 million (adjusted operating margin of 17.9%) for the third quarter of 2024 as compared to adjusted operating income of $56 million (adjusted operating margin of 13.6%) for the third quarter of 2023.</w:t>
      </w:r>
    </w:p>
    <w:p>
      <w:pPr>
        <w:spacing w:after="0" w:line="6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Adjusted EBITDA was $97 million (adjusted EBITDA margin of 21.2%) for the third quarter of 2024, an increase of $24 million, or 32.9%, when compared to adjusted EBITDA of $73 million (adjusted EBITDA margin of 17.7%) during the prior year. The increase in adjusted EBITDA margin was due to the same factors as those impacting the increase in adjusted operating margin; however, adjusted EBITDA margin did not benefit from the relative impact of decreases in depreciation and software amortization on increased revenue.</w:t>
      </w:r>
    </w:p>
    <w:p>
      <w:pPr>
        <w:spacing w:after="0" w:line="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Operating income for our Measurement and Control Solutions segment was $215 million (operating margin of 15.3%) during the nine months ended September 30, 2024, an increase of $125 million, or 138.9%, when compared to operating income of $90 million (operating margin of 7.7%) during the prior year, or a total increase in operating margin of 760 basis points. Operating margin expansion included favorable impacts of 160 basis points from reduced restructuring and realignment costs and flat special charges, and acquired intangible asset amortization on increased revenue as compared to the prior year. Additionally, operating margin expansion included 1,010 basis points of favorable operational impacts, consisting of 340 basis points of productivity savings, 300 basis points of price realization, 290 basis points of increased volume, and 80 basis points of favorable mix. Margin expansion was partially offset by negative operational impacts of 410 basis points driven by 240 basis points of inflation, 70 basis points of increased inventory management costs, and 70 basis points of increased spending on strategic investments. Excluding acquired intangible asset amortization, restructuring and realignment costs and special charges, adjusted operating income was $264 million (adjusted operating margin of 18.8%) for the nine months ended September 30, 2024 as compared to adjusted operating income of $150 million (adjusted operating margin of 12.8%) for the nine months ended September 30, 2023.</w:t>
      </w:r>
    </w:p>
    <w:p>
      <w:pPr>
        <w:spacing w:after="0" w:line="8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Adjusted EBITDA was $315 million (adjusted EBITDA margin of 22.5%) for the nine months ended September 30, 2024, an increase of $114 million, or 57%, when compared to adjusted EBITDA of $201 million (adjusted EBITDA margin of 17.1%) during the prior year. The increase in adjusted EBITDA margin was due to the same factors as those impacting the increase in adjusted operating margin; however, adjusted EBITDA margin did not benefit from decreases in share-based compensation or the relative impact of depreciation and software amortization on increased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income for our Water Solutions and Services segment was $63 million (operating margin of 10.9%) during the third quarter of 2024, an increase of $30 million, or 90.9%, when compared to operating income of $33 million (operating margin of 5.6%) during the prior year, or a total increase in operating margin of 530 basis points. Operating margin expansion included favorable impacts of 400 basis points from decreased acquired intangible asset amortization, special charges, and restructuring and realignment as compared to the prior year. Additionally, operating margin expansion included 510 basis points of favorable operational impacts, driven by 220 basis points of productivity savings and 130 basis points of price realization. Margin expansion was offset by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ind w:right="40"/>
        <w:spacing w:after="0" w:line="259" w:lineRule="auto"/>
        <w:rPr>
          <w:sz w:val="20"/>
          <w:szCs w:val="20"/>
          <w:color w:val="auto"/>
        </w:rPr>
      </w:pPr>
      <w:r>
        <w:rPr>
          <w:rFonts w:ascii="Arial" w:cs="Arial" w:eastAsia="Arial" w:hAnsi="Arial"/>
          <w:sz w:val="18"/>
          <w:szCs w:val="18"/>
          <w:color w:val="auto"/>
        </w:rPr>
        <w:t>operational impacts of 380 basis points driven by 190 basis points of inflation, 70 basis points of increased spending on strategic investments, 60 basis points of unfavorable foreign currency exchange, and 50 basis points of decreased volume. Excluding acquired intangible asset amortization, restructuring and realignment costs, and special charges, adjusted operating income was $94 million (adjusted operating margin of 16.3%) for the third quarter of 2024 as compared to adjusted operating income of $88 million (adjusted operating margin of 15.0%) for the third quarter of 2023.</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Adjusted EBITDA was $142 million (adjusted EBITDA margin of 24.7%) for the third quarter of 2024, an increase of $9 million, or 6.8%, when compared to adjusted EBITDA of $133 million (adjusted EBITDA margin of 22.7%) during the prior year. The increase in adjusted EBITDA margin was primarily due to the same factors as those impacting the increase in adjusted operating margin; however, adjusted EBITDA margin expansion was lower due to the relative impacts of incremental increases in depreciation and software amortization expense, stock-based compensation expense and other non-operating expense in the quarter.</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for our Water Solutions and Services segment was $160 million (operating margin of 9.2%) during the nine months ended September 30, 2024, an increase of $83 million, or 107.8%, when compared to operating income of $77 million (operating margin of 6.8%) during the prior year, or a total increase in operating margin of 240 basis points. Operating margin expansion included favorable impacts of 90 basis points due to decreases in special charges and increases in acquired intangible asset amortization and restructuring and realignment costs as compared to the prior year. Additionally, operating margin expansion included 460 basis points of favorable operational impacts, driven by 150 basis points of increased volume, 140 basis points of productivity savings and 110 basis points of price realization. Margin expansion was offset by negative operational impacts of 310 basis points driven by 140 basis points of inflation and 90 basis points of increased spending on strategic investments. Excluding acquired intangible asset amortization, special charges, and restructuring and realignment costs, adjusted operating income was $276 million (adjusted operating margin of 15.9%) for the nine months ended September 30, 2024 as compared to adjusted operating income of $163 million (adjusted operating margin of 14.4%) for the nine months ended September 30, 2023.</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Adjusted EBITDA was $410 million (adjusted EBITDA margin of 23.6%) for the nine months ended September 30, 2024, an increase of $166 million, or 68%, when compared to adjusted EBITDA of $244 million (adjusted EBITDA margin of 21.5%) during the prior year. The increase in adjusted EBITDA margin was due to the same factors as those impacting the increase in adjusted operating margin; however, adjusted EBITDA margin was not negatively impacted by increased depreciation and software amortization expense or the relative impact of share-based compensation expense on increased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loss for corporate and other decreased $18 million, or 53%, during the third quarter of 2024 compared to the prior year period. The decrease in operating loss was primarily due to decreased restructuring and realignment costs and special charges, primarily relating to the acquisition and integration of Evoqua, as compared to the prior year. Excluding special charges and restructuring and realignment costs, adjusted operating loss for corporate and other decreased $5 million, or 33.3%, for the three months ended September 30, 2024 due to decreased spending on strategic initiatives and timing of profit-based expenses in the quarter.</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Operating loss for corporate and other decreased $96 million, or 58%, during nine months ended September 30, 2024 compared to the prior year period. The decrease in operating loss was primarily due to decreased special charges and decreased restructuring costs which primarily relate to the acquisition and integration of Evoqua. Excluding special charges and restructuring and realignment costs, adjusted operating loss for corporate and other decreased $1 million, or 1.9%, for the nine months ended September 30, 2024 driven primarily due to productivity savings.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Interest expense was $10 million for the three months ended September 30, 2024, compared to $14 million for the comparable prior year period. The decrease in interest expense was primarily driven by lower debt due to the repayment of the term loan entered into in May 2023 for use in funding the acquisition of Evoqua, which was repaid on April 19, 2024, as well as a reduction of interest on commercial paper.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consistent at $35 million for both the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ind w:right="920"/>
        <w:spacing w:after="0" w:line="287" w:lineRule="auto"/>
        <w:rPr>
          <w:sz w:val="20"/>
          <w:szCs w:val="20"/>
          <w:color w:val="auto"/>
        </w:rPr>
      </w:pPr>
      <w:r>
        <w:rPr>
          <w:rFonts w:ascii="Arial" w:cs="Arial" w:eastAsia="Arial" w:hAnsi="Arial"/>
          <w:sz w:val="18"/>
          <w:szCs w:val="18"/>
          <w:color w:val="auto"/>
        </w:rPr>
        <w:t>See Note 10, “Derivative Financial Instruments” and Note 12, "Credit Facilities and Debt," of our condensed consolidated financial statements for a description of our net investment hedges and credit facilities and long-term debt,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income tax provision for the three months ended September 30, 2024 was $ 52 million resulting in an effective tax rate of 19.3%, compared to $33 million of expense resulting in an effective tax rate of 17.8% for the same period in 2023. The income tax provision for the nine months ended September 30, 2024 was $148 million resulting in an effective tax rate of 20.7%, compared to a $82 million expense resulting in an effective tax rate of 19.3% for the same period in 2023. The effective tax rate for the three and nine month periods ended September 30, 2024 was higher than the effective tax rate for the same period in 2023, primarily due to earnings mix.</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24"/>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right="420" w:hanging="332"/>
        <w:spacing w:after="0" w:line="28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 is primarily due to strengthening of the Chinese Yuan and various other currencies against the U.S. Dollar These impacts were partially offset by the weakening of the Euro.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Cash generated by operating activities was $688 million for the nine months ended September 30, 2024 as compared to cash generated by operating activities of $ 382 million in the comparable prior year period. The increase in cash provided was primarily driven by higher cash earnings in the current year, the investment in a distribution agreement of select technology and payments made for Evoqua's pre-closing transaction costs in 2023 that did not recur in 2024, partially offset by the use of working capital, primarily related to inventory build up.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Cash used in investing activities was $193 million for the nine months ended September 30, 2024 as compared to $ 539 million in the comparable prior year period. The decrease in cash used reflects payments related to the 2023 Evoqua acquisition, and reduced cash paid for equity investments in 2024. Cash received from the termination of acquired interest rate swaps in 2023 that did not recur in 2024, lower proceeds from the sale of a businesses and higher capital expenditures partially offset these items.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Cash used by financing activities was $520 million for the nine months ended September 30, 2024 as compared to cash received of $71 million in the comparable prior year period. The increase in cash used reflects cash received from a new term loan agreement in 2023 that did not recur in 2024, the repayment of a term loan in the current year, and higher dividend payments. The repayment of a receivables securitization program in 2023 partially offset these items.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spacing w:after="0" w:line="256" w:lineRule="auto"/>
        <w:rPr>
          <w:sz w:val="20"/>
          <w:szCs w:val="20"/>
          <w:color w:val="auto"/>
        </w:rPr>
      </w:pPr>
      <w:r>
        <w:rPr>
          <w:rFonts w:ascii="Arial" w:cs="Arial" w:eastAsia="Arial" w:hAnsi="Arial"/>
          <w:sz w:val="18"/>
          <w:szCs w:val="18"/>
          <w:color w:val="auto"/>
        </w:rPr>
        <w:t>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12, "Credit Facilities and Debt", of our condensed consolidated financial statements for a description of limitations on obtaining additional funding.</w:t>
      </w:r>
    </w:p>
    <w:p>
      <w:pPr>
        <w:spacing w:after="0" w:line="7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In addition, our existing committed credit facilities and access to the public debt markets would provide further liquidity if required.</w:t>
      </w:r>
    </w:p>
    <w:p>
      <w:pPr>
        <w:spacing w:after="0" w:line="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during the year. Currently, we have available liquidity of approximately $2 billion, consisting of $989 million of cash and $1 billion of available credit facilities as disclosed in Note 12, "Credit Facilities and Debt", of our condensed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&amp; Long-Term Contractual Commitments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See Note 12, "Credit Facilities and Debt," of our condensed consolidated financial statements for a description of our credit facilities and long-term debt.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we continue to grow our operations in the emerging markets and elsewhere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Management’s Discussion and Analysis of Financial Condition and Results of Operations in the 2023 Annual Report describes the critical accounting estimates used in preparation of the condensed consolidated financial statements. Actual results in these areas could differ from management’s estimates. There have been no significant changes in the information concerning our critical accounting estimates as stated in our 2023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Outlook</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are updating our total revenue growth to be 15%, and organic revenue growth to be approximately 5% in 2024. Our outlook reflects our current visibility and expectations based on the current market environment and other factors and is largely consistent with the outlook provided in our 2023 Annual Report. Our ability to meet our expectations is subject to a number of risks, including, but not limited to, those described in "Item 1A. Risk Factors" in our 2023 Annual Report.</w:t>
      </w:r>
    </w:p>
    <w:p>
      <w:pPr>
        <w:spacing w:after="0" w:line="6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2023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9" w:name="page60"/>
    <w:bookmarkEnd w:id="59"/>
    <w:p>
      <w:pPr>
        <w:spacing w:after="0" w:line="8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17"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See Note 18, "Commitments and Contingencies," to the condensed consolidated financial statements for further information and any updates.</w:t>
      </w:r>
    </w:p>
    <w:p>
      <w:pPr>
        <w:spacing w:after="0" w:line="4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Risk Factors" of our 2023 Annual Report.</w:t>
      </w:r>
    </w:p>
    <w:p>
      <w:pPr>
        <w:spacing w:after="0" w:line="11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17"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September 30, 2024:</w:t>
      </w: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w:t>
            </w:r>
          </w:p>
        </w:tc>
        <w:tc>
          <w:tcPr>
            <w:tcW w:w="208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9"/>
        </w:trPr>
        <w:tc>
          <w:tcPr>
            <w:tcW w:w="2760" w:type="dxa"/>
            <w:vAlign w:val="bottom"/>
            <w:vMerge w:val="continue"/>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PART OF PUBLICLY</w:t>
            </w:r>
          </w:p>
        </w:tc>
        <w:tc>
          <w:tcPr>
            <w:tcW w:w="2080" w:type="dxa"/>
            <w:vAlign w:val="bottom"/>
          </w:tcPr>
          <w:p>
            <w:pPr>
              <w:jc w:val="center"/>
              <w:ind w:left="21"/>
              <w:spacing w:after="0" w:line="13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ANNOUNCED PLANS OR</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7/1/24 - 7/31/24</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8/1/24 - 8/31/24</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9/1/24 - 9/30/24</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00"/>
        <w:spacing w:after="0" w:line="286"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48"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26" w:lineRule="exact"/>
        <w:rPr>
          <w:rFonts w:ascii="Arial" w:cs="Arial" w:eastAsia="Arial" w:hAnsi="Arial"/>
          <w:sz w:val="16"/>
          <w:szCs w:val="16"/>
          <w:color w:val="auto"/>
        </w:rPr>
      </w:pPr>
    </w:p>
    <w:p>
      <w:pPr>
        <w:ind w:left="340" w:right="40" w:hanging="332"/>
        <w:spacing w:after="0" w:line="271"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On August 24, 2015, our Board of Directors authorized the repurchase of up to $500 million in shares with no expiration date. The program's objective is to deploy our capital in a manner that benefits our </w:t>
      </w:r>
      <w:r>
        <w:rPr>
          <w:rFonts w:ascii="Arial" w:cs="Arial" w:eastAsia="Arial" w:hAnsi="Arial"/>
          <w:sz w:val="17"/>
          <w:szCs w:val="17"/>
          <w:color w:val="auto"/>
        </w:rPr>
        <w:t>stockholders</w:t>
      </w:r>
      <w:r>
        <w:rPr>
          <w:rFonts w:ascii="Arial" w:cs="Arial" w:eastAsia="Arial" w:hAnsi="Arial"/>
          <w:sz w:val="16"/>
          <w:szCs w:val="16"/>
          <w:color w:val="auto"/>
        </w:rPr>
        <w:t xml:space="preserve"> and maintains our focus on growth. There were no shares repurchased under this program for the three months ended September 30, 2024. There are up to $182 million in shares that may still be purchased under this plan as of September 30, 2024.</w:t>
      </w:r>
    </w:p>
    <w:p>
      <w:pPr>
        <w:spacing w:after="0" w:line="2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Trading Plans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During the quarter ended September 30, 2024, no director or Section 16 officer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0" w:type="dxa"/>
            <w:vAlign w:val="bottom"/>
          </w:tcPr>
          <w:p>
            <w:pPr>
              <w:jc w:val="center"/>
              <w:ind w:right="4356"/>
              <w:spacing w:after="0"/>
              <w:rPr>
                <w:sz w:val="20"/>
                <w:szCs w:val="20"/>
                <w:color w:val="auto"/>
              </w:rPr>
            </w:pPr>
            <w:r>
              <w:rPr>
                <w:rFonts w:ascii="Arial" w:cs="Arial" w:eastAsia="Arial" w:hAnsi="Arial"/>
                <w:sz w:val="18"/>
                <w:szCs w:val="18"/>
                <w:b w:val="1"/>
                <w:bCs w:val="1"/>
                <w:color w:val="auto"/>
              </w:rPr>
              <w:t>XYLEM INC.</w:t>
            </w:r>
          </w:p>
        </w:tc>
        <w:tc>
          <w:tcPr>
            <w:tcW w:w="0" w:type="dxa"/>
            <w:vAlign w:val="bottom"/>
          </w:tcPr>
          <w:p>
            <w:pPr>
              <w:spacing w:after="0"/>
              <w:rPr>
                <w:sz w:val="1"/>
                <w:szCs w:val="1"/>
                <w:color w:val="auto"/>
              </w:rPr>
            </w:pPr>
          </w:p>
        </w:tc>
      </w:tr>
      <w:tr>
        <w:trPr>
          <w:trHeight w:val="247"/>
        </w:trPr>
        <w:tc>
          <w:tcPr>
            <w:tcW w:w="19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6800" w:type="dxa"/>
            <w:vAlign w:val="bottom"/>
          </w:tcPr>
          <w:p>
            <w:pPr>
              <w:jc w:val="center"/>
              <w:ind w:right="4356"/>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68"/>
        </w:trPr>
        <w:tc>
          <w:tcPr>
            <w:tcW w:w="1920" w:type="dxa"/>
            <w:vAlign w:val="bottom"/>
          </w:tcPr>
          <w:p>
            <w:pPr>
              <w:jc w:val="center"/>
              <w:ind w:right="1008"/>
              <w:spacing w:after="0"/>
              <w:rPr>
                <w:sz w:val="20"/>
                <w:szCs w:val="20"/>
                <w:color w:val="auto"/>
              </w:rPr>
            </w:pPr>
            <w:r>
              <w:rPr>
                <w:rFonts w:ascii="Arial" w:cs="Arial" w:eastAsia="Arial" w:hAnsi="Arial"/>
                <w:sz w:val="14"/>
                <w:szCs w:val="14"/>
                <w:b w:val="1"/>
                <w:bCs w:val="1"/>
                <w:color w:val="auto"/>
              </w:rPr>
              <w:t>Exhibit</w:t>
            </w:r>
          </w:p>
        </w:tc>
        <w:tc>
          <w:tcPr>
            <w:tcW w:w="25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6800" w:type="dxa"/>
            <w:vAlign w:val="bottom"/>
            <w:vMerge w:val="restart"/>
          </w:tcPr>
          <w:p>
            <w:pPr>
              <w:ind w:left="38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5"/>
        </w:trPr>
        <w:tc>
          <w:tcPr>
            <w:tcW w:w="1920" w:type="dxa"/>
            <w:vAlign w:val="bottom"/>
            <w:tcBorders>
              <w:bottom w:val="single" w:sz="8" w:color="auto"/>
            </w:tcBorders>
          </w:tcPr>
          <w:p>
            <w:pPr>
              <w:jc w:val="center"/>
              <w:ind w:right="988"/>
              <w:spacing w:after="0"/>
              <w:rPr>
                <w:sz w:val="20"/>
                <w:szCs w:val="20"/>
                <w:color w:val="auto"/>
              </w:rPr>
            </w:pPr>
            <w:r>
              <w:rPr>
                <w:rFonts w:ascii="Arial" w:cs="Arial" w:eastAsia="Arial" w:hAnsi="Arial"/>
                <w:sz w:val="14"/>
                <w:szCs w:val="14"/>
                <w:b w:val="1"/>
                <w:bCs w:val="1"/>
                <w:color w:val="auto"/>
              </w:rPr>
              <w:t>Number</w:t>
            </w:r>
          </w:p>
        </w:tc>
        <w:tc>
          <w:tcPr>
            <w:tcW w:w="2520" w:type="dxa"/>
            <w:vAlign w:val="bottom"/>
            <w:tcBorders>
              <w:bottom w:val="single" w:sz="8" w:color="auto"/>
            </w:tcBorders>
            <w:vMerge w:val="continue"/>
          </w:tcPr>
          <w:p>
            <w:pPr>
              <w:spacing w:after="0"/>
              <w:rPr>
                <w:sz w:val="16"/>
                <w:szCs w:val="16"/>
                <w:color w:val="auto"/>
              </w:rPr>
            </w:pPr>
          </w:p>
        </w:tc>
        <w:tc>
          <w:tcPr>
            <w:tcW w:w="6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890" w:right="339" w:bottom="1440" w:gutter="0" w:footer="0" w:header="0"/>
        </w:sectPr>
      </w:pPr>
    </w:p>
    <w:p>
      <w:pPr>
        <w:ind w:left="1100" w:right="80" w:hanging="790"/>
        <w:spacing w:after="0"/>
        <w:tabs>
          <w:tab w:leader="none" w:pos="1080" w:val="left"/>
        </w:tabs>
        <w:rPr>
          <w:rFonts w:ascii="Arial" w:cs="Arial" w:eastAsia="Arial" w:hAnsi="Arial"/>
          <w:sz w:val="18"/>
          <w:szCs w:val="18"/>
          <w:color w:val="0000FF"/>
        </w:rPr>
      </w:pPr>
      <w:hyperlink r:id="rId75">
        <w:r>
          <w:rPr>
            <w:rFonts w:ascii="Arial" w:cs="Arial" w:eastAsia="Arial" w:hAnsi="Arial"/>
            <w:sz w:val="18"/>
            <w:szCs w:val="18"/>
            <w:u w:val="single" w:color="auto"/>
            <w:color w:val="0000FF"/>
          </w:rPr>
          <w:t>3.1</w:t>
        </w:r>
      </w:hyperlink>
      <w:r>
        <w:rPr>
          <w:rFonts w:ascii="Arial" w:cs="Arial" w:eastAsia="Arial" w:hAnsi="Arial"/>
          <w:sz w:val="18"/>
          <w:szCs w:val="18"/>
          <w:color w:val="0000FF"/>
        </w:rPr>
        <w:tab/>
        <w:t>Fourth Amended and Restated Articles of Incorporation of Xylem Inc.</w:t>
      </w:r>
    </w:p>
    <w:p>
      <w:pPr>
        <w:spacing w:after="0" w:line="59" w:lineRule="exact"/>
        <w:rPr>
          <w:sz w:val="20"/>
          <w:szCs w:val="20"/>
          <w:color w:val="auto"/>
        </w:rPr>
      </w:pPr>
    </w:p>
    <w:p>
      <w:pPr>
        <w:ind w:left="300"/>
        <w:spacing w:after="0"/>
        <w:tabs>
          <w:tab w:leader="none" w:pos="1080" w:val="left"/>
        </w:tabs>
        <w:rPr>
          <w:rFonts w:ascii="Arial" w:cs="Arial" w:eastAsia="Arial" w:hAnsi="Arial"/>
          <w:sz w:val="18"/>
          <w:szCs w:val="18"/>
          <w:color w:val="0000FF"/>
        </w:rPr>
      </w:pPr>
      <w:hyperlink r:id="rId76">
        <w:r>
          <w:rPr>
            <w:rFonts w:ascii="Arial" w:cs="Arial" w:eastAsia="Arial" w:hAnsi="Arial"/>
            <w:sz w:val="18"/>
            <w:szCs w:val="18"/>
            <w:u w:val="single" w:color="auto"/>
            <w:color w:val="0000FF"/>
          </w:rPr>
          <w:t>3.2</w:t>
        </w:r>
      </w:hyperlink>
      <w:r>
        <w:rPr>
          <w:rFonts w:ascii="Arial" w:cs="Arial" w:eastAsia="Arial" w:hAnsi="Arial"/>
          <w:sz w:val="18"/>
          <w:szCs w:val="18"/>
          <w:color w:val="0000FF"/>
        </w:rPr>
        <w:tab/>
      </w:r>
      <w:r>
        <w:rPr>
          <w:rFonts w:ascii="Arial" w:cs="Arial" w:eastAsia="Arial" w:hAnsi="Arial"/>
          <w:sz w:val="17"/>
          <w:szCs w:val="17"/>
          <w:color w:val="0000FF"/>
        </w:rPr>
        <w:t>Fifth Amended and Restated By-laws of Xylem Inc.</w:t>
      </w:r>
    </w:p>
    <w:p>
      <w:pPr>
        <w:spacing w:after="0" w:line="200" w:lineRule="exact"/>
        <w:rPr>
          <w:sz w:val="20"/>
          <w:szCs w:val="20"/>
          <w:color w:val="auto"/>
        </w:rPr>
      </w:pPr>
    </w:p>
    <w:p>
      <w:pPr>
        <w:spacing w:after="0" w:line="241" w:lineRule="exact"/>
        <w:rPr>
          <w:sz w:val="20"/>
          <w:szCs w:val="20"/>
          <w:color w:val="auto"/>
        </w:rPr>
      </w:pPr>
    </w:p>
    <w:p>
      <w:pPr>
        <w:ind w:left="860" w:hanging="840"/>
        <w:spacing w:after="0"/>
        <w:tabs>
          <w:tab w:leader="none" w:pos="840" w:val="left"/>
        </w:tabs>
        <w:rPr>
          <w:rFonts w:ascii="Arial" w:cs="Arial" w:eastAsia="Arial" w:hAnsi="Arial"/>
          <w:sz w:val="18"/>
          <w:szCs w:val="18"/>
          <w:color w:val="0000FF"/>
        </w:rPr>
      </w:pPr>
      <w:hyperlink r:id="rId77">
        <w:r>
          <w:rPr>
            <w:rFonts w:ascii="Arial" w:cs="Arial" w:eastAsia="Arial" w:hAnsi="Arial"/>
            <w:sz w:val="18"/>
            <w:szCs w:val="18"/>
            <w:u w:val="single" w:color="auto"/>
            <w:color w:val="0000FF"/>
          </w:rPr>
          <w:t>10.1</w:t>
        </w:r>
      </w:hyperlink>
      <w:r>
        <w:rPr>
          <w:rFonts w:ascii="Arial" w:cs="Arial" w:eastAsia="Arial" w:hAnsi="Arial"/>
          <w:sz w:val="18"/>
          <w:szCs w:val="18"/>
          <w:color w:val="0000FF"/>
        </w:rPr>
        <w:tab/>
        <w:t># Transition Services Agreement entered into between Franz W. Cerwinka and Xylem Inc. dated October 14, 2024</w:t>
      </w:r>
    </w:p>
    <w:p>
      <w:pPr>
        <w:spacing w:after="0" w:line="59" w:lineRule="exact"/>
        <w:rPr>
          <w:sz w:val="20"/>
          <w:szCs w:val="20"/>
          <w:color w:val="auto"/>
        </w:rPr>
      </w:pPr>
    </w:p>
    <w:p>
      <w:pPr>
        <w:jc w:val="right"/>
        <w:ind w:left="260" w:right="140"/>
        <w:spacing w:after="0" w:line="221" w:lineRule="auto"/>
        <w:rPr>
          <w:sz w:val="20"/>
          <w:szCs w:val="20"/>
          <w:color w:val="auto"/>
        </w:rPr>
      </w:pPr>
      <w:r>
        <w:rPr>
          <w:rFonts w:ascii="Arial" w:cs="Arial" w:eastAsia="Arial" w:hAnsi="Arial"/>
          <w:sz w:val="18"/>
          <w:szCs w:val="18"/>
          <w:u w:val="single" w:color="auto"/>
          <w:color w:val="0000FF"/>
        </w:rPr>
        <w:t>31.1</w:t>
      </w:r>
      <w:r>
        <w:rPr>
          <w:rFonts w:ascii="Arial" w:cs="Arial" w:eastAsia="Arial" w:hAnsi="Arial"/>
          <w:sz w:val="18"/>
          <w:szCs w:val="18"/>
          <w:color w:val="0000FF"/>
        </w:rPr>
        <w:t xml:space="preserve">     </w:t>
      </w:r>
      <w:r>
        <w:rPr>
          <w:rFonts w:ascii="Arial" w:cs="Arial" w:eastAsia="Arial" w:hAnsi="Arial"/>
          <w:sz w:val="18"/>
          <w:szCs w:val="18"/>
          <w:color w:val="000000"/>
        </w:rPr>
        <w:t>Certification pursuant to Rule 13a -14(a)/15d-14(a) of the</w:t>
      </w:r>
      <w:r>
        <w:rPr>
          <w:rFonts w:ascii="Arial" w:cs="Arial" w:eastAsia="Arial" w:hAnsi="Arial"/>
          <w:sz w:val="18"/>
          <w:szCs w:val="18"/>
          <w:color w:val="0000FF"/>
        </w:rPr>
        <w:t xml:space="preserve"> </w:t>
      </w:r>
      <w:r>
        <w:rPr>
          <w:rFonts w:ascii="Arial" w:cs="Arial" w:eastAsia="Arial" w:hAnsi="Arial"/>
          <w:sz w:val="18"/>
          <w:szCs w:val="18"/>
          <w:color w:val="000000"/>
        </w:rPr>
        <w:t>Securities Exchange Act of 1934, as adopted pursuant to</w:t>
      </w:r>
    </w:p>
    <w:p>
      <w:pPr>
        <w:spacing w:after="0" w:line="1"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Section 302 of the Sarbanes-Oxley Act of 2002</w:t>
      </w:r>
    </w:p>
    <w:p>
      <w:pPr>
        <w:spacing w:after="0" w:line="59" w:lineRule="exact"/>
        <w:rPr>
          <w:sz w:val="20"/>
          <w:szCs w:val="20"/>
          <w:color w:val="auto"/>
        </w:rPr>
      </w:pPr>
    </w:p>
    <w:p>
      <w:pPr>
        <w:jc w:val="right"/>
        <w:ind w:left="260" w:right="140"/>
        <w:spacing w:after="0" w:line="221" w:lineRule="auto"/>
        <w:rPr>
          <w:sz w:val="20"/>
          <w:szCs w:val="20"/>
          <w:color w:val="auto"/>
        </w:rPr>
      </w:pPr>
      <w:r>
        <w:rPr>
          <w:rFonts w:ascii="Arial" w:cs="Arial" w:eastAsia="Arial" w:hAnsi="Arial"/>
          <w:sz w:val="18"/>
          <w:szCs w:val="18"/>
          <w:u w:val="single" w:color="auto"/>
          <w:color w:val="0000FF"/>
        </w:rPr>
        <w:t>31.2</w:t>
      </w:r>
      <w:r>
        <w:rPr>
          <w:rFonts w:ascii="Arial" w:cs="Arial" w:eastAsia="Arial" w:hAnsi="Arial"/>
          <w:sz w:val="18"/>
          <w:szCs w:val="18"/>
          <w:color w:val="0000FF"/>
        </w:rPr>
        <w:t xml:space="preserve">     </w:t>
      </w:r>
      <w:r>
        <w:rPr>
          <w:rFonts w:ascii="Arial" w:cs="Arial" w:eastAsia="Arial" w:hAnsi="Arial"/>
          <w:sz w:val="18"/>
          <w:szCs w:val="18"/>
          <w:color w:val="000000"/>
        </w:rPr>
        <w:t>Certification pursuant to Rule 13a -14(a)/15d-14(a) of the</w:t>
      </w:r>
      <w:r>
        <w:rPr>
          <w:rFonts w:ascii="Arial" w:cs="Arial" w:eastAsia="Arial" w:hAnsi="Arial"/>
          <w:sz w:val="18"/>
          <w:szCs w:val="18"/>
          <w:color w:val="0000FF"/>
        </w:rPr>
        <w:t xml:space="preserve"> </w:t>
      </w:r>
      <w:r>
        <w:rPr>
          <w:rFonts w:ascii="Arial" w:cs="Arial" w:eastAsia="Arial" w:hAnsi="Arial"/>
          <w:sz w:val="18"/>
          <w:szCs w:val="18"/>
          <w:color w:val="000000"/>
        </w:rPr>
        <w:t>Securities Exchange Act of 1934, as adopted pursuant to</w:t>
      </w:r>
    </w:p>
    <w:p>
      <w:pPr>
        <w:spacing w:after="0" w:line="1"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Section 302 of the Sarbanes-Oxley Act of 2002</w:t>
      </w:r>
    </w:p>
    <w:p>
      <w:pPr>
        <w:spacing w:after="0" w:line="20" w:lineRule="exact"/>
        <w:rPr>
          <w:sz w:val="20"/>
          <w:szCs w:val="20"/>
          <w:color w:val="auto"/>
        </w:rPr>
      </w:pPr>
      <w:r>
        <w:rPr>
          <w:sz w:val="20"/>
          <w:szCs w:val="20"/>
          <w:color w:val="auto"/>
        </w:rPr>
        <w:br w:type="column"/>
      </w:r>
    </w:p>
    <w:p>
      <w:pPr>
        <w:ind w:right="80"/>
        <w:spacing w:after="0"/>
        <w:rPr>
          <w:sz w:val="20"/>
          <w:szCs w:val="20"/>
          <w:color w:val="auto"/>
        </w:rPr>
      </w:pPr>
      <w:r>
        <w:rPr>
          <w:rFonts w:ascii="Arial" w:cs="Arial" w:eastAsia="Arial" w:hAnsi="Arial"/>
          <w:sz w:val="18"/>
          <w:szCs w:val="18"/>
          <w:color w:val="auto"/>
        </w:rPr>
        <w:t>Incorporated by reference to Exhibit 3.1 of Xylem Inc.’s Form 8-K filed on May 15, 2017 (CIK No. 1524472, File No. 1-35229).</w:t>
      </w:r>
    </w:p>
    <w:p>
      <w:pPr>
        <w:spacing w:after="0" w:line="59"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Incorporated by reference to Exhibit 3.1 of Xylem Inc.’s Form 8-K filed on November 15, 2022 (CIK No. 1524472, File No.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35229).</w:t>
      </w:r>
    </w:p>
    <w:p>
      <w:pPr>
        <w:spacing w:after="0" w:line="5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Incorporated by reference to Exhibit 10.1 of Xylem Inc.’s Form 8-K filed on October 15, 2024 (CIK 1524472, File No. 1-35229)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441" w:lineRule="exact"/>
        <w:rPr>
          <w:sz w:val="20"/>
          <w:szCs w:val="20"/>
          <w:color w:val="auto"/>
        </w:rPr>
      </w:pPr>
    </w:p>
    <w:p>
      <w:pPr>
        <w:sectPr>
          <w:pgSz w:w="11900" w:h="16838" w:orient="portrait"/>
          <w:cols w:equalWidth="0" w:num="2">
            <w:col w:w="5780" w:space="220"/>
            <w:col w:w="5240"/>
          </w:cols>
          <w:pgMar w:left="320" w:top="890" w:right="339" w:bottom="1440" w:gutter="0" w:footer="0" w:header="0"/>
          <w:type w:val="continuous"/>
        </w:sectPr>
      </w:pPr>
    </w:p>
    <w:p>
      <w:pPr>
        <w:ind w:left="1100" w:right="220" w:hanging="840"/>
        <w:spacing w:after="0" w:line="221" w:lineRule="auto"/>
        <w:tabs>
          <w:tab w:leader="none" w:pos="108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color w:val="auto"/>
        </w:rPr>
        <w:t>Certification Pursuant to 18 U.S.C. Section 1350, as adopted This Exhibit is intended to be furnished in accordance with pursuant to Section 906 of the Sarbanes-Oxley Act of 2002 Regulation S-K Item 601(b) (32) (ii) and shall not be deemed to</w:t>
      </w:r>
    </w:p>
    <w:p>
      <w:pPr>
        <w:sectPr>
          <w:pgSz w:w="11900" w:h="16838" w:orient="portrait"/>
          <w:cols w:equalWidth="0" w:num="1">
            <w:col w:w="1124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right="20" w:hanging="890"/>
        <w:spacing w:after="0" w:line="234" w:lineRule="auto"/>
        <w:tabs>
          <w:tab w:leader="none" w:pos="10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Quarterly Report on Form 10-Q for the quarterly period ended September 30,</w:t>
      </w:r>
    </w:p>
    <w:p>
      <w:pPr>
        <w:spacing w:after="0" w:line="1" w:lineRule="exact"/>
        <w:rPr>
          <w:sz w:val="20"/>
          <w:szCs w:val="20"/>
          <w:color w:val="auto"/>
        </w:rPr>
      </w:pPr>
    </w:p>
    <w:p>
      <w:pPr>
        <w:ind w:left="1100" w:right="360"/>
        <w:spacing w:after="0" w:line="221" w:lineRule="auto"/>
        <w:rPr>
          <w:sz w:val="20"/>
          <w:szCs w:val="20"/>
          <w:color w:val="auto"/>
        </w:rPr>
      </w:pPr>
      <w:r>
        <w:rPr>
          <w:rFonts w:ascii="Arial" w:cs="Arial" w:eastAsia="Arial" w:hAnsi="Arial"/>
          <w:sz w:val="17"/>
          <w:szCs w:val="17"/>
          <w:color w:val="auto"/>
        </w:rPr>
        <w:t>2024, formatted in Inline Extensible Business Reporting Language (Inline XBRL): (i) Condensed Consolidated Income Statements, (ii) Condensed Consolidated</w:t>
      </w:r>
    </w:p>
    <w:p>
      <w:pPr>
        <w:ind w:left="1100"/>
        <w:spacing w:after="0" w:line="221" w:lineRule="auto"/>
        <w:rPr>
          <w:sz w:val="20"/>
          <w:szCs w:val="20"/>
          <w:color w:val="auto"/>
        </w:rPr>
      </w:pPr>
      <w:r>
        <w:rPr>
          <w:rFonts w:ascii="Arial" w:cs="Arial" w:eastAsia="Arial" w:hAnsi="Arial"/>
          <w:sz w:val="17"/>
          <w:szCs w:val="17"/>
          <w:color w:val="auto"/>
        </w:rPr>
        <w:t>Statements of Comprehensive Income, (iii) Condensed Consolidated Balance Sheets, (iv) Condensed Consolidated Statements of Cash Flows and (v) Notes to Condensed</w:t>
      </w:r>
    </w:p>
    <w:p>
      <w:pPr>
        <w:ind w:left="1100"/>
        <w:spacing w:after="0"/>
        <w:rPr>
          <w:sz w:val="20"/>
          <w:szCs w:val="20"/>
          <w:color w:val="auto"/>
        </w:rPr>
      </w:pPr>
      <w:r>
        <w:rPr>
          <w:rFonts w:ascii="Arial" w:cs="Arial" w:eastAsia="Arial" w:hAnsi="Arial"/>
          <w:sz w:val="18"/>
          <w:szCs w:val="18"/>
          <w:color w:val="auto"/>
        </w:rPr>
        <w:t>Consolidated Financial Statements</w:t>
      </w:r>
    </w:p>
    <w:p>
      <w:pPr>
        <w:spacing w:after="0" w:line="45" w:lineRule="exact"/>
        <w:rPr>
          <w:sz w:val="20"/>
          <w:szCs w:val="20"/>
          <w:color w:val="auto"/>
        </w:rPr>
      </w:pPr>
    </w:p>
    <w:p>
      <w:pPr>
        <w:jc w:val="right"/>
        <w:ind w:right="20"/>
        <w:spacing w:after="0"/>
        <w:tabs>
          <w:tab w:leader="none" w:pos="476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The cover page from Xylem Inc.'s Quarterly Report on Form</w:t>
      </w:r>
    </w:p>
    <w:p>
      <w:pPr>
        <w:jc w:val="right"/>
        <w:ind w:right="40"/>
        <w:spacing w:after="0" w:line="219" w:lineRule="auto"/>
        <w:rPr>
          <w:sz w:val="20"/>
          <w:szCs w:val="20"/>
          <w:color w:val="auto"/>
        </w:rPr>
      </w:pPr>
      <w:r>
        <w:rPr>
          <w:rFonts w:ascii="Arial" w:cs="Arial" w:eastAsia="Arial" w:hAnsi="Arial"/>
          <w:sz w:val="18"/>
          <w:szCs w:val="18"/>
          <w:color w:val="auto"/>
        </w:rPr>
        <w:t>10-Q for the period ended September 30, 2024 formatted in</w:t>
      </w:r>
    </w:p>
    <w:p>
      <w:pPr>
        <w:ind w:left="1100"/>
        <w:spacing w:after="0"/>
        <w:rPr>
          <w:sz w:val="20"/>
          <w:szCs w:val="20"/>
          <w:color w:val="auto"/>
        </w:rPr>
      </w:pPr>
      <w:r>
        <w:rPr>
          <w:rFonts w:ascii="Arial" w:cs="Arial" w:eastAsia="Arial" w:hAnsi="Arial"/>
          <w:sz w:val="18"/>
          <w:szCs w:val="18"/>
          <w:color w:val="auto"/>
        </w:rPr>
        <w:t>Inline XBRL and contained in Exhibit 101.0.</w:t>
      </w:r>
    </w:p>
    <w:p>
      <w:pPr>
        <w:spacing w:after="0" w:line="59" w:lineRule="exact"/>
        <w:rPr>
          <w:sz w:val="20"/>
          <w:szCs w:val="20"/>
          <w:color w:val="auto"/>
        </w:rPr>
      </w:pPr>
    </w:p>
    <w:p>
      <w:pPr>
        <w:ind w:left="1100" w:right="900" w:hanging="8"/>
        <w:spacing w:after="0"/>
        <w:tabs>
          <w:tab w:leader="none" w:pos="12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br w:type="column"/>
      </w:r>
    </w:p>
    <w:p>
      <w:pPr>
        <w:ind w:right="120"/>
        <w:spacing w:after="0" w:line="221" w:lineRule="auto"/>
        <w:rPr>
          <w:sz w:val="20"/>
          <w:szCs w:val="20"/>
          <w:color w:val="auto"/>
        </w:rPr>
      </w:pPr>
      <w:r>
        <w:rPr>
          <w:rFonts w:ascii="Arial" w:cs="Arial" w:eastAsia="Arial" w:hAnsi="Arial"/>
          <w:sz w:val="17"/>
          <w:szCs w:val="17"/>
          <w:color w:val="auto"/>
        </w:rPr>
        <w:t>be filed for purposes of Section 18 of the Securities Exchange Act of 1934 or incorporated by reference into any filing under the Securities Act of 1933 or the Securities Exchange Act of 1934,</w:t>
      </w:r>
    </w:p>
    <w:p>
      <w:pPr>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59"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instance document does not appear in the interactive data file because its XBRL tags are embedded within the Inline XBRL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400" w:lineRule="exact"/>
        <w:rPr>
          <w:sz w:val="20"/>
          <w:szCs w:val="20"/>
          <w:color w:val="auto"/>
        </w:rPr>
      </w:pPr>
    </w:p>
    <w:p>
      <w:pPr>
        <w:sectPr>
          <w:pgSz w:w="11900" w:h="16838" w:orient="portrait"/>
          <w:cols w:equalWidth="0" w:num="2">
            <w:col w:w="5880" w:space="120"/>
            <w:col w:w="5240"/>
          </w:cols>
          <w:pgMar w:left="320" w:top="890"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63" w:name="page64"/>
    <w:bookmarkEnd w:id="6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XYLEM INC.</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Geri-Michelle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37973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Geri-Michelle McShane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Controller and Chief Accounting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October 31,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20"/>
          </w:cols>
          <w:pgMar w:left="320" w:top="1093" w:right="4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Matthew F. Pine, certify that:</w:t>
      </w:r>
    </w:p>
    <w:p>
      <w:pPr>
        <w:spacing w:after="0" w:line="11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September 30, 2024;</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20" w:type="dxa"/>
            <w:vAlign w:val="bottom"/>
          </w:tcPr>
          <w:p>
            <w:pPr>
              <w:spacing w:after="0"/>
              <w:rPr>
                <w:sz w:val="20"/>
                <w:szCs w:val="20"/>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F. Pine</w:t>
            </w: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4100" w:type="dxa"/>
            <w:vAlign w:val="bottom"/>
          </w:tcPr>
          <w:p>
            <w:pPr>
              <w:ind w:left="20"/>
              <w:spacing w:after="0" w:line="177" w:lineRule="exact"/>
              <w:rPr>
                <w:sz w:val="20"/>
                <w:szCs w:val="20"/>
                <w:color w:val="auto"/>
              </w:rPr>
            </w:pPr>
            <w:r>
              <w:rPr>
                <w:rFonts w:ascii="Arial" w:cs="Arial" w:eastAsia="Arial" w:hAnsi="Arial"/>
                <w:sz w:val="18"/>
                <w:szCs w:val="18"/>
                <w:color w:val="auto"/>
              </w:rPr>
              <w:t>Matthew F. Pine</w:t>
            </w:r>
          </w:p>
        </w:tc>
        <w:tc>
          <w:tcPr>
            <w:tcW w:w="0" w:type="dxa"/>
            <w:vAlign w:val="bottom"/>
          </w:tcPr>
          <w:p>
            <w:pPr>
              <w:spacing w:after="0"/>
              <w:rPr>
                <w:sz w:val="1"/>
                <w:szCs w:val="1"/>
                <w:color w:val="auto"/>
              </w:rPr>
            </w:pPr>
          </w:p>
        </w:tc>
      </w:tr>
      <w:tr>
        <w:trPr>
          <w:trHeight w:val="239"/>
        </w:trPr>
        <w:tc>
          <w:tcPr>
            <w:tcW w:w="6620" w:type="dxa"/>
            <w:vAlign w:val="bottom"/>
            <w:vMerge w:val="restart"/>
          </w:tcPr>
          <w:p>
            <w:pPr>
              <w:spacing w:after="0"/>
              <w:rPr>
                <w:sz w:val="20"/>
                <w:szCs w:val="20"/>
                <w:color w:val="auto"/>
              </w:rPr>
            </w:pPr>
            <w:r>
              <w:rPr>
                <w:rFonts w:ascii="Arial" w:cs="Arial" w:eastAsia="Arial" w:hAnsi="Arial"/>
                <w:sz w:val="18"/>
                <w:szCs w:val="18"/>
                <w:color w:val="auto"/>
              </w:rPr>
              <w:t>Date: October 31, 2024</w:t>
            </w:r>
          </w:p>
        </w:tc>
        <w:tc>
          <w:tcPr>
            <w:tcW w:w="41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08"/>
        </w:trPr>
        <w:tc>
          <w:tcPr>
            <w:tcW w:w="6620" w:type="dxa"/>
            <w:vAlign w:val="bottom"/>
            <w:vMerge w:val="continue"/>
          </w:tcPr>
          <w:p>
            <w:pPr>
              <w:spacing w:after="0"/>
              <w:rPr>
                <w:sz w:val="9"/>
                <w:szCs w:val="9"/>
                <w:color w:val="auto"/>
              </w:rPr>
            </w:pPr>
          </w:p>
        </w:tc>
        <w:tc>
          <w:tcPr>
            <w:tcW w:w="4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William K. Grogan, certify that:</w:t>
      </w:r>
    </w:p>
    <w:p>
      <w:pPr>
        <w:spacing w:after="0" w:line="11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September 30, 2024;</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0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K. Grogan</w:t>
            </w:r>
          </w:p>
        </w:tc>
        <w:tc>
          <w:tcPr>
            <w:tcW w:w="0" w:type="dxa"/>
            <w:vAlign w:val="bottom"/>
          </w:tcPr>
          <w:p>
            <w:pPr>
              <w:spacing w:after="0"/>
              <w:rPr>
                <w:sz w:val="1"/>
                <w:szCs w:val="1"/>
                <w:color w:val="auto"/>
              </w:rPr>
            </w:pPr>
          </w:p>
        </w:tc>
      </w:tr>
      <w:tr>
        <w:trPr>
          <w:trHeight w:val="177"/>
        </w:trPr>
        <w:tc>
          <w:tcPr>
            <w:tcW w:w="5600" w:type="dxa"/>
            <w:vAlign w:val="bottom"/>
          </w:tcPr>
          <w:p>
            <w:pPr>
              <w:spacing w:after="0"/>
              <w:rPr>
                <w:sz w:val="15"/>
                <w:szCs w:val="15"/>
                <w:color w:val="auto"/>
              </w:rPr>
            </w:pPr>
          </w:p>
        </w:tc>
        <w:tc>
          <w:tcPr>
            <w:tcW w:w="5000" w:type="dxa"/>
            <w:vAlign w:val="bottom"/>
          </w:tcPr>
          <w:p>
            <w:pPr>
              <w:spacing w:after="0" w:line="177" w:lineRule="exact"/>
              <w:rPr>
                <w:sz w:val="20"/>
                <w:szCs w:val="20"/>
                <w:color w:val="auto"/>
              </w:rPr>
            </w:pPr>
            <w:r>
              <w:rPr>
                <w:rFonts w:ascii="Arial" w:cs="Arial" w:eastAsia="Arial" w:hAnsi="Arial"/>
                <w:sz w:val="18"/>
                <w:szCs w:val="18"/>
                <w:color w:val="auto"/>
              </w:rPr>
              <w:t>William K. Grogan</w:t>
            </w:r>
          </w:p>
        </w:tc>
        <w:tc>
          <w:tcPr>
            <w:tcW w:w="0" w:type="dxa"/>
            <w:vAlign w:val="bottom"/>
          </w:tcPr>
          <w:p>
            <w:pPr>
              <w:spacing w:after="0"/>
              <w:rPr>
                <w:sz w:val="1"/>
                <w:szCs w:val="1"/>
                <w:color w:val="auto"/>
              </w:rPr>
            </w:pPr>
          </w:p>
        </w:tc>
      </w:tr>
      <w:tr>
        <w:trPr>
          <w:trHeight w:val="239"/>
        </w:trPr>
        <w:tc>
          <w:tcPr>
            <w:tcW w:w="5600" w:type="dxa"/>
            <w:vAlign w:val="bottom"/>
            <w:vMerge w:val="restart"/>
          </w:tcPr>
          <w:p>
            <w:pPr>
              <w:spacing w:after="0"/>
              <w:rPr>
                <w:sz w:val="20"/>
                <w:szCs w:val="20"/>
                <w:color w:val="auto"/>
              </w:rPr>
            </w:pPr>
            <w:r>
              <w:rPr>
                <w:rFonts w:ascii="Arial" w:cs="Arial" w:eastAsia="Arial" w:hAnsi="Arial"/>
                <w:sz w:val="18"/>
                <w:szCs w:val="18"/>
                <w:color w:val="auto"/>
              </w:rPr>
              <w:t>Date: October 31, 2024</w:t>
            </w:r>
          </w:p>
        </w:tc>
        <w:tc>
          <w:tcPr>
            <w:tcW w:w="500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c>
          <w:tcPr>
            <w:tcW w:w="0" w:type="dxa"/>
            <w:vAlign w:val="bottom"/>
          </w:tcPr>
          <w:p>
            <w:pPr>
              <w:spacing w:after="0"/>
              <w:rPr>
                <w:sz w:val="1"/>
                <w:szCs w:val="1"/>
                <w:color w:val="auto"/>
              </w:rPr>
            </w:pPr>
          </w:p>
        </w:tc>
      </w:tr>
      <w:tr>
        <w:trPr>
          <w:trHeight w:val="108"/>
        </w:trPr>
        <w:tc>
          <w:tcPr>
            <w:tcW w:w="5600" w:type="dxa"/>
            <w:vAlign w:val="bottom"/>
            <w:vMerge w:val="continue"/>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connection with the Quarterly Report on Form 10-Q of Xylem Inc. (the “Company”) for the period ended September 30, 2024 as filed with the Securities and Exchange Commission on the date hereof (the “Report”), each of the undersigned officers of the Company, certifies, pursuant to 18 U.S.C. 1350, as adopted pursuant to 906 of the Sarbanes-Oxley Act of 2002, to his knowledge, that:</w:t>
      </w:r>
    </w:p>
    <w:p>
      <w:pPr>
        <w:spacing w:after="0" w:line="63"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F.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F. Pine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31, 2024</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K. Grogan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31, 2024</w:t>
      </w:r>
    </w:p>
    <w:p>
      <w:pPr>
        <w:spacing w:after="0" w:line="1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lvl w:ilvl="1">
      <w:lvlJc w:val="left"/>
      <w:lvlText w:val="(%2)"/>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75" Type="http://schemas.openxmlformats.org/officeDocument/2006/relationships/hyperlink" Target="https://www.sec.gov/Archives/edgar/data/1524472/000152447217000027/a8-k31xcharter.htm" TargetMode="External"/><Relationship Id="rId76" Type="http://schemas.openxmlformats.org/officeDocument/2006/relationships/hyperlink" Target="https://www.sec.gov/Archives/edgar/data/1524472/000152447222000055/xyl11102022ex31.htm" TargetMode="External"/><Relationship Id="rId77" Type="http://schemas.openxmlformats.org/officeDocument/2006/relationships/hyperlink" Target="https://www.sec.gov/Archives/edgar/data/1524472/000152447224000040/xyl1015202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2024-10-31T15:24:57Z</dcterms:created>
  <dcterms:modified xsi:type="dcterms:W3CDTF">2024-10-31T15:24:57Z</dcterms:modified>
</cp:coreProperties>
</file>