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McClain Gretchen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60" w:type="dxa"/>
            <w:vAlign w:val="bottom"/>
            <w:tcBorders>
              <w:top w:val="single" w:sz="8" w:color="0000EE"/>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10/06/2011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Xylem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XYL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940" w:type="dxa"/>
            <w:vAlign w:val="bottom"/>
          </w:tcPr>
          <w:p>
            <w:pPr>
              <w:ind w:left="24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1133 WESTCHESTER AVENUE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color w:val="0000FF"/>
              </w:rPr>
              <w:t>C/O ITT CORP</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WHITE</w:t>
            </w:r>
          </w:p>
        </w:tc>
        <w:tc>
          <w:tcPr>
            <w:tcW w:w="940" w:type="dxa"/>
            <w:vAlign w:val="bottom"/>
            <w:vMerge w:val="restart"/>
          </w:tcPr>
          <w:p>
            <w:pPr>
              <w:ind w:left="240"/>
              <w:spacing w:after="0"/>
              <w:rPr>
                <w:sz w:val="20"/>
                <w:szCs w:val="20"/>
                <w:color w:val="auto"/>
              </w:rPr>
            </w:pPr>
            <w:r>
              <w:rPr>
                <w:rFonts w:ascii="Arial" w:cs="Arial" w:eastAsia="Arial" w:hAnsi="Arial"/>
                <w:sz w:val="18"/>
                <w:szCs w:val="18"/>
                <w:color w:val="0000FF"/>
              </w:rPr>
              <w:t>NY</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10604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PLAINS</w:t>
            </w:r>
          </w:p>
        </w:tc>
        <w:tc>
          <w:tcPr>
            <w:tcW w:w="9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6"/>
        <w:spacing w:after="0"/>
        <w:rPr>
          <w:sz w:val="20"/>
          <w:szCs w:val="20"/>
          <w:color w:val="auto"/>
        </w:rPr>
      </w:pPr>
      <w:r>
        <w:rPr>
          <w:rFonts w:ascii="Arial" w:cs="Arial" w:eastAsia="Arial" w:hAnsi="Arial"/>
          <w:sz w:val="18"/>
          <w:szCs w:val="18"/>
          <w:color w:val="0000FF"/>
        </w:rPr>
        <w:t>President &amp; CEO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Frank R. Jimenez, Attorney- </w:t>
      </w:r>
      <w:r>
        <w:rPr>
          <w:rFonts w:ascii="Arial" w:cs="Arial" w:eastAsia="Arial" w:hAnsi="Arial"/>
          <w:sz w:val="35"/>
          <w:szCs w:val="35"/>
          <w:color w:val="0000FF"/>
          <w:vertAlign w:val="subscript"/>
        </w:rPr>
        <w:t>10/06/2011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Gretchen W. McClain, does hereby nominate, constitute and appoint Frank R. Jimenez and Rina E. Teran in their true and lawful attorney and agent to do any and all acts and things and execute and file any and all instruments which said attorneys and agents may deem necessary or advisable to enable the undersigned (in her individual capacity or in any other capacity) to comply with the Securities Exchange Act of 1934 (the "34 Act") and the Securities Act of 1933 (the "33 Act") and any requirements of the Securities and Exchange Commission (the "SEC") in respect thereof, in connection with the preparation, execution and/or filing of (i) any report or statement of beneficial ownership or changes in beneficial ownership of securities of Xylem Inc., an Indiana corporation (the "Company"), that the undersigned (in her individual capacity or in any other capacity) may be required to file pursuant</w:t>
      </w:r>
    </w:p>
    <w:p>
      <w:pPr>
        <w:spacing w:after="0" w:line="18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to Section 16(a) of the 34 Act, including any report or statement on Form 3, Form 4 or Form 5, or to any amendment thereto, (ii) any report or notice required under Rule 144 of the 33 Act, including Form 144, or any amendment thereto, and (iii) any and all other documents or instruments that may be necessary or desirable in connection with or in furtherance of any of the foregoing, including Form ID, or any amendments thereto, and any other documents necessary or appropriate to obtain codes and passwords enabling the undersigned to make electronic filings with the SEC of reports required pursuant to Section 16(a) of the 34 Act or any rule or regulation of the SEC, such power and authority to extend to any form or forms adopted by the SEC in lieu of or in addition to any of the foregoing and to include full power and authority to sign the undersigned's name in her individual capacity or otherwise, hereby ratifying and confirming all that said attorneys and agents, or any of them, shall do or cause to be done by virtue thereof.</w:t>
      </w:r>
    </w:p>
    <w:p>
      <w:pPr>
        <w:spacing w:after="0" w:line="208" w:lineRule="exact"/>
        <w:rPr>
          <w:sz w:val="20"/>
          <w:szCs w:val="20"/>
          <w:color w:val="auto"/>
        </w:rPr>
      </w:pPr>
    </w:p>
    <w:p>
      <w:pPr>
        <w:ind w:right="1579" w:firstLine="843"/>
        <w:spacing w:after="0" w:line="237" w:lineRule="auto"/>
        <w:rPr>
          <w:sz w:val="20"/>
          <w:szCs w:val="20"/>
          <w:color w:val="auto"/>
        </w:rPr>
      </w:pPr>
      <w:r>
        <w:rPr>
          <w:rFonts w:ascii="Courier New" w:cs="Courier New" w:eastAsia="Courier New" w:hAnsi="Courier New"/>
          <w:sz w:val="18"/>
          <w:szCs w:val="18"/>
          <w:color w:val="auto"/>
        </w:rPr>
        <w:t>This authorization shall supersede all prior authorizations to act for the undersigned with respect to securities of the Company in such matters, which prior authorizations are hereby revoked, and shall remain in effect until revoked by the undersigned in a signed writing delivered to the foregoing attorneys in fact.</w:t>
      </w: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 WITNESS WHEREOF, I have hereunto set my hand this 27th day of September,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Gretchen W. McClain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94828" TargetMode="External"/><Relationship Id="rId12" Type="http://schemas.openxmlformats.org/officeDocument/2006/relationships/hyperlink" Target="http://www.sec.gov/cgi-bin/browse-edgar?action=getcompany&amp;CIK=0001524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2019-12-18T02:35:46Z</dcterms:created>
  <dcterms:modified xsi:type="dcterms:W3CDTF">2019-12-18T02:35:46Z</dcterms:modified>
</cp:coreProperties>
</file>