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0255d424b5.htm"/>
        <w:bookmarkStart w:id="1" w:name="ksd180255d424b5"/>
        <w:bookmarkEnd w:id="0"/>
        <w:bookmarkEnd w:id="1"/>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Times New Roman" w:hAnsi="Times New Roman"/>
          <w:b/>
          <w:sz w:val="20"/>
        </w:rPr>
      </w:pPr>
      <w:r>
        <w:rPr>
          <w:rFonts w:ascii="Times New Roman" w:hAnsi="Times New Roman"/>
          <w:b/>
          <w:sz w:val="20"/>
        </w:rPr>
        <w:t>Filed Pursuant to Rule 424(b)(5)</w:t>
        <w:br/>
        <w:t xml:space="preserve">Registration No. 333-297937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15, 2026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PRELIMINARY PROSPECTUS SUPPLEMENT </w:t>
      </w:r>
    </w:p>
    <w:p>
      <w:pPr>
        <w:pStyle w:val="TextBody"/>
        <w:bidi w:val="0"/>
        <w:spacing w:before="0" w:after="0"/>
        <w:ind w:left="960" w:right="960" w:hanging="0"/>
        <w:jc w:val="left"/>
        <w:rPr>
          <w:rFonts w:ascii="Times New Roman" w:hAnsi="Times New Roman"/>
          <w:b/>
          <w:sz w:val="16"/>
        </w:rPr>
      </w:pPr>
      <w:r>
        <w:rPr>
          <w:rFonts w:ascii="Times New Roman" w:hAnsi="Times New Roman"/>
          <w:b/>
          <w:sz w:val="16"/>
        </w:rPr>
        <w:t xml:space="preserve">(To Prospectus dated August 3, 2026) </w:t>
      </w:r>
    </w:p>
    <w:p>
      <w:pPr>
        <w:pStyle w:val="TextBody"/>
        <w:bidi w:val="0"/>
        <w:spacing w:before="120" w:after="0"/>
        <w:ind w:left="960" w:right="960" w:hanging="0"/>
        <w:jc w:val="center"/>
        <w:rPr>
          <w:rFonts w:ascii="Times New Roman" w:hAnsi="Times New Roman"/>
          <w:b/>
          <w:sz w:val="36"/>
        </w:rPr>
      </w:pPr>
      <w:r>
        <w:rPr>
          <w:rFonts w:ascii="Times New Roman" w:hAnsi="Times New Roman"/>
          <w:b/>
          <w:sz w:val="36"/>
        </w:rPr>
        <w:t xml:space="preserve">$    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824990" cy="722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4990" cy="722630"/>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48"/>
        </w:rPr>
      </w:pPr>
      <w:r>
        <w:rPr>
          <w:rFonts w:ascii="Times New Roman" w:hAnsi="Times New Roman"/>
          <w:b/>
          <w:sz w:val="48"/>
        </w:rPr>
        <w:t xml:space="preserve">Xylem Inc.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$       % Senior Notes due 20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$       % Senior Notes due 20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$       % Senior Notes due 20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are offering $     aggregate principal amount of notes, consisting of $     aggregate principal amount of our  % Senior Notes due 20  , which we refer to as the “20   notes,” $     aggregate principal amount of our   % Senior Notes due 20  , which we refer to as the “20   notes” and $     aggregate principal amount of our  % Senior Notes due 20  , which we refer to as the “20   notes.” The 20   notes, the 20   notes and the 20   notes are collectively referred to as the “notes.”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will pay interest on the notes semi-annually on     and     of each year, commencing on     , 2027. The 20   notes will bear interest at the rate of  % per annum. The 20  notes will bear interest at the rate of  % per annum. The 20  notes will bear interest at the rate of  % per annum. The 20   notes will mature on    , 20  . The 20   notes will mature on    , 20  . The 20   notes will mature on    , 20  .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As described in “Use of Proceeds,” the notes are being offered to finance all or a portion of the purchase price payable for the Acquisition (as defined herein). This offering is not contingent on the consummation of the Acquisition, which, if completed, will occur subsequent to the closing of this offering. However, if (i) we do not consummate the Acquisition on or prior to the later of (x) August 10, 2027 and (y) such later date to which the termination date under the equity purchase agreement as in effect on the closing date of this offering may be amended in accordance with the terms thereof (such later date, the “Special Mandatory Redemption End Date”), (ii) on or prior to the Special Mandatory Redemption End Date, the equity purchase agreement with respect to the Acquisition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 (as defined herein). The net proceeds from the offering of the notes will not be deposited into an escrow account pending any Special Mandatory Redemption (as defined herein) of the notes. See “Description of Notes—Special Mandatory Redemption.”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may also redeem some or all of each series of notes at any time and from time to time at the applicable redemption price described under “Description of Notes—Optional Redemption.” If we experience a change of control triggering event, as defined under the indenture governing the notes, each holder of notes may require us to repurchase some or all of its notes at a purchase price equal to 101% of the aggregate principal amount of the notes repurchased, plus any accrued and unpaid interest up to, but not including, the repurchase date. See “Description of Notes—Repurchase Upon Change of Control Triggering Event.”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notes will be our senior unsecured obligations and rank equally with our other unsecured and unsubordinated indebtedness. The notes will be issued only in minimum denominations of $2,000 and integral multiples of $1,000 in excess thereof.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notes are new issues of securities with no established trading markets. We do not intend to apply to list the notes on any securities exchange or to have the notes quoted on any automated quotation system.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0"/>
        </w:rPr>
        <w:t xml:space="preserve">Investing in the notes involves risks. You should carefully read and consider the </w:t>
      </w:r>
      <w:hyperlink w:anchor="supprom180255_6">
        <w:r>
          <w:rPr>
            <w:rStyle w:val="InternetLink"/>
            <w:rFonts w:ascii="Times New Roman" w:hAnsi="Times New Roman"/>
            <w:b/>
            <w:sz w:val="20"/>
          </w:rPr>
          <w:t>risk factors</w:t>
        </w:r>
      </w:hyperlink>
      <w:r>
        <w:rPr>
          <w:rFonts w:ascii="Times New Roman" w:hAnsi="Times New Roman"/>
          <w:b/>
          <w:sz w:val="20"/>
        </w:rPr>
        <w:t xml:space="preserve"> included in this prospectus supplement beginning on page S-9 and included in our periodic reports and other information that we file with the Securities and Exchange Commission before you invest in the notes.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 notes or determined that this prospectus supplement or the accompanying prospectus is accurate or complete. Any representation to the contrary is a criminal offense.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1531"/>
        <w:gridCol w:w="221"/>
        <w:gridCol w:w="173"/>
        <w:gridCol w:w="1298"/>
        <w:gridCol w:w="338"/>
        <w:gridCol w:w="137"/>
        <w:gridCol w:w="206"/>
        <w:gridCol w:w="1558"/>
        <w:gridCol w:w="339"/>
        <w:gridCol w:w="136"/>
        <w:gridCol w:w="173"/>
        <w:gridCol w:w="1298"/>
        <w:gridCol w:w="347"/>
      </w:tblGrid>
      <w:tr>
        <w:trPr/>
        <w:tc>
          <w:tcPr>
            <w:tcW w:w="1531"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w:t>
              <w:br/>
              <w:t>Public (1)</w:t>
            </w:r>
          </w:p>
        </w:tc>
        <w:tc>
          <w:tcPr>
            <w:tcW w:w="33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7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339"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w:t>
              <w:br/>
              <w:t>Before</w:t>
              <w:br/>
              <w:t>Expenses,</w:t>
              <w:br/>
              <w:t>to us (1)</w:t>
            </w:r>
          </w:p>
        </w:tc>
        <w:tc>
          <w:tcPr>
            <w:tcW w:w="347" w:type="dxa"/>
            <w:tcBorders/>
            <w:vAlign w:val="bottom"/>
          </w:tcPr>
          <w:p>
            <w:pPr>
              <w:pStyle w:val="TableContents"/>
              <w:bidi w:val="0"/>
              <w:spacing w:before="0" w:after="283"/>
              <w:jc w:val="left"/>
              <w:rPr/>
            </w:pPr>
            <w:r>
              <w:rPr/>
              <w:t> </w:t>
            </w:r>
          </w:p>
        </w:tc>
      </w:tr>
      <w:tr>
        <w:trPr/>
        <w:tc>
          <w:tcPr>
            <w:tcW w:w="153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20   Note</w:t>
            </w:r>
          </w:p>
        </w:tc>
        <w:tc>
          <w:tcPr>
            <w:tcW w:w="2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33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347" w:type="dxa"/>
            <w:tcBorders/>
            <w:shd w:fill="CCEEFF" w:val="clear"/>
            <w:vAlign w:val="bottom"/>
          </w:tcPr>
          <w:p>
            <w:pPr>
              <w:pStyle w:val="TableContents"/>
              <w:bidi w:val="0"/>
              <w:spacing w:before="0" w:after="283"/>
              <w:jc w:val="left"/>
              <w:rPr/>
            </w:pPr>
            <w:r>
              <w:rPr/>
              <w:t>% </w:t>
            </w:r>
          </w:p>
        </w:tc>
      </w:tr>
      <w:tr>
        <w:trPr/>
        <w:tc>
          <w:tcPr>
            <w:tcW w:w="1531" w:type="dxa"/>
            <w:tcBorders/>
          </w:tcPr>
          <w:p>
            <w:pPr>
              <w:pStyle w:val="TableContents"/>
              <w:bidi w:val="0"/>
              <w:spacing w:before="0" w:after="0"/>
              <w:jc w:val="left"/>
              <w:rPr>
                <w:rFonts w:ascii="Times New Roman" w:hAnsi="Times New Roman"/>
                <w:sz w:val="16"/>
              </w:rPr>
            </w:pPr>
            <w:r>
              <w:rPr>
                <w:rFonts w:ascii="Times New Roman" w:hAnsi="Times New Roman"/>
                <w:sz w:val="16"/>
              </w:rPr>
              <w:t>20   Notes Total</w:t>
            </w:r>
          </w:p>
        </w:tc>
        <w:tc>
          <w:tcPr>
            <w:tcW w:w="2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     </w:t>
            </w:r>
          </w:p>
        </w:tc>
        <w:tc>
          <w:tcPr>
            <w:tcW w:w="33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1558"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     </w:t>
            </w:r>
          </w:p>
        </w:tc>
        <w:tc>
          <w:tcPr>
            <w:tcW w:w="347" w:type="dxa"/>
            <w:tcBorders/>
            <w:vAlign w:val="bottom"/>
          </w:tcPr>
          <w:p>
            <w:pPr>
              <w:pStyle w:val="TableContents"/>
              <w:bidi w:val="0"/>
              <w:spacing w:before="0" w:after="283"/>
              <w:jc w:val="left"/>
              <w:rPr/>
            </w:pPr>
            <w:r>
              <w:rPr/>
              <w:t> </w:t>
            </w:r>
          </w:p>
        </w:tc>
      </w:tr>
      <w:tr>
        <w:trPr/>
        <w:tc>
          <w:tcPr>
            <w:tcW w:w="153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20   Note</w:t>
            </w:r>
          </w:p>
        </w:tc>
        <w:tc>
          <w:tcPr>
            <w:tcW w:w="2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33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347" w:type="dxa"/>
            <w:tcBorders/>
            <w:shd w:fill="CCEEFF" w:val="clear"/>
            <w:vAlign w:val="bottom"/>
          </w:tcPr>
          <w:p>
            <w:pPr>
              <w:pStyle w:val="TableContents"/>
              <w:bidi w:val="0"/>
              <w:spacing w:before="0" w:after="283"/>
              <w:jc w:val="left"/>
              <w:rPr/>
            </w:pPr>
            <w:r>
              <w:rPr/>
              <w:t>% </w:t>
            </w:r>
          </w:p>
        </w:tc>
      </w:tr>
      <w:tr>
        <w:trPr/>
        <w:tc>
          <w:tcPr>
            <w:tcW w:w="1531" w:type="dxa"/>
            <w:tcBorders/>
          </w:tcPr>
          <w:p>
            <w:pPr>
              <w:pStyle w:val="TableContents"/>
              <w:bidi w:val="0"/>
              <w:spacing w:before="0" w:after="0"/>
              <w:jc w:val="left"/>
              <w:rPr>
                <w:rFonts w:ascii="Times New Roman" w:hAnsi="Times New Roman"/>
                <w:sz w:val="16"/>
              </w:rPr>
            </w:pPr>
            <w:r>
              <w:rPr>
                <w:rFonts w:ascii="Times New Roman" w:hAnsi="Times New Roman"/>
                <w:sz w:val="16"/>
              </w:rPr>
              <w:t>20   Notes Total</w:t>
            </w:r>
          </w:p>
        </w:tc>
        <w:tc>
          <w:tcPr>
            <w:tcW w:w="2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 </w:t>
            </w:r>
          </w:p>
        </w:tc>
        <w:tc>
          <w:tcPr>
            <w:tcW w:w="33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1558"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 </w:t>
            </w:r>
          </w:p>
        </w:tc>
        <w:tc>
          <w:tcPr>
            <w:tcW w:w="347" w:type="dxa"/>
            <w:tcBorders/>
            <w:vAlign w:val="bottom"/>
          </w:tcPr>
          <w:p>
            <w:pPr>
              <w:pStyle w:val="TableContents"/>
              <w:bidi w:val="0"/>
              <w:spacing w:before="0" w:after="283"/>
              <w:jc w:val="left"/>
              <w:rPr/>
            </w:pPr>
            <w:r>
              <w:rPr/>
              <w:t> </w:t>
            </w:r>
          </w:p>
        </w:tc>
      </w:tr>
      <w:tr>
        <w:trPr/>
        <w:tc>
          <w:tcPr>
            <w:tcW w:w="153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20   Note</w:t>
            </w:r>
          </w:p>
        </w:tc>
        <w:tc>
          <w:tcPr>
            <w:tcW w:w="2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33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347" w:type="dxa"/>
            <w:tcBorders/>
            <w:shd w:fill="CCEEFF" w:val="clear"/>
            <w:vAlign w:val="bottom"/>
          </w:tcPr>
          <w:p>
            <w:pPr>
              <w:pStyle w:val="TableContents"/>
              <w:bidi w:val="0"/>
              <w:spacing w:before="0" w:after="283"/>
              <w:jc w:val="left"/>
              <w:rPr/>
            </w:pPr>
            <w:r>
              <w:rPr/>
              <w:t>% </w:t>
            </w:r>
          </w:p>
        </w:tc>
      </w:tr>
      <w:tr>
        <w:trPr/>
        <w:tc>
          <w:tcPr>
            <w:tcW w:w="1531" w:type="dxa"/>
            <w:tcBorders/>
          </w:tcPr>
          <w:p>
            <w:pPr>
              <w:pStyle w:val="TableContents"/>
              <w:bidi w:val="0"/>
              <w:spacing w:before="0" w:after="0"/>
              <w:jc w:val="left"/>
              <w:rPr>
                <w:rFonts w:ascii="Times New Roman" w:hAnsi="Times New Roman"/>
                <w:sz w:val="16"/>
              </w:rPr>
            </w:pPr>
            <w:r>
              <w:rPr>
                <w:rFonts w:ascii="Times New Roman" w:hAnsi="Times New Roman"/>
                <w:sz w:val="16"/>
              </w:rPr>
              <w:t>20   Notes Total</w:t>
            </w:r>
          </w:p>
        </w:tc>
        <w:tc>
          <w:tcPr>
            <w:tcW w:w="2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 </w:t>
            </w:r>
          </w:p>
        </w:tc>
        <w:tc>
          <w:tcPr>
            <w:tcW w:w="33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1558"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 </w:t>
            </w:r>
          </w:p>
        </w:tc>
        <w:tc>
          <w:tcPr>
            <w:tcW w:w="347" w:type="dxa"/>
            <w:tcBorders/>
            <w:vAlign w:val="bottom"/>
          </w:tcPr>
          <w:p>
            <w:pPr>
              <w:pStyle w:val="TableContents"/>
              <w:bidi w:val="0"/>
              <w:spacing w:before="0" w:after="283"/>
              <w:jc w:val="left"/>
              <w:rPr/>
            </w:pPr>
            <w:r>
              <w:rPr/>
              <w:t> </w:t>
            </w:r>
          </w:p>
        </w:tc>
      </w:tr>
      <w:tr>
        <w:trPr/>
        <w:tc>
          <w:tcPr>
            <w:tcW w:w="1531"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338"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558"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347" w:type="dxa"/>
            <w:tcBorders/>
            <w:vAlign w:val="center"/>
          </w:tcPr>
          <w:p>
            <w:pPr>
              <w:pStyle w:val="TableContents"/>
              <w:bidi w:val="0"/>
              <w:spacing w:before="0" w:after="283"/>
              <w:jc w:val="left"/>
              <w:rPr/>
            </w:pPr>
            <w:r>
              <w:rPr/>
              <w:t> </w:t>
            </w:r>
          </w:p>
        </w:tc>
      </w:tr>
      <w:tr>
        <w:trPr/>
        <w:tc>
          <w:tcPr>
            <w:tcW w:w="153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2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 </w:t>
            </w:r>
          </w:p>
        </w:tc>
        <w:tc>
          <w:tcPr>
            <w:tcW w:w="33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558"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 </w:t>
            </w:r>
          </w:p>
        </w:tc>
        <w:tc>
          <w:tcPr>
            <w:tcW w:w="347" w:type="dxa"/>
            <w:tcBorders/>
            <w:shd w:fill="CCEEFF" w:val="clear"/>
            <w:vAlign w:val="bottom"/>
          </w:tcPr>
          <w:p>
            <w:pPr>
              <w:pStyle w:val="TableContents"/>
              <w:bidi w:val="0"/>
              <w:spacing w:before="0" w:after="283"/>
              <w:jc w:val="left"/>
              <w:rPr/>
            </w:pPr>
            <w:r>
              <w:rPr/>
              <w:t> </w:t>
            </w:r>
          </w:p>
        </w:tc>
      </w:tr>
      <w:tr>
        <w:trPr/>
        <w:tc>
          <w:tcPr>
            <w:tcW w:w="1531"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338"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558" w:type="dxa"/>
            <w:tcBorders/>
            <w:vAlign w:val="bottom"/>
          </w:tcPr>
          <w:p>
            <w:pPr>
              <w:pStyle w:val="TableContents"/>
              <w:pBdr>
                <w:top w:val="double" w:sz="6"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347" w:type="dxa"/>
            <w:tcBorders/>
            <w:vAlign w:val="center"/>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if any, from    , 2026, if settlement occurs after that date. </w:t>
            </w:r>
          </w:p>
        </w:tc>
      </w:tr>
    </w:tbl>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underwriters expect to deliver the notes in book-entry form only through the facilities of The Depository Trust Company and its participants, including Clearstream Banking, </w:t>
      </w:r>
      <w:r>
        <w:rPr>
          <w:rFonts w:ascii="Times New Roman" w:hAnsi="Times New Roman"/>
          <w:i/>
          <w:sz w:val="16"/>
        </w:rPr>
        <w:t xml:space="preserve">société anonyme </w:t>
      </w:r>
      <w:r>
        <w:rPr>
          <w:rFonts w:ascii="Times New Roman" w:hAnsi="Times New Roman"/>
          <w:sz w:val="16"/>
        </w:rPr>
        <w:t xml:space="preserve">and Euroclear Bank S.A./N.V.,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i/>
          <w:sz w:val="16"/>
        </w:rPr>
      </w:pPr>
      <w:r>
        <w:rPr>
          <w:rFonts w:ascii="Times New Roman" w:hAnsi="Times New Roman"/>
          <w:b/>
          <w:i/>
          <w:sz w:val="16"/>
        </w:rPr>
        <w:t xml:space="preserve">Joint Book-Running Managers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2755"/>
        <w:gridCol w:w="101"/>
        <w:gridCol w:w="4185"/>
        <w:gridCol w:w="102"/>
        <w:gridCol w:w="3062"/>
      </w:tblGrid>
      <w:tr>
        <w:trPr/>
        <w:tc>
          <w:tcPr>
            <w:tcW w:w="27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r>
      <w:tr>
        <w:trPr/>
        <w:tc>
          <w:tcPr>
            <w:tcW w:w="2755" w:type="dxa"/>
            <w:tcBorders/>
          </w:tcPr>
          <w:p>
            <w:pPr>
              <w:pStyle w:val="TableContents"/>
              <w:bidi w:val="0"/>
              <w:spacing w:before="0" w:after="283"/>
              <w:jc w:val="left"/>
              <w:rPr>
                <w:b/>
              </w:rPr>
            </w:pPr>
            <w:r>
              <w:rPr>
                <w:b/>
              </w:rPr>
              <w:t>Citigroup</w:t>
            </w:r>
          </w:p>
        </w:tc>
        <w:tc>
          <w:tcPr>
            <w:tcW w:w="101"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center"/>
              <w:rPr/>
            </w:pPr>
            <w:r>
              <w:rPr/>
              <w:t> </w:t>
            </w:r>
            <w:r>
              <w:rPr>
                <w:b/>
              </w:rPr>
              <w:t>ING</w:t>
            </w:r>
          </w:p>
        </w:tc>
        <w:tc>
          <w:tcPr>
            <w:tcW w:w="102"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right"/>
              <w:rPr>
                <w:b/>
              </w:rPr>
            </w:pPr>
            <w:r>
              <w:rPr>
                <w:b/>
              </w:rPr>
              <w:t>J.P. Morgan</w:t>
            </w:r>
          </w:p>
        </w:tc>
      </w:tr>
    </w:tbl>
    <w:tbl>
      <w:tblPr>
        <w:tblW w:w="5000" w:type="pct"/>
        <w:jc w:val="center"/>
        <w:tblInd w:w="0" w:type="dxa"/>
        <w:tblLayout w:type="fixed"/>
        <w:tblCellMar>
          <w:top w:w="0" w:type="dxa"/>
          <w:left w:w="0" w:type="dxa"/>
          <w:bottom w:w="0" w:type="dxa"/>
          <w:right w:w="0" w:type="dxa"/>
        </w:tblCellMar>
      </w:tblPr>
      <w:tblGrid>
        <w:gridCol w:w="1020"/>
        <w:gridCol w:w="101"/>
        <w:gridCol w:w="3471"/>
        <w:gridCol w:w="102"/>
        <w:gridCol w:w="4287"/>
        <w:gridCol w:w="102"/>
        <w:gridCol w:w="1122"/>
      </w:tblGrid>
      <w:tr>
        <w:trPr/>
        <w:tc>
          <w:tcPr>
            <w:tcW w:w="102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28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center"/>
              <w:rPr/>
            </w:pPr>
            <w:r>
              <w:rPr/>
              <w:t> </w:t>
            </w:r>
          </w:p>
        </w:tc>
        <w:tc>
          <w:tcPr>
            <w:tcW w:w="101"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283"/>
              <w:jc w:val="center"/>
              <w:rPr>
                <w:b/>
              </w:rPr>
            </w:pPr>
            <w:r>
              <w:rPr>
                <w:b/>
              </w:rPr>
              <w:t>BNP PARIBAS</w:t>
            </w:r>
          </w:p>
        </w:tc>
        <w:tc>
          <w:tcPr>
            <w:tcW w:w="102" w:type="dxa"/>
            <w:tcBorders/>
            <w:vAlign w:val="bottom"/>
          </w:tcPr>
          <w:p>
            <w:pPr>
              <w:pStyle w:val="TableContents"/>
              <w:bidi w:val="0"/>
              <w:spacing w:before="0" w:after="283"/>
              <w:jc w:val="left"/>
              <w:rPr/>
            </w:pPr>
            <w:r>
              <w:rPr/>
              <w:t> </w:t>
            </w:r>
          </w:p>
        </w:tc>
        <w:tc>
          <w:tcPr>
            <w:tcW w:w="4287" w:type="dxa"/>
            <w:tcBorders/>
          </w:tcPr>
          <w:p>
            <w:pPr>
              <w:pStyle w:val="TableContents"/>
              <w:bidi w:val="0"/>
              <w:spacing w:before="0" w:after="283"/>
              <w:jc w:val="center"/>
              <w:rPr>
                <w:b/>
              </w:rPr>
            </w:pPr>
            <w:r>
              <w:rPr>
                <w:b/>
              </w:rPr>
              <w:t>Wells Fargo Securities</w:t>
            </w:r>
          </w:p>
        </w:tc>
        <w:tc>
          <w:tcPr>
            <w:tcW w:w="102"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center"/>
              <w:rPr/>
            </w:pPr>
            <w:r>
              <w:rPr/>
              <w:t> </w:t>
            </w:r>
          </w:p>
        </w:tc>
      </w:tr>
    </w:tbl>
    <w:p>
      <w:pPr>
        <w:pStyle w:val="TextBody"/>
        <w:bidi w:val="0"/>
        <w:spacing w:before="120" w:after="0"/>
        <w:ind w:left="960" w:right="960" w:hanging="0"/>
        <w:jc w:val="center"/>
        <w:rPr>
          <w:rFonts w:ascii="Times New Roman" w:hAnsi="Times New Roman"/>
          <w:b/>
          <w:sz w:val="16"/>
        </w:rPr>
      </w:pPr>
      <w:r>
        <w:rPr>
          <w:rFonts w:ascii="Times New Roman" w:hAnsi="Times New Roman"/>
          <w:b/>
          <w:sz w:val="16"/>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283"/>
              <w:jc w:val="center"/>
              <w:rPr>
                <w:b/>
              </w:rPr>
            </w:pPr>
            <w:r>
              <w:rPr>
                <w:b/>
              </w:rPr>
              <w:t>Prospectus Supplement</w:t>
            </w:r>
          </w:p>
        </w:tc>
        <w:tc>
          <w:tcPr>
            <w:tcW w:w="145"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2">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3">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4">
              <w:r>
                <w:rPr>
                  <w:rStyle w:val="InternetLink"/>
                  <w:rFonts w:ascii="Times New Roman" w:hAnsi="Times New Roman"/>
                  <w:sz w:val="20"/>
                </w:rPr>
                <w:t>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5">
              <w:r>
                <w:rPr>
                  <w:rStyle w:val="InternetLink"/>
                  <w:rFonts w:ascii="Times New Roman" w:hAnsi="Times New Roman"/>
                  <w:sz w:val="20"/>
                </w:rPr>
                <w:t>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6">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7">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8">
              <w:r>
                <w:rPr>
                  <w:rStyle w:val="InternetLink"/>
                  <w:rFonts w:ascii="Times New Roman" w:hAnsi="Times New Roman"/>
                  <w:sz w:val="20"/>
                </w:rPr>
                <w:t>Capitalization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9">
              <w:r>
                <w:rPr>
                  <w:rStyle w:val="InternetLink"/>
                  <w:rFonts w:ascii="Times New Roman" w:hAnsi="Times New Roman"/>
                  <w:sz w:val="20"/>
                </w:rPr>
                <w:t>Description of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10">
              <w:r>
                <w:rPr>
                  <w:rStyle w:val="InternetLink"/>
                  <w:rFonts w:ascii="Times New Roman" w:hAnsi="Times New Roman"/>
                  <w:sz w:val="20"/>
                </w:rPr>
                <w:t>Material United States Federal Income Tax Considerations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11">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12">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13">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rHeight w:val="240" w:hRule="atLeast"/>
        </w:trPr>
        <w:tc>
          <w:tcPr>
            <w:tcW w:w="9453" w:type="dxa"/>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center"/>
              <w:rPr>
                <w:b/>
              </w:rPr>
            </w:pPr>
            <w:r>
              <w:rPr>
                <w:b/>
              </w:rPr>
              <w:t>Prospectus</w:t>
            </w:r>
          </w:p>
        </w:tc>
        <w:tc>
          <w:tcPr>
            <w:tcW w:w="145"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1">
              <w:r>
                <w:rPr>
                  <w:rStyle w:val="InternetLink"/>
                  <w:rFonts w:ascii="Times New Roman" w:hAnsi="Times New Roman"/>
                  <w:sz w:val="20"/>
                </w:rPr>
                <w:t>About This Prospectus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2">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3">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4">
              <w:r>
                <w:rPr>
                  <w:rStyle w:val="InternetLink"/>
                  <w:rFonts w:ascii="Times New Roman" w:hAnsi="Times New Roman"/>
                  <w:sz w:val="20"/>
                </w:rPr>
                <w:t>Special 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5">
              <w:r>
                <w:rPr>
                  <w:rStyle w:val="InternetLink"/>
                  <w:rFonts w:ascii="Times New Roman" w:hAnsi="Times New Roman"/>
                  <w:sz w:val="20"/>
                </w:rPr>
                <w:t>About the Registrant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6">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7">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8">
              <w:r>
                <w:rPr>
                  <w:rStyle w:val="InternetLink"/>
                  <w:rFonts w:ascii="Times New Roman" w:hAnsi="Times New Roman"/>
                  <w:sz w:val="20"/>
                </w:rPr>
                <w:t>Description of Debt Securities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9">
              <w:r>
                <w:rPr>
                  <w:rStyle w:val="InternetLink"/>
                  <w:rFonts w:ascii="Times New Roman" w:hAnsi="Times New Roman"/>
                  <w:sz w:val="20"/>
                </w:rPr>
                <w:t>Description of Capital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10">
              <w:r>
                <w:rPr>
                  <w:rStyle w:val="InternetLink"/>
                  <w:rFonts w:ascii="Times New Roman" w:hAnsi="Times New Roman"/>
                  <w:sz w:val="20"/>
                </w:rPr>
                <w:t>Description of Other Securities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11">
              <w:r>
                <w:rPr>
                  <w:rStyle w:val="InternetLink"/>
                  <w:rFonts w:ascii="Times New Roman" w:hAnsi="Times New Roman"/>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12">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13">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8025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the offering of the notes. The second part is the accompanying prospectus dated August 3, 2026, which we refer to as the “accompanying prospectus.” The accompanying prospectus contains a general description of our debt securities and other general information, some of which may not apply to the notes. </w:t>
      </w:r>
    </w:p>
    <w:p>
      <w:pPr>
        <w:pStyle w:val="TextBody"/>
        <w:bidi w:val="0"/>
        <w:spacing w:before="240" w:after="0"/>
        <w:jc w:val="left"/>
        <w:rPr>
          <w:rFonts w:ascii="Times New Roman" w:hAnsi="Times New Roman"/>
          <w:sz w:val="20"/>
        </w:rPr>
      </w:pPr>
      <w:r>
        <w:rPr>
          <w:rFonts w:ascii="Times New Roman" w:hAnsi="Times New Roman"/>
          <w:sz w:val="20"/>
        </w:rPr>
        <w:t xml:space="preserve">We are responsible for the information contained in or incorporated by reference in this prospectus supplement, the accompanying prospectus and in any related free writing prospectus we prepare or authorize. We have not, and the underwriters have not, authorized anyone to give you any other information, and neither we nor the underwriters take responsibility for any other information that others may give you. The notes are offered globally for sale only in those jurisdictions where it is lawful to make such offers. We are not, and the underwriters are not, making an offer of these securities in any jurisdiction where the offer or sale is not permitted.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to sell or the solicitation of an offer to buy (i) by any person in any jurisdiction in which such offer or solicitation is not authorized or in which the person making such offer or solicitation is not authorized or qualified to make such offer or solicitation or (ii) to any person to whom it is unlawful to make such offer or solicitation. See “Underwriting” in this prospectus supplement. You should not assume that the information provided by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Before you invest in the notes, you should carefully read the registration statement (including the exhibits thereto) of which this prospectus supplement and the accompanying prospectus form a part, this prospectus supplement, the accompanying prospectus and the documents incorporated by reference into this prospectus supplement and the accompanying prospectus. The incorporated documents are described in this prospectus supplement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references in this prospectus to “Xylem,” the “Company,” “we,” “us,” and “our” refer to Xylem Inc. and its consolidated subsidiaries. </w:t>
      </w:r>
    </w:p>
    <w:p>
      <w:pPr>
        <w:pStyle w:val="TextBody"/>
        <w:bidi w:val="0"/>
        <w:spacing w:before="480" w:after="0"/>
        <w:jc w:val="center"/>
        <w:rPr>
          <w:rFonts w:ascii="Times New Roman" w:hAnsi="Times New Roman"/>
          <w:b/>
          <w:sz w:val="20"/>
        </w:rPr>
      </w:pPr>
      <w:bookmarkStart w:id="4" w:name="supprom180255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reports on Form 10-K, quarterly reports on Form 10-Q, current reports on Form 8-K, proxy and information statements and other information with the Securities and Exchange Commission (the “SEC”). The SEC maintains a website at www.sec.gov that contains reports, proxy and information statements and other information regarding Xylem Inc. and other companies that file materials with the SEC electronically. Copies of our periodic and current reports and proxy statements may be obtained, free of charge, on the “Investors” section of our website at http://www.xylem.com. This reference to our website is for informational purposes only and shall not, under any circumstances, be deemed to incorporate the information available at or through such website into this prospectus supplement or the accompanying prospectus. </w:t>
      </w:r>
    </w:p>
    <w:p>
      <w:pPr>
        <w:pStyle w:val="TextBody"/>
        <w:bidi w:val="0"/>
        <w:spacing w:before="480" w:after="0"/>
        <w:jc w:val="center"/>
        <w:rPr>
          <w:rFonts w:ascii="Times New Roman" w:hAnsi="Times New Roman"/>
          <w:b/>
          <w:sz w:val="20"/>
        </w:rPr>
      </w:pPr>
      <w:bookmarkStart w:id="5" w:name="supprom180255_3"/>
      <w:bookmarkEnd w:id="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documents we file with the SEC into this prospectus supplement, which means that we can disclose important information to you by referring to those documents. The information incorporated by reference is considered part of this prospectus supplement. Any statement in this prospectus supplement or incorporated by reference into this prospectus supplement shall be automatically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modified or superseded for purposes of this prospectus supplement to the extent that a statement contained herein or in a subsequently filed document that is incorporated by reference in this prospectus supplement modifies or supersedes such prior statement. We incorporate by reference the following documents filed with the SEC (other than, in each case, any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March 30, 2026, to the extent specifically incorporated by reference into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2026 and June 30, 2026, filed with the SEC on </w:t>
            </w:r>
            <w:hyperlink r:id="rId5">
              <w:r>
                <w:rPr>
                  <w:rStyle w:val="InternetLink"/>
                  <w:rFonts w:ascii="Times New Roman" w:hAnsi="Times New Roman"/>
                  <w:sz w:val="20"/>
                </w:rPr>
                <w:t>April  28, 2026</w:t>
              </w:r>
            </w:hyperlink>
            <w:r>
              <w:rPr>
                <w:rFonts w:ascii="Times New Roman" w:hAnsi="Times New Roman"/>
                <w:sz w:val="20"/>
              </w:rPr>
              <w:t xml:space="preserve"> and </w:t>
            </w:r>
            <w:hyperlink r:id="rId6">
              <w:r>
                <w:rPr>
                  <w:rStyle w:val="InternetLink"/>
                  <w:rFonts w:ascii="Times New Roman" w:hAnsi="Times New Roman"/>
                  <w:sz w:val="20"/>
                </w:rPr>
                <w:t>July 28,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February  25, 2026</w:t>
              </w:r>
            </w:hyperlink>
            <w:r>
              <w:rPr>
                <w:rFonts w:ascii="Times New Roman" w:hAnsi="Times New Roman"/>
                <w:sz w:val="20"/>
              </w:rPr>
              <w:t xml:space="preserve">, </w:t>
            </w:r>
            <w:hyperlink r:id="rId8">
              <w:r>
                <w:rPr>
                  <w:rStyle w:val="InternetLink"/>
                  <w:rFonts w:ascii="Times New Roman" w:hAnsi="Times New Roman"/>
                  <w:sz w:val="20"/>
                </w:rPr>
                <w:t>May  18, 2026</w:t>
              </w:r>
            </w:hyperlink>
            <w:r>
              <w:rPr>
                <w:rFonts w:ascii="Times New Roman" w:hAnsi="Times New Roman"/>
                <w:sz w:val="20"/>
              </w:rPr>
              <w:t xml:space="preserve">, </w:t>
            </w:r>
            <w:hyperlink r:id="rId9">
              <w:r>
                <w:rPr>
                  <w:rStyle w:val="InternetLink"/>
                  <w:rFonts w:ascii="Times New Roman" w:hAnsi="Times New Roman"/>
                  <w:sz w:val="20"/>
                </w:rPr>
                <w:t>May  29, 2026</w:t>
              </w:r>
            </w:hyperlink>
            <w:r>
              <w:rPr>
                <w:rFonts w:ascii="Times New Roman" w:hAnsi="Times New Roman"/>
                <w:sz w:val="20"/>
              </w:rPr>
              <w:t xml:space="preserve">, </w:t>
            </w:r>
            <w:hyperlink r:id="rId10">
              <w:r>
                <w:rPr>
                  <w:rStyle w:val="InternetLink"/>
                  <w:rFonts w:ascii="Times New Roman" w:hAnsi="Times New Roman"/>
                  <w:sz w:val="20"/>
                </w:rPr>
                <w:t>August  13, 2026</w:t>
              </w:r>
            </w:hyperlink>
            <w:r>
              <w:rPr>
                <w:rFonts w:ascii="Times New Roman" w:hAnsi="Times New Roman"/>
                <w:sz w:val="20"/>
              </w:rPr>
              <w:t xml:space="preserve">, </w:t>
            </w:r>
            <w:hyperlink r:id="rId11">
              <w:r>
                <w:rPr>
                  <w:rStyle w:val="InternetLink"/>
                  <w:rFonts w:ascii="Times New Roman" w:hAnsi="Times New Roman"/>
                  <w:sz w:val="20"/>
                </w:rPr>
                <w:t>August  18, 2026</w:t>
              </w:r>
            </w:hyperlink>
            <w:r>
              <w:rPr>
                <w:rFonts w:ascii="Times New Roman" w:hAnsi="Times New Roman"/>
                <w:sz w:val="20"/>
              </w:rPr>
              <w:t xml:space="preserve"> and </w:t>
            </w:r>
            <w:hyperlink r:id="rId12">
              <w:r>
                <w:rPr>
                  <w:rStyle w:val="InternetLink"/>
                  <w:rFonts w:ascii="Times New Roman" w:hAnsi="Times New Roman"/>
                  <w:sz w:val="20"/>
                </w:rPr>
                <w:t>September 9,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filings we make with the SEC under Sections 13(a), 13(c), 14 or 15(d) of the Securities Exchange Act of 1934, as amended (the “Exchange Act”) before the termination of the offering of the securities made under this prospectus supplement. Unless we specifically state to the contrary, none of the information we disclose under Items 2.02 or 7.01 of any Current Report on Form 8-K that we may from time to time furnish to the SEC will be incorporated by reference into, or otherwise included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to whom a copy of this prospectus has been delivered, including any beneficial owner, may request a copy of any or all of the documents referred to above which may have been or may be incorporated by reference into this prospectus supplement and accompanying prospectus (excluding certain exhibits to the documents) at no cost by making a written or oral request to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Xylem Inc., Attention: Corporate Secretary, 301 Water Street SE, Washington, D.C. 20003, (202) 869-9150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TO PROVIDE YOU WITH ANY ADDITIONAL INFORMATION OR ANY INFORMATION THAT IS DIFFERENT FROM THAT CONTAINED IN OR INCORPORATED BY REFERENCE INTO THIS PROSPECTUS SUPPLEMENT OR THE ACCOMPANYING PROSPECTUS OR ANY FREE WRITING PROSPECTUS PROVIDED IN CONNECTION WITH THE OFFERING OF THE NOTES. WE AND THE UNDERWRITERS TAKE NO RESPONSIBILITY FOR, AND CAN PROVIDE NO ASSURANCE AS TO THE RELIABILITY OF, ANY OTHER INFORMATION THAT OTHERS MAY GIVE YOU. YOU SHOULD NOT ASSUME THAT THE INFORMATION CONTAINED IN THIS PROSPECTUS SUPPLEMENT OR THE ACCOMPANYING PROSPECTUS IS ACCURATE AS OF ANY DATE OTHER THAN THAT DATE, UNLESS WE OTHERWISE NOTE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180255_4"/>
      <w:bookmarkEnd w:id="6"/>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including documents incorporated herein by reference, contains “forward-looking statements” within the meaning of Section 27A of the Securities Act of 1933, as amended (the “Securities Act”) and Section 21E of the Exchange Act. Generally, the words “anticipate,” “estimate,” “expect,” “project,” “intend,” “plan,” “contemplate,” “predict,”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availability of funding to our customers,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below under “Risk Factors” and those described from time to time in reports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and other statements in this prospectus supplement or the documents incorporated by reference herein regarding our environmental and other sustainability plans and goals are not an indication that these statements are necessarily material to investors, to our business, operating results,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outlook, or strategy, to our impacts on sustainability matters or other parties, or are required to be disclosed in our filings with the SEC or other regulatory authorities, and are not intended to create legal rights or obligations.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prospectus supplement. We undertake no obligation to publicly update or revise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rom180255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a brief summary of some of the terms of this offering. It does not contain all of the information that you need to consider in making your investment decision. To understand all of the terms of the offering of the notes, you should carefully read this prospectus supplement and the accompanying prospectus.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About Xylem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Water Infrastructure </w:t>
            </w:r>
            <w:r>
              <w:rPr>
                <w:rFonts w:ascii="Times New Roman" w:hAnsi="Times New Roman"/>
                <w:sz w:val="20"/>
              </w:rPr>
              <w:t xml:space="preserve">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and wastewater solutions, for municipal and industrial applications. In the Water Infrastructure segment we reach customers indirectly, through channel partners and distributors, directly and through our service capabilities.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Applied Water </w:t>
            </w:r>
            <w:r>
              <w:rPr>
                <w:rFonts w:ascii="Times New Roman" w:hAnsi="Times New Roman"/>
                <w:sz w:val="20"/>
              </w:rPr>
              <w:t xml:space="preserve">serves the water usage applications sector with water pressure boosting systems for heating, ventilation and air conditioning, and for fire protection systems to the residential and commercial building solutions markets. In addition, our pumps, heat exchangers and controls provide cooling to power plants and manufacturing facilities, circulation for food and beverage processing, and boosting systems for agricultural irrigation. In the Applied Water segment, we provide the majority of our sales through long-standing relationships with many of the leading independent distributors in the markets we serve, with the remainder going directly to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Measurement and Control Solutions</w:t>
            </w:r>
            <w:r>
              <w:rPr>
                <w:rFonts w:ascii="Times New Roman" w:hAnsi="Times New Roman"/>
                <w:sz w:val="20"/>
              </w:rPr>
              <w:t xml:space="preserve"> primarily serves the utility infrastructure solutions and services sector by delivering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which have been further enhanced by our Xylem Vue platform to enable a holistic view of the water cycle for our customers through cloud-based analytics, remote monitoring and data management with the purpose of optimizing their operating efficiency.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Water Solutions and Services </w:t>
            </w:r>
            <w:r>
              <w:rPr>
                <w:rFonts w:ascii="Times New Roman" w:hAnsi="Times New Roman"/>
                <w:sz w:val="20"/>
              </w:rPr>
              <w:t xml:space="preserve">provides tailored services and solutions, in collaboration with customers, including on-demand water, outsourced water, recycle/reuse, pipeline assessment services, specialty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 In the Water Solutions and Services segment, we leverage our internal and external partners, and extensive service branch networks across the globe, including a rental fleet of transfer and treatment assets to serve our customers.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Xylem Inc. was incorporated under the laws of the State of Indiana on May 4, 2011. Our principal executive offices are located at 301 Water Street SE, Washington, D.C. 20003 USA, and our telephone number is (202) 869-9150.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Acquisition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11, 2026, we announced that we entered into a definitive agreement to acquire the Cornell Pump and Roper Pump businesses through a subsidiary from Indicor, LLC (“Indicor”) for a purchase price of approximately $1.46 billion in cash, subject to customary adjustments for working capital, cash, indebtedness, transaction expenses and other matters (the “Acquisition”). The Acquisition is expected to close in the fourth quarter of 2026, subject to customary closing conditions and required regulatory approvals set forth in the equity purchase agreement dated August 10, 2026 (the “EPA”). The EPA also provides for certain termination rights for both the Company and Indicor.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Acquisition, we entered into a debt commitment letter with a syndicate of commercial banks (the “Debt Financing Sources”). Subject to the satisfaction of certain customary conditions, the Debt Financing Sources committed to provide up to $1.5 billion in financing for the Acquisition, consisting of a 364-day senior unsecured bridge term loan facility (the “Bridge Facility”). We anticipate that the net proceeds from this offering, together with cash on hand, will be sufficient to fund the Acquisition, in which case we would not expect to borrow under the Bridge Facility.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offering is not contingent upon the consummation of the Acquisition. However, 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each series of notes at a redemption price equal to 101% of the aggregate principal amount of such notes, plus accrued and unpaid interest thereon, if any, to, but excluding, the Special Mandatory Redemption Date. The net proceeds from the offering of the notes will not be deposited into an escrow account pending any Special Mandatory Redemption of the notes. See “Description of Notes—Special Mandatory Redemption.”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New Revolving Credit Facility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8, 2026, we entered into a new $1.5 billion senior unsecured revolving credit facility, with substantially the same terms as our existing credit facilities (the “New Revolving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Issuer </w:t>
            </w:r>
          </w:p>
        </w:tc>
        <w:tc>
          <w:tcPr>
            <w:tcW w:w="6329" w:type="dxa"/>
            <w:tcBorders/>
          </w:tcPr>
          <w:p>
            <w:pPr>
              <w:pStyle w:val="TableContents"/>
              <w:bidi w:val="0"/>
              <w:spacing w:before="0" w:after="283"/>
              <w:jc w:val="left"/>
              <w:rPr/>
            </w:pPr>
            <w:r>
              <w:rPr/>
              <w:t xml:space="preserve">Xylem Inc., an Indiana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7" w:type="dxa"/>
            <w:tcBorders/>
          </w:tcPr>
          <w:p>
            <w:pPr>
              <w:pStyle w:val="TableContents"/>
              <w:bidi w:val="0"/>
              <w:spacing w:before="0" w:after="283"/>
              <w:jc w:val="left"/>
              <w:rPr/>
            </w:pPr>
            <w:r>
              <w:rPr/>
              <w:t xml:space="preserve">$     aggregate principal amount of our notes, consisting of $     aggregate principal amount of   % Senior Notes due 20  , $     aggregate principal amount of   % Senior Notes due 20   and $     aggregate principal amount of   % Senior Notes due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Original Issue Date </w:t>
            </w:r>
          </w:p>
        </w:tc>
        <w:tc>
          <w:tcPr>
            <w:tcW w:w="6327" w:type="dxa"/>
            <w:tcBorders/>
          </w:tcPr>
          <w:p>
            <w:pPr>
              <w:pStyle w:val="TableContents"/>
              <w:bidi w:val="0"/>
              <w:spacing w:before="0" w:after="283"/>
              <w:jc w:val="left"/>
              <w:rPr/>
            </w:pPr>
            <w:r>
              <w:rPr/>
              <w:t>    </w:t>
            </w:r>
            <w:r>
              <w:rPr/>
              <w:t xml:space="preserve">,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7" w:type="dxa"/>
            <w:tcBorders/>
          </w:tcPr>
          <w:p>
            <w:pPr>
              <w:pStyle w:val="TableContents"/>
              <w:bidi w:val="0"/>
              <w:spacing w:before="0" w:after="283"/>
              <w:jc w:val="left"/>
              <w:rPr/>
            </w:pPr>
            <w:r>
              <w:rPr/>
              <w:t xml:space="preserve">The 20   notes will mature on     . The 20   notes will mature on     . The 20   notes will mature on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7" w:type="dxa"/>
            <w:tcBorders/>
          </w:tcPr>
          <w:p>
            <w:pPr>
              <w:pStyle w:val="TableContents"/>
              <w:bidi w:val="0"/>
              <w:spacing w:before="0" w:after="283"/>
              <w:jc w:val="left"/>
              <w:rPr/>
            </w:pPr>
            <w:r>
              <w:rPr/>
              <w:t xml:space="preserve">Interest on the notes will be paid semi-annually on      and      of each year, commencing on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8" w:type="dxa"/>
            <w:tcBorders/>
          </w:tcPr>
          <w:p>
            <w:pPr>
              <w:pStyle w:val="TableContents"/>
              <w:bidi w:val="0"/>
              <w:spacing w:before="0" w:after="283"/>
              <w:jc w:val="left"/>
              <w:rPr/>
            </w:pPr>
            <w:r>
              <w:rPr/>
              <w:t xml:space="preserve">The 20   notes will bear interest at a rate of   % per annum. The 20   notes will bear interest at a rate of   % per annum. The 20   notes will bear interest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Repurchase at the Option of the Holders of the Notes </w:t>
            </w:r>
          </w:p>
        </w:tc>
        <w:tc>
          <w:tcPr>
            <w:tcW w:w="6328" w:type="dxa"/>
            <w:tcBorders/>
          </w:tcPr>
          <w:p>
            <w:pPr>
              <w:pStyle w:val="TableContents"/>
              <w:bidi w:val="0"/>
              <w:spacing w:before="0" w:after="283"/>
              <w:jc w:val="left"/>
              <w:rPr/>
            </w:pPr>
            <w:r>
              <w:rPr/>
              <w:t xml:space="preserve">If we experience a change of control triggering event, each holder of notes may require us to repurchase some or all of the notes at a purchase price equal to 101% of the aggregate principal amount of the notes repurchased, plus any accrued and unpaid interest up to, but not including, the repurchase date. See “Description of Notes—Repurchase Upon 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at our option, redeem some or all of each series of notes, at any time and from time to time, in whole or in part, at the redemption prices described under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Special Mandatory Redemption </w:t>
            </w:r>
          </w:p>
        </w:tc>
        <w:tc>
          <w:tcPr>
            <w:tcW w:w="6328" w:type="dxa"/>
            <w:tcBorders/>
          </w:tcPr>
          <w:p>
            <w:pPr>
              <w:pStyle w:val="TableContents"/>
              <w:bidi w:val="0"/>
              <w:spacing w:before="0" w:after="283"/>
              <w:jc w:val="left"/>
              <w:rPr/>
            </w:pPr>
            <w:r>
              <w:rPr/>
              <w:t xml:space="preserve">The completion of this offering is not contingent upon the consummation of the Acquisition. However, 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 The net proceeds from the offering of the notes will not be deposited into an escrow account pending any Special Mandatory Redemption of the notes. See “Description of Notes—Special Mandatory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intend to use the net proceeds from this offering, together with cash on hand (and borrowings under the Bridge Facility, if needed), to finance all or a portion of the purchase price payable for the Acquisition, to pay associated costs and expenses and for general corporate purposes.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This offering is not contingent upon the consummation of the Acquisition. However, if a Special Mandatory Redemption Event occurs, we will be required to redeem the notes of each series at the Special Mandatory Redemption Price (as defined herein). See “Description of Notes—Special Mandatory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notes will be unsecured obligations of ours and will rank equally with our other unsecured and unsubordinated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w:t>
            </w:r>
          </w:p>
        </w:tc>
        <w:tc>
          <w:tcPr>
            <w:tcW w:w="6329" w:type="dxa"/>
            <w:tcBorders/>
          </w:tcPr>
          <w:p>
            <w:pPr>
              <w:pStyle w:val="TableContents"/>
              <w:bidi w:val="0"/>
              <w:spacing w:before="0" w:after="283"/>
              <w:jc w:val="left"/>
              <w:rPr/>
            </w:pPr>
            <w:r>
              <w:rPr/>
              <w:t xml:space="preserve">The notes will be issued only in minimum denominations of $2,000 and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Form </w:t>
            </w:r>
          </w:p>
        </w:tc>
        <w:tc>
          <w:tcPr>
            <w:tcW w:w="6329" w:type="dxa"/>
            <w:tcBorders/>
          </w:tcPr>
          <w:p>
            <w:pPr>
              <w:pStyle w:val="TableContents"/>
              <w:bidi w:val="0"/>
              <w:spacing w:before="0" w:after="283"/>
              <w:jc w:val="left"/>
              <w:rPr/>
            </w:pPr>
            <w:r>
              <w:rPr/>
              <w:t xml:space="preserve">The notes of each series will be represented by global certificates deposited with, or on behalf of, The Depository Trust Company (“DTC”), or its nominee.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Absence of Public Market </w:t>
            </w:r>
          </w:p>
        </w:tc>
        <w:tc>
          <w:tcPr>
            <w:tcW w:w="6327" w:type="dxa"/>
            <w:tcBorders/>
          </w:tcPr>
          <w:p>
            <w:pPr>
              <w:pStyle w:val="TableContents"/>
              <w:bidi w:val="0"/>
              <w:spacing w:before="0" w:after="283"/>
              <w:jc w:val="left"/>
              <w:rPr/>
            </w:pPr>
            <w:r>
              <w:rPr/>
              <w:t xml:space="preserve">The notes are new securities for which there is currently no public trading market. Accordingly, we cannot assure you as to the development or liquidity of any market for the notes. We have been advised by the underwriters that they presently intend to make a market in the notes after completion of this offering. However, they are under no obligation to do so and may discontinue any market-making activities at any time without any notice. We do not intend to apply to list the notes on any securities exchange or to have the notes quoted on any automated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Issues </w:t>
            </w:r>
          </w:p>
        </w:tc>
        <w:tc>
          <w:tcPr>
            <w:tcW w:w="6328" w:type="dxa"/>
            <w:tcBorders/>
          </w:tcPr>
          <w:p>
            <w:pPr>
              <w:pStyle w:val="TableContents"/>
              <w:bidi w:val="0"/>
              <w:spacing w:before="0" w:after="283"/>
              <w:jc w:val="left"/>
              <w:rPr/>
            </w:pPr>
            <w:r>
              <w:rPr/>
              <w:t xml:space="preserve">We may from time to time, without notice to or the consent of the holders of notes, create and issue further notes of any series ranking equally and ratably with the notes of the applicable series in all respects, or in all respects except for the payment of interest accruing prior to the issue date or except for the first payment of interest following the issue date of those further notes. Any further notes will have the same terms as to status, redemption or otherwise as the notes. If such further notes are not fungible with the notes of such series in this offering for United States federal income tax purposes, the further notes will have different ISIN and CUSIP numbers.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and the indenture under which they will be issued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Registrar and Paying Agent </w:t>
            </w:r>
          </w:p>
        </w:tc>
        <w:tc>
          <w:tcPr>
            <w:tcW w:w="6327" w:type="dxa"/>
            <w:tcBorders/>
          </w:tcPr>
          <w:p>
            <w:pPr>
              <w:pStyle w:val="TableContents"/>
              <w:bidi w:val="0"/>
              <w:spacing w:before="0" w:after="283"/>
              <w:jc w:val="left"/>
              <w:rPr/>
            </w:pPr>
            <w:r>
              <w:rPr/>
              <w:t xml:space="preserve">Deutsche Bank Trust Company Americas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the notes involves risks. See “Risk Factors” for more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80255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the notes involves risk. Before you decide whether to purchase any notes, you should carefully consider the risks described under “Risk Factors” in Item 1A of our Annual Report on Form 10-K for the year ended December 31, 2025 and our Quarterly Reports on Form 10-Q for the quarterly periods ended March 31, 2026 and June 30, 2026 (which Risk Factors are incorporated by reference herein), as such descriptions may be updated or amended in any future reports we file with the SEC, as well as the risks described below and the other information contained or incorporated by reference in this prospectus supplement and the accompanying prospectus. See “Where You Can Find More Information” above. </w:t>
      </w:r>
    </w:p>
    <w:p>
      <w:pPr>
        <w:pStyle w:val="TextBody"/>
        <w:bidi w:val="0"/>
        <w:spacing w:before="480" w:after="0"/>
        <w:jc w:val="center"/>
        <w:rPr>
          <w:rFonts w:ascii="Times New Roman" w:hAnsi="Times New Roman"/>
          <w:b/>
          <w:sz w:val="20"/>
        </w:rPr>
      </w:pPr>
      <w:r>
        <w:rPr>
          <w:rFonts w:ascii="Times New Roman" w:hAnsi="Times New Roman"/>
          <w:b/>
          <w:sz w:val="20"/>
        </w:rPr>
        <w:t xml:space="preserve">Risks Related to the Notes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be able to repurchase the notes upon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Upon a change of control triggering event, as defined under the indenture governing the notes, we are required to offer to repurchase all of the notes then outstanding at a price equal to 101% of the aggregate principal amount of the notes repurchased, plus accrued interest. In order to obtain sufficient funds to pay the purchase price of the outstanding notes, we expect that we would have to refinance the notes. We cannot assure you that we would be able to refinance the notes on favorable terms or at all. Our failure to offer to purchase all outstanding notes or to purchase all validly tendered notes would be an event of default under the indenture governing the notes. Such an event of default may cause the acceleration of our other indebtedness. Our future indebtedness may also contain restrictions on repayment requirements with respect to specified events or transactions that constitute a change of control triggering event under the indenture. Please see the section entitled “Description of Notes—Repurchase Upon Change of Control Triggering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 and, as a result, holders of the notes may not obtain their expected return on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complete the Acquisition is subject to various conditions, certain of which are beyond our control. The EPA contains termination provisions permitting termination of the agreement in certain circumstances. 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all outstanding notes of each series on the Special Mandatory Redemption Date at a redemption price equal to 101% of the aggregate principal amount of the notes plus accrued and unpaid interest thereon, if any, to, but excluding, the Special Mandatory Redemption Date. See “Description of Notes—Special Mandatory Redemption” in this prospectus supplement. If we redeem the notes pursuant to a Special Mandatory Redemption, you may not obtain the return that you expected on your investment in such notes. Whether or not a Special Mandatory Redemption is ultimately triggered, it may adversely affect trading prices for the notes prior to the Special Mandatory Redemption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not obligated to place the net proceeds from the sale of the notes in escrow prior to the closing of the Acquisition and, as a result, we may not be able to redeem the notes upon a Special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net proceeds from the sale of the notes will not be deposited into an escrow account pending any Special Mandatory Redemption of the notes, and the indenture governing the notes imposes no restrictions on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 of proceeds from this offering. Accordingly, the source of funds for any redemption of notes upon a Special Mandatory Redemption would be the proceeds that we have voluntarily retained or other sources of liquidity, including available cash, borrowings, sales of assets or sales of equity securities. It is possible that we will not have sufficient financial resources available to satisfy our obligations, if any, to redeem the notes if we are required to do so pursuant to a Special Mandatory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current public market for the notes and a market may not develop.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new issues of securities with no established trading markets. As a result, no assurance is given by us or any joint book-running manager or co-manager that markets will develop for the notes or that you will be able to sell the notes. If any of the notes are traded after their initial issuance, they may trade at a discount from their initial offering prices. Future trading prices of the notes will depend on many factors, including prevailing interest rates, the market for similar securities, general economic conditions, our financial condition and performance, as well as other factors. Accordingly, you may be required to bear the financial risk of an investment in the notes for an indefinite period of time. We do not intend to apply for listing or quotation of the notes on any securities exchange or automated quotation system,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choose to redeem the notes when prevailing interest rates are relatively low. </w:t>
      </w:r>
    </w:p>
    <w:p>
      <w:pPr>
        <w:pStyle w:val="TextBody"/>
        <w:bidi w:val="0"/>
        <w:spacing w:before="120" w:after="0"/>
        <w:jc w:val="left"/>
        <w:rPr>
          <w:rFonts w:ascii="Times New Roman" w:hAnsi="Times New Roman"/>
          <w:sz w:val="20"/>
        </w:rPr>
      </w:pPr>
      <w:r>
        <w:rPr>
          <w:rFonts w:ascii="Times New Roman" w:hAnsi="Times New Roman"/>
          <w:sz w:val="20"/>
        </w:rPr>
        <w:t xml:space="preserve">The notes are redeemable at our option, and we may choose to redeem some or all of the notes from time to time, especially when prevailing interest rates are lower than the rate borne by the notes. If prevailing rates are lower at the time of redemption, you would not be able to reinvest the redemption proceeds in a comparable security at an effective interest rate as high as the interest rate on the notes being redeemed. See “Description of Notes—Optional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structurally subordinated to the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our obligations exclusively and not obligations of any of our subsidiaries. A significant portion of our operations is conducted through our subsidiaries. Our subsidiaries are separate legal entities that have no obligation to pay any amounts due under the notes or to make any funds available therefor, whether by dividends, loans or other payments. Except to the extent we are a creditor with recognized claims against our subsidiaries, all claims of creditors (including trade creditors) and holders of preferred stock, if any, of our subsidiaries will have priority with respect to the assets of such subsidiaries over our claims (and therefore the claims of our creditors, including holders of the notes). Consequently, the notes will be effectively subordinated to all existing and future liabilities of any of our subsidiaries and any subsidiaries that we may in the future acquire or establish.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subject to prior claims of any secured creditors, and if a default occurs, we may not have sufficient funds to fulfill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our unsecured general obligations, ranking equally with other unsecured and unsubordinated indebtedness. As of June 30, 2026, we had $2.90 billion of unsecured senior notes but no amounts under our revolving credit facility outstanding. The indenture governing the notes permits us to incur additional debt, including secured debt. If we incur any secured debt, our assets will be subject to prior claims by our secured creditors. In the event of our bankruptcy, liquidation, reorganization or other winding up, assets that secure debt will be available to pay obligations on the notes only after all debt secured by those assets has been repaid in full. Holders of the notes will participate in our remaining assets ratably with all of our unsecured and unsubordinated creditors, including our trade creditors. If we incur any additional obligations that rank equally with the notes, including trade payables, the holders of those obligations will be entitled to share ratably with the holders of the notes and the previously issued notes in any proceeds distributed upon our insolvency, liquidation, reorganization, dissolution or other winding up. This may have the effect of reducing the amount of proceeds paid to you. If there are not sufficient assets remaining to pay all these creditors, all or a portion of the notes then outstanding would remain unpaid.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indenture governing the notes does not contain financial covenants and only provides limited protection against significant corporate events and other actions we may take that could adversely impact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While the indenture governing the notes contains terms intended to provide protection to the holders of the notes upon the occurrence of certain events involving significant corporate transactions, such terms are limited and may not be sufficient to protect your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for the notes does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 or liquidity and, accordingly, does not protect holders of the notes in the event we experience significant adverse changes in our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subsidiaries’ ability to issue securities or otherwise incur indebtedness that would be senior to our equity interests in our subsidiaries and therefore rank effectively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or prepay any other of our securities or other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repurchase or pay dividends or make other payments in respect of our common stock or other securities ranking junior to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enter into highly leveraged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80255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the sale of the notes will be approximately $     after deducting the underwriting discounts and our estimated expenses of this offering. We intend to use the net proceeds from the sale of the notes, together with cash on hand (and borrowings under the Bridge Facility, if needed), to finance all or a portion of the purchase price payable for the Acquisition, to pay associated costs and expenses and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80255_8"/>
      <w:bookmarkEnd w:id="10"/>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consolidated capitalization as of June 30, 2026, on an actual basis and as adjusted to give effect to the issuance and sale of the notes offered hereby and the application of the net proceeds from the sale of the notes as described under “Use of Proceeds” (assuming the net proceeds of this offering are initially held as cash or cash equivalents); however, neither the “Actual” nor the “As Adjusted” column reflects issuances under our existing commercial paper program subsequent to June 30, 2026.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table together with our consolidated financial statements and the notes thereto incorporated by reference into this prospectus supplement and the accompanying prospectus.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275"/>
        <w:gridCol w:w="419"/>
        <w:gridCol w:w="140"/>
        <w:gridCol w:w="710"/>
        <w:gridCol w:w="60"/>
        <w:gridCol w:w="419"/>
        <w:gridCol w:w="190"/>
        <w:gridCol w:w="1111"/>
        <w:gridCol w:w="64"/>
      </w:tblGrid>
      <w:tr>
        <w:trPr/>
        <w:tc>
          <w:tcPr>
            <w:tcW w:w="6275"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275"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6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4" w:type="dxa"/>
            <w:tcBorders/>
            <w:vAlign w:val="bottom"/>
          </w:tcPr>
          <w:p>
            <w:pPr>
              <w:pStyle w:val="TableContents"/>
              <w:bidi w:val="0"/>
              <w:spacing w:before="0" w:after="283"/>
              <w:jc w:val="left"/>
              <w:rPr/>
            </w:pPr>
            <w:r>
              <w:rPr/>
              <w:t> </w:t>
            </w:r>
          </w:p>
        </w:tc>
      </w:tr>
      <w:tr>
        <w:trPr/>
        <w:tc>
          <w:tcPr>
            <w:tcW w:w="6275"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4" w:type="dxa"/>
            <w:tcBorders/>
            <w:vAlign w:val="bottom"/>
          </w:tcPr>
          <w:p>
            <w:pPr>
              <w:pStyle w:val="TableContents"/>
              <w:bidi w:val="0"/>
              <w:spacing w:before="0" w:after="283"/>
              <w:jc w:val="left"/>
              <w:rPr/>
            </w:pPr>
            <w:r>
              <w:rPr/>
              <w:t> </w:t>
            </w:r>
          </w:p>
        </w:tc>
      </w:tr>
      <w:tr>
        <w:trPr/>
        <w:tc>
          <w:tcPr>
            <w:tcW w:w="6275"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630" w:type="dxa"/>
            <w:gridSpan w:val="6"/>
            <w:tcBorders/>
            <w:vAlign w:val="bottom"/>
          </w:tcPr>
          <w:p>
            <w:pPr>
              <w:pStyle w:val="TableContents"/>
              <w:bidi w:val="0"/>
              <w:spacing w:before="0" w:after="283"/>
              <w:jc w:val="center"/>
              <w:rPr>
                <w:b/>
              </w:rPr>
            </w:pPr>
            <w:r>
              <w:rPr>
                <w:b/>
              </w:rPr>
              <w:t>(amounts in millions)</w:t>
            </w:r>
          </w:p>
        </w:tc>
        <w:tc>
          <w:tcPr>
            <w:tcW w:w="64" w:type="dxa"/>
            <w:tcBorders/>
            <w:vAlign w:val="bottom"/>
          </w:tcPr>
          <w:p>
            <w:pPr>
              <w:pStyle w:val="TableContents"/>
              <w:bidi w:val="0"/>
              <w:spacing w:before="0" w:after="283"/>
              <w:jc w:val="left"/>
              <w:rPr/>
            </w:pPr>
            <w:r>
              <w:rPr/>
              <w:t> </w:t>
            </w:r>
          </w:p>
        </w:tc>
      </w:tr>
      <w:tr>
        <w:trPr/>
        <w:tc>
          <w:tcPr>
            <w:tcW w:w="62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1,276</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275"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275" w:type="dxa"/>
            <w:tcBorders/>
          </w:tcPr>
          <w:p>
            <w:pPr>
              <w:pStyle w:val="TableContents"/>
              <w:bidi w:val="0"/>
              <w:spacing w:before="0" w:after="0"/>
              <w:jc w:val="left"/>
              <w:rPr>
                <w:rFonts w:ascii="Times New Roman" w:hAnsi="Times New Roman"/>
                <w:sz w:val="20"/>
              </w:rPr>
            </w:pPr>
            <w:r>
              <w:rPr>
                <w:rFonts w:ascii="Times New Roman" w:hAnsi="Times New Roman"/>
                <w:sz w:val="20"/>
              </w:rPr>
              <w:t>Debt included in current liabilities:</w:t>
            </w:r>
          </w:p>
        </w:tc>
        <w:tc>
          <w:tcPr>
            <w:tcW w:w="4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2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borrowings and current maturities of long-term debt</w:t>
            </w:r>
          </w:p>
        </w:tc>
        <w:tc>
          <w:tcPr>
            <w:tcW w:w="4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531</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275" w:type="dxa"/>
            <w:tcBorders/>
          </w:tcPr>
          <w:p>
            <w:pPr>
              <w:pStyle w:val="TableContents"/>
              <w:bidi w:val="0"/>
              <w:spacing w:before="0" w:after="0"/>
              <w:jc w:val="left"/>
              <w:rPr>
                <w:rFonts w:ascii="Times New Roman" w:hAnsi="Times New Roman"/>
                <w:sz w:val="20"/>
              </w:rPr>
            </w:pPr>
            <w:r>
              <w:rPr>
                <w:rFonts w:ascii="Times New Roman" w:hAnsi="Times New Roman"/>
                <w:sz w:val="20"/>
              </w:rPr>
              <w:t>Debt included in long-term liabilities:</w:t>
            </w:r>
          </w:p>
        </w:tc>
        <w:tc>
          <w:tcPr>
            <w:tcW w:w="4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2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20   notes offered hereby</w:t>
            </w:r>
          </w:p>
        </w:tc>
        <w:tc>
          <w:tcPr>
            <w:tcW w:w="4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75" w:type="dxa"/>
            <w:tcBorders/>
          </w:tcPr>
          <w:p>
            <w:pPr>
              <w:pStyle w:val="TableContents"/>
              <w:bidi w:val="0"/>
              <w:spacing w:before="0" w:after="0"/>
              <w:jc w:val="left"/>
              <w:rPr>
                <w:rFonts w:ascii="Times New Roman" w:hAnsi="Times New Roman"/>
                <w:sz w:val="20"/>
              </w:rPr>
            </w:pPr>
            <w:r>
              <w:rPr>
                <w:rFonts w:ascii="Times New Roman" w:hAnsi="Times New Roman"/>
                <w:sz w:val="20"/>
              </w:rPr>
              <w:t>20   notes offered hereby</w:t>
            </w:r>
          </w:p>
        </w:tc>
        <w:tc>
          <w:tcPr>
            <w:tcW w:w="4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2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20   notes offered hereby</w:t>
            </w:r>
          </w:p>
        </w:tc>
        <w:tc>
          <w:tcPr>
            <w:tcW w:w="4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75"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275"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excluding current maturities (net of debt issuance costs and unamortized discount of approximately $21)</w:t>
            </w:r>
          </w:p>
        </w:tc>
        <w:tc>
          <w:tcPr>
            <w:tcW w:w="4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2,395</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275"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2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4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2,926</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275"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4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10,421</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275"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2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 and stockholders’ equity</w:t>
            </w:r>
          </w:p>
        </w:tc>
        <w:tc>
          <w:tcPr>
            <w:tcW w:w="4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13,347</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275"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80255_9"/>
      <w:bookmarkEnd w:id="11"/>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We are offering $     aggregate principal amount of notes, consisting of $     aggregate principal amount of    % Senior Notes due 20    , which we refer to as the “20     notes,” $     aggregate principal amount of     % Senior Notes due 20    , which we refer to as the “20     notes,” and $     aggregate principal amount of     % Senior Notes due 20    , which we refer to as the “20     notes.” We refer to the 20     notes, the 20     notes and the 20     notes offered hereby collectively as the “notes.” The notes will be issued under the senior indenture, dated as of March 11, 2016, which is more fully described in the accompanying prospectus, as supplemented and amended by the first supplemental indenture, dated as of March 11, 2016 as further supplemented by the sixth supplemental indenture to be dated as of     , 2026, each between us and Deutsche Bank Trust Company Americas, as trustee. We refer to the senior indenture as so supplemented and amended as the “indenture.” </w:t>
      </w:r>
    </w:p>
    <w:p>
      <w:pPr>
        <w:pStyle w:val="TextBody"/>
        <w:bidi w:val="0"/>
        <w:spacing w:before="360" w:after="0"/>
        <w:jc w:val="left"/>
        <w:rPr>
          <w:rFonts w:ascii="Times New Roman" w:hAnsi="Times New Roman"/>
          <w:i/>
          <w:sz w:val="20"/>
        </w:rPr>
      </w:pPr>
      <w:r>
        <w:rPr>
          <w:rFonts w:ascii="Times New Roman" w:hAnsi="Times New Roman"/>
          <w:i/>
          <w:sz w:val="20"/>
        </w:rPr>
        <w:t xml:space="preserve">The following description supplements, and to the extent it is inconsistent with, replaces the description of the general terms and provisions of the debt securities contained in “Description of Debt Securities” in the accompanying prospectus. Because this section is a summary, it does not describe every aspect of the notes and the indenture. This summary is subject to, and qualified in its entirety by reference to, all the provisions of the notes and the indenture, including definitions of certain terms used therein. You may obtain copies of the notes and the indenture by requesting them from us or the trustee. </w:t>
      </w:r>
    </w:p>
    <w:p>
      <w:pPr>
        <w:pStyle w:val="TextBody"/>
        <w:bidi w:val="0"/>
        <w:spacing w:before="360" w:after="0"/>
        <w:jc w:val="left"/>
        <w:rPr>
          <w:rFonts w:ascii="Times New Roman" w:hAnsi="Times New Roman"/>
          <w:i/>
          <w:sz w:val="20"/>
        </w:rPr>
      </w:pPr>
      <w:r>
        <w:rPr>
          <w:rFonts w:ascii="Times New Roman" w:hAnsi="Times New Roman"/>
          <w:i/>
          <w:sz w:val="20"/>
        </w:rPr>
        <w:t xml:space="preserve">In this Description of Notes, the “Company,” “we,” “us,” “our” and similar words refer to Xylem Inc. and not to any of its subsidiaries. Any capitalized terms that are defined in the accompanying prospectus have the same meanings in this section unless a different definition appears in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senior unsecured obligations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equally with all of our other unsecured and unsubordinated indebtedness from time to time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structurally subordinated to all existing and future obligations of our subsidiaries, including claims with respect to trade payables;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initially be limited to $     aggregate principal amount in the case of the 20      notes, $     aggregate principal amount in the case of the 20      notes and $     aggregate principal amount in the case of the 20    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issued in minimum denominations of $2,000 and integral multiples of $1,000 in excess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Principal, Maturity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20      notes will mature on     , 20    , the 20      notes will mature on     , 20     and the 20     notes will mature on     , 20     (unless earlier redeemed as described under “—Special Mandatory Redemption” or “—Optional Redemption”). On the maturity date of a series of notes, the holders of the notes of such series will be entitled to receive 100% of the principal amount of the notes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20      notes will bear interest at a rate of     % per annum, the 20      notes will bear interest at a rate of     % per annum and the 20    notes will bear interest at a rate of     % per annum, each from     , 2026, or from the most recent date to which interest has been paid or provided for, payable semi-annually in arrears on      and      of each year commencing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r>
        <w:rPr>
          <w:rFonts w:ascii="Times New Roman" w:hAnsi="Times New Roman"/>
          <w:sz w:val="20"/>
        </w:rPr>
        <w:t xml:space="preserve">, 2027 (each, an “Interest Payment Date”), to holders of record at the close of business on the 15th calendar day (whether or not a business day) immediately preceding the Interest Payment Date; provided, however, that interest payable on the maturity date of the notes or any redemption date of the notes shall be payable to the person to whom the principal of such notes shall be payable. </w:t>
      </w:r>
    </w:p>
    <w:p>
      <w:pPr>
        <w:pStyle w:val="TextBody"/>
        <w:bidi w:val="0"/>
        <w:spacing w:before="240" w:after="0"/>
        <w:jc w:val="left"/>
        <w:rPr>
          <w:rFonts w:ascii="Times New Roman" w:hAnsi="Times New Roman"/>
          <w:sz w:val="20"/>
        </w:rPr>
      </w:pPr>
      <w:r>
        <w:rPr>
          <w:rFonts w:ascii="Times New Roman" w:hAnsi="Times New Roman"/>
          <w:sz w:val="20"/>
        </w:rPr>
        <w:t xml:space="preserve">Interest payable on the notes on any Interest Payment Date, redemption date or maturity date shall be computed on the basis of a 360-day year of twelve 30-day months. Interest on the notes will accrue from     , 2026.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term “business day” means any day, other than a Saturday or Sunday, which is not a day on which banking institutions in The City of New York are authorized or required by law or executive order to close.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If (i) we do not consummate the Acquisition on or prior to the later of (x) August 10, 2027 and (y) such later date to which the termination date under the EPA as in effect on the closing date of this offering may be amended in accordance with the terms thereof (such later date, the “Special Mandatory Redemption End Date”), (ii) on or prior to the Special Mandatory Redemption End Date, the EPA is terminated or (iii) we otherwise notify the trustee in writing that we will not pursue the consummation of the Acquisition (any such event being a “Special Mandatory Redemption Event”), then we will be required to redeem (a “Special Mandatory Redemption”) all of the notes of each series at a redemption price (the “Special Mandatory Redemption Price”) equal to 101% of the aggregate principal amount of such notes, plus accrued and unpaid interest thereon, if any, to, but excluding, the Special Mandatory Redemption Date (as defined below). We will deliver or cause to be delivered to the registered holders of the notes (with a copy to the Trustee) a written notice of the Special Mandatory Redemption (a “Special Mandatory Redemption Notice”) within ten business days following the occurrence of a Special Mandatory Redemption Event. We may by five (5) business days (or such shorter period as the Trustee may in its sole discretion agree) advanced written notice to the Trustee (accompanied by an officer’s certificate to the Trustee’s satisfaction, and a copy of the applicable Special Mandatory Redemption Notice (prepared by us at our cost and expense) request that the Trustee provide such Special Mandatory Redemption Notice to each holder of the notes (in accordance with the procedures of DTC). The Special Mandatory Redemption Notice will set forth the date upon which the notes will be redeemed (the “Special Mandatory Redemption Date,” which date shall be no earlier than the third business day and no later than 30 days following the date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No later than 10 a.m. New York City time on the Special Mandatory Redemption Date, we will deposit with the Trustee any amounts necessary to fund the redemption of the notes at the applicable Special Mandatory Redemption Price. The Trustee shall use such amounts on deposit to pay the applicable Special Mandatory Redemption Price on the Special Mandatory Redemption Date, in accordance with the applicable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There is no escrow account for, or security interest in, the proceeds of the offering for the benefit of the holders of the notes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Acquisition, the foregoing provisions regarding a Special Mandatory Redemption will cease to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Applicable Par Call Date, we may redeem the notes of any series at our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on the notes of such series discounted to the relevant redemption date (assuming such notes matured on the Applicable Par Call Date) on a semi-annual basis (assuming a 360-day year consisting of twelve 30-day months) at the Treasury Rate plus      basis points for the 20   notes,      basis points for the 20   notes and      basis points for the 20   notes less (b) interest accrued and unpaid to the relevant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for a series of notes, we may redeem the notes of such series, in whole or in part, at any time and from time to time, at a redemption price equal to 100% of the principal amount of such notes being redeemed plus accrued and unpaid interest thereon to the relevant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are relevant to the determination of the redemption price. </w:t>
      </w:r>
    </w:p>
    <w:p>
      <w:pPr>
        <w:pStyle w:val="TextBody"/>
        <w:bidi w:val="0"/>
        <w:spacing w:before="240" w:after="0"/>
        <w:jc w:val="left"/>
        <w:rPr/>
      </w:pPr>
      <w:r>
        <w:rPr/>
        <w:t>“</w:t>
      </w:r>
      <w:r>
        <w:rPr>
          <w:rFonts w:ascii="Times New Roman" w:hAnsi="Times New Roman"/>
          <w:i/>
          <w:sz w:val="20"/>
        </w:rPr>
        <w:t xml:space="preserve">Applicable Par Call Date” </w:t>
      </w:r>
      <w:r>
        <w:rPr>
          <w:rFonts w:ascii="Times New Roman" w:hAnsi="Times New Roman"/>
          <w:sz w:val="20"/>
        </w:rPr>
        <w:t xml:space="preserve">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20    notes,     , 20  (  months prior to the maturity date of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20    notes,     , 20  (  months prior to the maturity date of such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20   notes,     , 20  (  months prior to the maturity date of such notes). </w:t>
            </w:r>
          </w:p>
        </w:tc>
      </w:tr>
    </w:tbl>
    <w:p>
      <w:pPr>
        <w:pStyle w:val="TextBody"/>
        <w:bidi w:val="0"/>
        <w:spacing w:before="240" w:after="0"/>
        <w:jc w:val="left"/>
        <w:rPr/>
      </w:pPr>
      <w:r>
        <w:rPr/>
        <w:t>“</w:t>
      </w:r>
      <w:r>
        <w:rPr>
          <w:rFonts w:ascii="Times New Roman" w:hAnsi="Times New Roman"/>
          <w:i/>
          <w:sz w:val="20"/>
        </w:rPr>
        <w:t xml:space="preserve">Treasury Rate” </w:t>
      </w:r>
      <w:r>
        <w:rPr>
          <w:rFonts w:ascii="Times New Roman" w:hAnsi="Times New Roman"/>
          <w:sz w:val="20"/>
        </w:rPr>
        <w:t xml:space="preserve">means, with respect to any redemption date for a series of notes, the yield applicable to such series of notes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applicable to a series of notes shall be determined by us after 4:15 p.m., New York City time (or after such time as yields on U.S. government securities are posted daily by the Board of Governors of the Federal Reserve System), on the third business day preceding the relevant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applicable Treasury Rate, we shall select, as applicable: (1) the yield for the Treasury constant maturity on H.15 exactly equal to the period from the relevant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relevant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on the third business day preceding the relevant redemption date H.15 TCM is no longer published, we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relevant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relevant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deems appropriate and fair, subject, in the case of global notes, to the applicable procedures of DTC (or any successor depositary).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such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On or before the redemption date, we will deposit with the paying agent or set aside, segregate and hold in trust (if we are acting as paying agent), funds sufficient to pay the redemption price of, and accrued and unpaid interest on, such notes to be redeemed on that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of notes may, at our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subject to satisfaction of one or more conditions precedent, such notice shall describe each such condition, and such notice may be rescinded in the event that any or all such conditions shall not have been satisfied or otherwise waived on or prior to the fifth (5th) business day immediately preceding the relevant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We shall notify holders (with a copy to the Trustee) of any such rescission as soon as practicable, and in no case less than five (5) business days immediately preceding the relevant redemption date, after we determine that such conditions precedent will not be able to be satisfied or we are not able or willing to waive such conditions precedent, in each case subject to policies and procedures of DTC (or any successor depositary). In any event,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provide written notice to holders and the trustee prior to the close of business on the fifth (5th) business day prior to the relevant redemption date if any such redemption has been rescinded or delayed. We may by five (5) business days (or such shorter period to which the Trustee may in its sole discretion agree) advanced written notice to the Trustee (accompanied by an officer’s certificate to the Trustee’s satisfaction, and a copy of the written notice (prepared by us at our cost and expense) that such redemption has been rescinded or delayed) request that the trustee provide such notice to each holder of the notes in the same manner in which the notice of redemption was given. Once notice of redemption is mailed or sent, subject to the satisfaction of any conditions precedent provided in the notice of redemption, the notes called for redemption will become due and payable on the redemption date and at the applicable redemption price as set forth above under “—Optional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Upon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A change of control requiring us to repurchase all, or part, of the notes of a series as described below will be triggered in the event that the notes of such series cease to be rated equal to or higher than BBB- (or the equivalent) by Fitch Inc. (“Fitch”), Baa3 (or the equivalent) by Moody’s Investors Service, Inc. (“Moody’s”) or BBB- (or the equivalent) by S&amp;P Global Ratings, a division of S&amp;P Global Inc. (“S&amp;P”), and the equivalent investment grade credit rating from any replacement rating agency or rating agencies selected by us on any date during the 60-day period commencing upon the earlier of (1) the first public announcement of the change of control or our intention to effect a change of control and (2) the consummation of such change of control, which period will be extended following consummation of a change of control for so long as the rating of the notes of such series is under publicly announced consideration for possible downgrade by any of the rating agencies. Unless at least one rating agency is providing a rating for the notes of such series at the commencement of any such period, the notes of such series will be deemed to have ceased to be rated as described above during such period. Notwithstanding the foregoing, no event triggering a change of control will be deemed to have occurred in connection with any particular change of control unless and until such change of control has actually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triggering a change of control occurs, unless we have exercised our right to redeem the notes of such series, we will be required to make an offer to repurchase all or, at the holder’s option, any part (equal to $2,000 or any multiple of $1,000 in excess thereof) of each holder’s notes of such series on the terms set forth in the notes of such series. In such offer, we will be required to offer payment in cash equal to 101% of the aggregate principal amount of the notes of such series repurchased plus accrued and unpaid interest, if any, on the notes of such series repurchased, to, but not including,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any event triggering a change of control or, at our option, prior to any change of control, but after public announcement of the transaction that constitutes or may constitute the change of control, a notice will be mailed to holders of the notes of such series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On such payment date, we will be required, to the extent lawful,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pursuant to the offer described in the first paragraph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required payment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or portions of notes being purchased by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paying agent will be required to promptly mail to each holder who properly tendered notes the purchase price for such debt securities, and the trustee will be required to promptly authenticate and mail (or cause to be transferred by book entry) to each such holder a new debt security equal in principal amount to any unpurchased portion of the notes surrendered, if any; provided that each new debt security will be in a principal amount of $2,000 or a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upon an event triggering a change of control if a third party makes such an offer in the manner, at the times and otherwise in compliance with the requirements for an offer made by us and such third party purchases all notes properly tendered and not withdrawn under its offer. In the event that such third party terminates or defaults on its offer, we will be required to make an offer treating the date of such termination or default as though it were the date of such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repurchase any notes if there has occurred and is continuing on the relevant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are required to offer to repurchase the notes upon the occurrence of a change of control triggering event, we may not have sufficient funds to repurchase the notes in cash at such time. In addition, our ability to repurchase the notes for cash may be limited by law or the terms of other agreements relating to our indebtedness outstanding at the time. The failure to make such repurchase would result in a default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 of any such laws or regulations conflicts with the offer provisions in respect of a change of control of the notes, we will comply with those securities laws and regulations and will not be deemed to have breached our obligations under such offer provisions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lease,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our assets and those of our subsidiaries, taken as a whole, to another person or group may be uncertain. In such case, holders of the notes may not be able to resolve this uncertainty without resorting to legal 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the following terms will be applicable: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one of the following: (1) the direct or indirect sale, lease, transfer, conveyance or other disposition (other than by way of merger, amalgamation, arrangement or consolidation), in one or a series of related transactions, of all or substantially all of our properties or assets and those of our subsidiaries, taken as a whole, to one or more persons, other than to us or one of our subsidiaries; (2) the first day on which a majority of the members of our board of directors is not composed of directors who (a) were members of our board of directors on the issue date or (b) were nominated for election, elected or appointed to our board of directors with the approval of a majority of the directors who were members of our board of directors at the time of such nomination, election or appointment (either by a specific vote or by approval by such directors of our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our voting stock; (4) we consolidate with, or merge with or into, any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person consolidates with, or merges with or into, us, in any such event pursuant to a transaction in which any of the outstanding voting stock of us or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 or (5) the adoption of a plan relating to our liquidation or dissolution (other than our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 (2)(A)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and Covenants </w:t>
      </w:r>
    </w:p>
    <w:p>
      <w:pPr>
        <w:pStyle w:val="TextBody"/>
        <w:bidi w:val="0"/>
        <w:spacing w:before="120" w:after="0"/>
        <w:jc w:val="left"/>
        <w:rPr>
          <w:rFonts w:ascii="Times New Roman" w:hAnsi="Times New Roman"/>
          <w:sz w:val="20"/>
        </w:rPr>
      </w:pPr>
      <w:r>
        <w:rPr>
          <w:rFonts w:ascii="Times New Roman" w:hAnsi="Times New Roman"/>
          <w:sz w:val="20"/>
        </w:rPr>
        <w:t xml:space="preserve">In some circumstances, we may elect to discharge our obligations on the notes through defeasance or covenant defeasance. See “Description of Debt Securities—Satisfaction, Discharge and Defeasance” in the accompanying prospectus for more information about how we may do this.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generally does not limit our ability to incur additional debt and does not contain financial or similar restrictive covenants, except as described in the accompanying prospectus under the caption “Description of Debt Securities—Other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Further Issues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without notice to or the consent of the holders of the notes, create and issue further notes of any series ranking equally and ratably with the notes of the applicable series in all respects, or in all respects except for the payment of interest accruing prior to the issue date or except for the first payment of interest following the issue date of those further notes. Any further notes will have the same terms as to status, redemption or otherwise as the applicable series of notes. If such further notes are not fungible with the notes of such series in this offering for United States federal income tax purposes, the further notes will have different ISIN and CUSIP numbers.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Notices to holders of the notes will be sent by mail or email to the registered holders, or otherwise in accordance with the procedures of the applicable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Paying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Deutsche Bank Trust Company Americas will be the trustee, paying agent, registrar and DTC custodian with respect to the notes and maintains various commercial and investment banking relationships with us and with affiliates of ours. </w:t>
      </w:r>
    </w:p>
    <w:p>
      <w:pPr>
        <w:pStyle w:val="TextBody"/>
        <w:bidi w:val="0"/>
        <w:spacing w:before="240" w:after="0"/>
        <w:jc w:val="left"/>
        <w:rPr>
          <w:rFonts w:ascii="Times New Roman" w:hAnsi="Times New Roman"/>
          <w:sz w:val="20"/>
        </w:rPr>
      </w:pPr>
      <w:r>
        <w:rPr>
          <w:rFonts w:ascii="Times New Roman" w:hAnsi="Times New Roman"/>
          <w:sz w:val="20"/>
        </w:rPr>
        <w:t xml:space="preserve">Principal of, premium, if any, and interest on the notes will be payable at the office of the paying agent or, at our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depositary, and registered in the name of the nominee of the common depositary for the account of DTC will be made through the facilities of the common depositary. We may change the paying agent without prior notice to the holders, and we or any of our subsidiaries may act as paying agent.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180255_10"/>
      <w:bookmarkEnd w:id="12"/>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summary of material U.S. federal income tax consequences of the ownership and disposition of the notes. This discussion is based upon the U.S. Internal Revenue Code of 1986, as amended (the “Code”), the U.S. Treasury regulations promulgated thereunder, administrative pronouncements and judicial decisions, all as of the date hereof and all of which are subject to differing interpretations or change, possibly with retroactive effect. Unless otherwise indicated, this summary addresses only the U.S. federal income tax consequences relevant to investors that purchase notes for cash at the time of original issuance at their “issue price” (generally the first price at which a substantial amount of the notes are sold for money to the public, not including purchases by bond houses, brokers or similar persons or organizations acting in the capacity of underwriters, placement agents or wholesalers) and applies only to beneficial owners that hold the notes as “capital assets” within the meaning of Section 1221 of the Code.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all of the U.S. federal income tax considerations that may be relevant to a particular investor in light of the investor’s individual circumstances or to investors subject to special rules under U.S. federal income tax laws, such as banks and other financial institutions, insurance companies, real estate investment trusts, regulated investment companies, tax-exempt organizations, entities and arrangements classified as partnerships for U.S. federal income tax purposes and other pass-through entities (and investors in such partnerships and other entities), dealers in securities, traders in securities that elect to use a mark-to-market method of tax accounting, persons liable for any minimum tax, U.S. Holders (as defined below) whose functional currency is not the U.S. dollar, certain U.S. expatriates, “controlled foreign corporations,” “passive foreign investment companies,” corporations that accumulate earnings to avoid U.S. federal income tax, persons holding notes as part of a “straddle,” “hedge,” “conversion transaction,” or other integrated investment and persons subject to special tax accounting rules under Section 451(b) of the Code. The discussion does not address the Medicare tax on net investment income, nor any foreign, state, local or non-income tax consequences of the ownership or disposition of the notes. We will not seek a ruling from the Internal Revenue Service (the “IRS”) with respect to any of the matters discussed herein and there can be no assurance that the IRS will not challenge one or more of the tax consequences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the term “U.S. Holder” means a beneficial owner of a note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in or under the laws of the United States or any state or political subdivision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U.S. court is able to exercise primary supervision over the trust’s administration and one or more “United States persons,” as defined in the Code (“United States Person”) have the authority to control all substantial decisions of the trust, or (ii) the trust has in effect a valid election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means any beneficial owner of a note that is not a U.S. Holder and is not a partnership (including any entity or arrangement properly classified as a partnership for U.S. federal income tax purposes). For the purposes of this summary, U.S. Holders and Non-U.S. Holders are referred to collectively as “holders.”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classified as a partnership for U.S. federal income tax purposes) is a beneficial owner of a note, the U.S. federal income tax treatment of a partner in that partnership will generally depend upon the status of the partner and the activities of the partnership. A beneficial owner of a note that is a partnership and partners in such partnerships are urged to consult with their tax advisors regarding the U.S. federal income and other tax consequences of the ownership and disposition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general purposes only. Investors are urged to consult their tax advisors regarding the application of the U.S. federal income tax laws to their particular situations and the consequences under federal estate or gift tax laws, as well as foreign, state, and local laws and tax treaties, and the possible effects of changes in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under Certain Events </w:t>
      </w:r>
    </w:p>
    <w:p>
      <w:pPr>
        <w:pStyle w:val="TextBody"/>
        <w:bidi w:val="0"/>
        <w:spacing w:before="120" w:after="0"/>
        <w:jc w:val="left"/>
        <w:rPr>
          <w:rFonts w:ascii="Times New Roman" w:hAnsi="Times New Roman"/>
          <w:sz w:val="20"/>
        </w:rPr>
      </w:pPr>
      <w:r>
        <w:rPr>
          <w:rFonts w:ascii="Times New Roman" w:hAnsi="Times New Roman"/>
          <w:sz w:val="20"/>
        </w:rPr>
        <w:t xml:space="preserve">We may be required, under certain circumstances, to pay additional amounts in excess of stated interest and principal in respect of certain contingencies (including as described in “Description of Notes—Optional Redemption,” “—Repurchase Upon Change of Control Triggering Event,” and “—Special Mandatory Redemption”). Although the issue is not free from doubt, we intend to take the position that the possibility of payment of such additional amounts in respect of certain contingencies does not result in the notes being treated as contingent payment debt instruments under the applicable U.S. Treasury regulations. Our position that these contingencies do not result in the notes being treated as contingent payment debt instruments under the applicable U.S. Treasury regulations is binding on a holder, unless such holder explicitly discloses to the IRS on its tax return for the year during which it acquires the notes that it is taking a different position. However, our position is not binding on the IRS. If the IRS takes a contrary position to that described above, the timing and character of a holder’s income and the timing of our deductions with respect to the notes could be affected. Investors should consult their tax advisors regarding the tax consequences of the notes being treated as contingent payment debt instruments. The remainder of this discussion assumes that the notes will not be treated as contingent payment debt instruments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i/>
          <w:sz w:val="20"/>
        </w:rPr>
      </w:pPr>
      <w:r>
        <w:rPr>
          <w:rFonts w:ascii="Times New Roman" w:hAnsi="Times New Roman"/>
          <w:i/>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and this discussion assumes, that the notes will be issued with less than a de minimis amount (as set forth in the Code and applicable Treasury regulations) of original issue discount. In such case, interest on the notes will generally be taxable to U.S. Holders as ordinary interest income at the time it is paid or accrued in accordance with the U.S. Holder’s regular method of accounting for U.S. federal income tax purposes. If, however, the notes are issued for an amount less than the principal amount and the difference is equal to or more than a de minimis amount, U.S. Holders will be required to include the difference in gross income as original issue discount as it accrues in accordance with a constant yield method based on a compounding of interest before the receipt of cash payments to which such income is attributable.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redemption or other taxable disposition of the notes, a U.S. Holder will generally recognize gain or loss equal to the difference, if any, between (i) the amount realized upon the sale, exchange, redemption or other taxable disposition, other than amounts attributable to accrued and unpaid interest (which will be treated as interest and recognized as ordinary interest income to the extent such interest has not been previously included in income) and (ii) the U.S. Holder’s adjusted tax basis in the notes. The amount realized by a U.S. Holder is the sum of cash plus the fair market value of all other property received on such sale, exchange, redemption or other taxable disposition. A U.S. Holder’s adjusted tax basis in a note will generally equal the cost of the note to such holder. </w:t>
      </w:r>
    </w:p>
    <w:p>
      <w:pPr>
        <w:pStyle w:val="TextBody"/>
        <w:bidi w:val="0"/>
        <w:spacing w:before="240" w:after="0"/>
        <w:jc w:val="left"/>
        <w:rPr>
          <w:rFonts w:ascii="Times New Roman" w:hAnsi="Times New Roman"/>
          <w:sz w:val="20"/>
        </w:rPr>
      </w:pPr>
      <w:r>
        <w:rPr>
          <w:rFonts w:ascii="Times New Roman" w:hAnsi="Times New Roman"/>
          <w:sz w:val="20"/>
        </w:rPr>
        <w:t xml:space="preserve">Such gain or loss will generally be long-term capital gain or loss if, at the time of the sale, exchange, redemption, or other taxable disposition, the U.S. Holder’s holding period in the notes exceeds one year. For non-corporate U.S. Holders, long-term capital gains are currently taxed at a lower rate than ordinary income. The deductibility of capital losses is subject to limitations. U.S. Holders are urged to consult their tax advisors regarding the deductibility of capital losses in light of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a U.S. Holder will be subject to U.S. federal backup withholding at the applicable statutory rate with respect to payments on the notes and the proceeds of a sale, exchange, redemption or other taxable disposition of the notes, unless the U.S. Holder timely provides its taxpayer identification number to the applicable withholding agent and certifies, under penalty of perjury, that it is not subject to backup withholding on an IRS Form W-9 (Request for Taxpayer Identification Number and Certification) or an applicable successor form and otherwise complies with the applicable requirements of the backup withholding rules or the U.S. Holder otherwise establishes by providing appropriate documentation that it is exempt from backup withholding. Backup withholding is not an additional tax. The amount of any backup withholding from a payment to a U.S. Holder may be allowed as a credit against such U.S. Holder’s U.S. federal income tax liability and may entitle such U.S. Holder to a refund, provided the required information is furnished to the IRS in a timely manner. In addition, payments on the notes made to, and the proceeds of a sale or other taxable disposition by, a U.S. Holder will generally be subject to information reporting requirements, unless such U.S. Holder is an exempt recipient and appropriately establishes that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i/>
          <w:sz w:val="20"/>
        </w:rPr>
      </w:pPr>
      <w:r>
        <w:rPr>
          <w:rFonts w:ascii="Times New Roman" w:hAnsi="Times New Roman"/>
          <w:i/>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“—FATCA,” a Non-U.S. Holder generally will not be subject to U.S. federal income or withholding tax on interest paid on the notes as long as that interest is not “effectively connected” with the Non-U.S. Holder’s conduct of a trade or business within the United States (and, if required by an applicable income tax treaty, is not attributable to a U.S. permanent establishment or fixed base maintained by the Non-U.S. Holder in the United States)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directly or indirectly, actually or constructively own 10% or more of the total combined voting power of all classes of our stock entitled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for U.S. federal income tax purposes that is related to us, actually or by attribution, through stock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receiving the interest pursuant to a loan agreement entered into in the ordinary course of the Non-U.S. Holder’s trade or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(i) the Non-U.S. Holder certifies under penalties of perjury on IRS Form W-8BEN or W-8BEN-E, as applicable, or an applicable successor form that it is not a United States Person, and provides its name, address and certain other required information or (ii) a securities clearing organization, bank or other financial institution that holds customers’ securities in the ordinary course of its trade or business and holds the notes on behalf of the Non-U.S. Holder certifies under penalties of perjury that the certification referred to in clause (i) has been received from the Non-U.S. Holder or an intermediate financial institution and furnishes to the applicable withholding agent a copy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that does not qualify for exemption from withholding as described above will generally be subject to withholding of U.S. federal income tax at a rate of 30% on payments of interest on the notes (except as described below with respect to effectively connected income). A Non-U.S. Holder may be entitled to the benefits of an income tax treaty under which interest on the notes is subject to a reduced rate of withholding tax or is exempt from U.S. withholding tax, provided the Non-U.S. Holder furnishes the applicable withholding agent with a properly executed IRS Form W-8BEN or W-8BEN-E, as applicable, or an applicable successor form claiming the reduction or exemption and the Non-U.S. Holder complies with any other applicable procedures.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Generally, subject to the discussion below under “—Backup Withholding and Information Reporting,” any gain recognized by a Non-U.S. Holder on the sale, exchange, redemption or other taxable disposition of a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amounts attributable to accrued and unpaid interest, which will generally be treated as described under “—Payments of Interest” above) will be exempt from U.S. federal income and withholding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is attributable to a permanent establishment or fixed base maintained by the Non-U.S. Holder in the United States), in which case the Non-U.S. Holder generally will be subject to U.S. federal income tax in the manner described below under “—Effectively Connected Income”;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during the taxable year of the sale or other taxable disposition and certain other conditions are met, in which case the Non-U.S. Holder generally will be subject to U.S. federal income tax at a rate of 30% (unless a lower treaty rate applies) on the amount by which its U.S. source capital gains exceed its U.S. source capital losses.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Effectively Connected Income </w:t>
      </w:r>
    </w:p>
    <w:p>
      <w:pPr>
        <w:pStyle w:val="TextBody"/>
        <w:bidi w:val="0"/>
        <w:spacing w:before="120" w:after="0"/>
        <w:jc w:val="left"/>
        <w:rPr>
          <w:rFonts w:ascii="Times New Roman" w:hAnsi="Times New Roman"/>
          <w:sz w:val="20"/>
        </w:rPr>
      </w:pPr>
      <w:r>
        <w:rPr>
          <w:rFonts w:ascii="Times New Roman" w:hAnsi="Times New Roman"/>
          <w:sz w:val="20"/>
        </w:rPr>
        <w:t xml:space="preserve">If interest or gain recognized by a Non-U.S. Holder on a note is “effectively connected” with the Non-U.S. Holder’s conduct of a trade or business within the United States (and, if required by an applicable income tax treaty, is attributable to a permanent establishment or fixed base maintained by the Non-U.S. Holder in the United States), then, subject to the discussions below under “—Backup Withholding and Information Reporting” and “—FATCA,” the Non-U.S. Holder will be exempt from the withholding tax on such interest if the Non-U.S. Holder provides the applicable withholding agent with a properly completed and executed IRS Form W-8ECI or an applicable successor form, but the Non-U.S. Holder will generally be subject to U.S. federal income tax on such interest or gain as if such Non-U.S. Holder were a United States Person. In addition to such U.S. federal income tax, if the Non-U.S. Holder is treated as a corporation for U.S. federal income tax purposes, it may be subject to an additional branch profits tax, currently at a rate of 30% or such lower rate provided by an applicable income tax treaty. </w:t>
      </w:r>
    </w:p>
    <w:p>
      <w:pPr>
        <w:pStyle w:val="TextBody"/>
        <w:bidi w:val="0"/>
        <w:spacing w:before="360" w:after="0"/>
        <w:jc w:val="left"/>
        <w:rPr>
          <w:rFonts w:ascii="Times New Roman" w:hAnsi="Times New Roman"/>
          <w:i/>
          <w:sz w:val="20"/>
        </w:rPr>
      </w:pPr>
      <w:r>
        <w:rPr>
          <w:rFonts w:ascii="Times New Roman" w:hAnsi="Times New Roman"/>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(or the applicable withholding agent) must report annually to the IRS and to each Non-U.S. Holder the amount of interest paid to the Non-U.S. Holder and the amount of tax withheld, if any, from those payments. These reporting requirements apply regardless of whether U.S. withholding tax on such payments was reduced or eliminated by any applicable tax treaty or otherwise. Copies of the information returns reporting those payments and the amounts withheld may also be made available to the tax authorities in the country where a Non-U.S. Holder is a resident under the provisions of an applicable income tax treaty or agreement. Backup withholding generally will not apply to payments of interest on the notes made to a Non-U.S. Holder if the certification described above under “—Payments of Interest” is received from the Non-U.S. Holder.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and information reporting will generally not apply to payments of proceeds from the sale or other taxable disposition of a note made to a Non-U.S. Holder by or through the foreign office of a broker. However, information reporting requirements, and possibly backup withholding, will apply if such broker is, for U.S. federal income tax purposes, a United States Person or has certain other enumerated connections with the United States, unless such broker has documentary evidence in its records that the Non-U.S. Holder is not a United States Person and certain other conditions are met, or the Non-U.S. Holder otherwise establishes an exemption. Payments of proceeds from the sale or other taxable disposition of a note made to a Non-U.S. Holder by or through the U.S. office of a broker are subject to information reporting and backup withholding at the applicable rate unless the Non-U.S. Holder certifies, under penalties of perjury, that it is not a United States Person and it satisfies certain other conditions, or the Non-U.S.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Non-U.S. Holder may be allowed as a credit against such Non-U.S. Holder’s U.S. federal income tax liability and may entitle such Non-U.S. Holder to a refund, provided the required information is furnished to the IRS in a timely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Holders are urged to consult their tax advisors regarding the application of information reporting and backup withholding in their particular situations, the availability of an exemption therefrom, and the procedures for obtaining such an exemption, if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U.S. federal withholding tax will generally apply to payments of interest on the notes made to a foreign financial institution (including amounts paid to a foreign financial institution on or behalf of a holder) and certain other nonfinancial foreign entities, unless (i) the foreign financial institution enters into an agreement with the U.S. Treasury to, among other things, collect and provide to it substantial information regarding such institution’s United States financial account holders, including certain account holders that are foreign entities with United States owners, (ii) the non-financial foreign entity provides the applicable withholding agent with a certification that it does not have any substantial United States owners or a certification identifying the direct and indirect substantial United States owners of the entity and meets certain other specified requirements or (iii) the foreign financial institution or non-financial foreign entity otherwise qualifies for an exemption from these rules. If the country in which a payee is resident has entered into an “intergovernmental agreement” with the United States regarding FATCA, that agreement may modify the above rules.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urged to consult their tax advisors regarding the application of FATCA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 U.S. federal income tax discussion set forth above is included for general information only and may not be applicable depending upon an investor’s particular situation. Investors are urged to consult their tax advisors with respect to the tax consequences to them of the ownership and disposition of the notes, including the tax consequences under state, local, estate, foreign and other tax laws and tax treaties and the possible effects of changes in U.S. or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180255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ING Financial Markets LLC and J.P. Morgan Securities LLC are acting as representatives of the underwriters named below. Subject to the terms and conditions stated in the underwriting agreement dated the date of this prospectus supplement, each underwriter named below has severally agreed to purchase, and we have agreed to sell to each underwriter, the principal amount of notes set forth opposite such underwriter’s name.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88"/>
        <w:gridCol w:w="470"/>
        <w:gridCol w:w="226"/>
        <w:gridCol w:w="904"/>
        <w:gridCol w:w="60"/>
        <w:gridCol w:w="470"/>
        <w:gridCol w:w="226"/>
        <w:gridCol w:w="904"/>
        <w:gridCol w:w="60"/>
        <w:gridCol w:w="470"/>
        <w:gridCol w:w="226"/>
        <w:gridCol w:w="904"/>
        <w:gridCol w:w="64"/>
      </w:tblGrid>
      <w:tr>
        <w:trPr/>
        <w:tc>
          <w:tcPr>
            <w:tcW w:w="3588"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47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20  Notes</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20  Notes</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20  Notes</w:t>
            </w:r>
          </w:p>
        </w:tc>
        <w:tc>
          <w:tcPr>
            <w:tcW w:w="64" w:type="dxa"/>
            <w:tcBorders/>
            <w:vAlign w:val="bottom"/>
          </w:tcPr>
          <w:p>
            <w:pPr>
              <w:pStyle w:val="TableContents"/>
              <w:bidi w:val="0"/>
              <w:spacing w:before="0" w:after="283"/>
              <w:jc w:val="left"/>
              <w:rPr/>
            </w:pPr>
            <w:r>
              <w:rPr/>
              <w:t> </w:t>
            </w:r>
          </w:p>
        </w:tc>
      </w:tr>
      <w:tr>
        <w:trPr/>
        <w:tc>
          <w:tcPr>
            <w:tcW w:w="3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47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7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47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588"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588"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20      note,     % per 20      note and     % per 20     note. Any such securities dealers may resell any notes purchased from the underwriters to certain other brokers or dealers at a discount from the initial public offering price not to exceed     % per 20      note,     % per 20      note and     % per 20     note. If all the notes are not sold at the initial public offering price, less applicable discounts, the underwriters may change the public offering price and the discounts. The underwriters may offer and sell notes through certain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discounts that we are to pay to the underwriters in connection with this offering (expressed as a percentage of the principal amount of the notes).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03"/>
        <w:gridCol w:w="720"/>
        <w:gridCol w:w="121"/>
        <w:gridCol w:w="1018"/>
        <w:gridCol w:w="277"/>
      </w:tblGrid>
      <w:tr>
        <w:trPr/>
        <w:tc>
          <w:tcPr>
            <w:tcW w:w="4803"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803"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w:t>
              <w:br/>
              <w:t>Xylem Inc.</w:t>
            </w:r>
          </w:p>
        </w:tc>
        <w:tc>
          <w:tcPr>
            <w:tcW w:w="277" w:type="dxa"/>
            <w:tcBorders/>
            <w:vAlign w:val="bottom"/>
          </w:tcPr>
          <w:p>
            <w:pPr>
              <w:pStyle w:val="TableContents"/>
              <w:bidi w:val="0"/>
              <w:spacing w:before="0" w:after="283"/>
              <w:jc w:val="left"/>
              <w:rPr/>
            </w:pPr>
            <w:r>
              <w:rPr/>
              <w:t> </w:t>
            </w:r>
          </w:p>
        </w:tc>
      </w:tr>
      <w:tr>
        <w:trPr/>
        <w:tc>
          <w:tcPr>
            <w:tcW w:w="4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72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r>
      <w:tr>
        <w:trPr/>
        <w:tc>
          <w:tcPr>
            <w:tcW w:w="4803" w:type="dxa"/>
            <w:tcBorders/>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72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r>
      <w:tr>
        <w:trPr/>
        <w:tc>
          <w:tcPr>
            <w:tcW w:w="4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72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excluding the underwriting discounts, will be $    .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new issues of securities, and there is currently no established trading market. We do not intend to apply for listing of the notes on any securities exchange or for inclusion of the notes on any automated dealer quotation system. Although the underwriters have advised us that they intend to make a market in the notes, they are not obligated to do so. The underwriters may discontinue any market making in the notes at any time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notice in their sole discretion. Therefore, we cannot assure you that a liquid trading market will develop for the notes, that you will be able to sell your notes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overallotments, stabilizing transactions and syndicate covering transactions in accordance with Regulation M under the Exchange Act. Overallotment involves sales in excess of the offering size, which creates a short position for the underwriters. Stabilizing transactions involve bids to purchase the notes in the open market for the purpose of pegging, fixing or maintaining the price of the notes, as applicable. Syndicate covering transactions involve purchases of the notes in the open market after the distribution has been completed in order to cover short positions. Stabilizing transactions and syndicate covering transactions may cause the price of the notes to be higher than it would otherwise be in the absence of those transactions. If the underwriters engage in stabilizing or syndicate covering transactions, they may discontinue them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notes against payment for the notes on or about the date specified in the last paragraph of the cover page of this prospectus supplement, which will be the  business day following the date of the pricing of the notes. Under Rule 15c6-1 of the Exchange Act, trades in the secondary market generally are required to settle in one business day, unless the parties to a trade expressly agree otherwise. Accordingly, purchasers who wish to trade notes on any date prior to the first business day before delivery will be required, by virtue of the fact that the notes initially will settle in T+ , to specify alternative settlement arrangements to prevent a failed settlement. As used in this paragraph, the term “business day” means any day, other than a Saturday or Sunday, that is not a day on which banking institutions in The City of New York are authorized or required by law or executive order to close.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Certain affiliates of the underwriters are lenders, and in some cases agents or managers for the lenders, under our revolving credit facility, our New Revolving Credit Facility and the Bridge Facility.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been prepared on the basis that any offer of the notes in any Member State of the European Economic Area (“EEA”) will be made pursuant to an exemption under Regulation (EU) 2017/1129 (as amended, the “Prospectus Regulation”) from the requirement to publish a prospectus for offers of notes. Accordingly, any person making or intending to make any offer in that relevant Member State of the EEA of the notes which are the subject of the offering contemplated by this prospectus supplement and the accompanying prospectus may only do so in circumstances in which no obligation arises for us or any of the underwriters to produce a prospectus pursuant to Article 3 of the EU Prospectus Regulation in relation to such offer. Neither we nor the underwriters have authorized, nor do we or they authorize, the making of any offer of notes in circumstances in which an obligation arises for us or the underwriters to publish a prospectus for such offer. For the avoidance of doubt, whilst this document is referred to as a ‘prospectus supplement’ and there are references herein to a ‘prospectus’, neither this prospectus supplement nor the accompanying prospectus is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EEA. For these purposes, (a) the expression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Article 2 of the Prospectus Regulation; and (b) the expression “offer” includes the communication in any form and by any means of sufficient information on the terms of the offer and the notes to be offered so as to enable an investor to decide to purchase or subscribe for such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EEA, this prospectus supplement and the accompanying prospectus are being distributed only to, and is directed only at, and any offer subsequently made may only be directed at non-retail investors (being persons who are not retail investors as defined in the paragraph above). In the EEA, any investment or investment activity to which this prospectus supplement and the accompanying prospectus relate is available only to, and will be engaged in only with, non-retail investors. This prospectus supplement, the accompanying prospectus and their contents are confidential and should not be distributed, published or reproduced (in whole or in part) or disclosed by any recipients to any other person in the EEA. Any person in the EEA who is a retail investor should not act or rely on this prospectus supplement, the accompanying prospectus or any of their contents.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been prepared on the basis that any offer of the notes in the United Kingdom (“UK”) will be made pursuant to an exemption from the prohibition on public offers of relevant securities in The Public Offers and Admissions to Trading Regulations 2024 (the “UK POATRs”) in circumstances not requiring a prospectus pursuant to the UK Financial Conduct Authority Prospectus Rules: Admission to Trading on a Regulated Market Sourcebook (the “PRM Sourcebook”). For the avoidance of doubt, whilst this document is referred to as a ‘prospectus supplement’ and there are references herein to a ‘prospectus’, neither this prospectus supplement nor the accompanying prospectus is a prospectus for the purposes of the UK POATRs or the PRM Sourcebook.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UK. For these purposes, (a) the expression “retail investor” means a person who is neither: (i)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a “qualified investor” as defined in paragraph 15 of Schedule 1 to the UK POATRs; and (b) the expression “offer” includes the communication in any form and by any means of sufficient information on the terms of the offer and the notes to be offered so as to enable an investor to decide to buy or subscribe for such notes. Consequently, no disclosure document required by the FCA Product Disclosure Sourcebook (the “DISC Sourcebook”) for offering or selling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 of this prospectus supplement, the accompanying prospectus, any related free writing prospectus and any other document 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United Kingdom’s Financial Services and Markets Act 2000, as amended (the “FSMA”). Accordingly, this prospectus supplement, the accompanying prospectus, any related free writing prospectus and such other documents and/or materials are being distributed only to, and are directed only at, and offer subsequently made may only be directed at non-retail investors (being persons who are not retail investors as defined in the paragraph above) who are also: (i) persons having professional experience in matters relating to investments who fall within the definition of “investment professionals” in Article 19(5) of the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and Markets Act 2000 (Financial Promotion) Order 2005 (as amended, the “Order”); (ii) high net worth companies, unincorporated associations and partnerships and trustees of high value trusts described in Article 49(2)(a) to (c) of the Order; or (iii) persons to whom an invitation or inducement to engage in investment activity (within the meaning of Section 21 of the FSMA) in connection with the issue or sale of any securities may otherwise lawfully be communicated (all such persons together being referred to as “relevant persons”). In the UK, any investment or investment activity to which this prospectus supplement, the accompanying prospectus, any related free writing prospectus and any such other document or materials relate is available only to, and will be engaged in only with, relevant persons. This prospectus supplement, the accompanying prospectus and their contents are confidential and should not be distributed, published or reproduced (in whole or in part) or disclosed by any recipients to any other person in the UK. Any person in the UK who is not a relevant person should not act or rely on this prospectus supplement, the accompanying prospectus, any related free writing prospectus or any other documents and/or materials relating to the issue of the notes offered hereby or any of their contents. </w:t>
      </w:r>
    </w:p>
    <w:p>
      <w:pPr>
        <w:pStyle w:val="TextBody"/>
        <w:bidi w:val="0"/>
        <w:spacing w:before="240" w:after="0"/>
        <w:jc w:val="left"/>
        <w:rPr>
          <w:rFonts w:ascii="Times New Roman" w:hAnsi="Times New Roman"/>
          <w:sz w:val="20"/>
        </w:rPr>
      </w:pPr>
      <w:r>
        <w:rPr>
          <w:rFonts w:ascii="Times New Roman" w:hAnsi="Times New Roman"/>
          <w:sz w:val="20"/>
        </w:rPr>
        <w:t xml:space="preserve">All applicable provisions of the FSMA must be complied with in respect to anything done by any person in relation to the notes in, from or otherwise involving the United Kingdom.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France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supplement nor any other offering material relating to the notes described in this prospectus supplement has been submitted to the clearance procedures of the </w:t>
      </w:r>
      <w:r>
        <w:rPr>
          <w:rFonts w:ascii="Times New Roman" w:hAnsi="Times New Roman"/>
          <w:i/>
          <w:sz w:val="20"/>
        </w:rPr>
        <w:t xml:space="preserve">Autorité des Marchés Financiers </w:t>
      </w:r>
      <w:r>
        <w:rPr>
          <w:rFonts w:ascii="Times New Roman" w:hAnsi="Times New Roman"/>
          <w:sz w:val="20"/>
        </w:rPr>
        <w:t xml:space="preserve">or of the competent authority of another member state of the European Economic Area and notified to the </w:t>
      </w:r>
      <w:r>
        <w:rPr>
          <w:rFonts w:ascii="Times New Roman" w:hAnsi="Times New Roman"/>
          <w:i/>
          <w:sz w:val="20"/>
        </w:rPr>
        <w:t>Autorité des Marchés Financiers</w:t>
      </w:r>
      <w:r>
        <w:rPr>
          <w:rFonts w:ascii="Times New Roman" w:hAnsi="Times New Roman"/>
          <w:sz w:val="20"/>
        </w:rPr>
        <w:t xml:space="preserve">. The notes have not been offered or sold and will not be offered or sold, directly or indirectly, to the public in France. Neither this prospectus supplement nor any other offering material relating to the notes has been or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released, issued, distributed or caused to be released, issued or distributed to the public in France;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used in connection with any offer for subscription or sale of the notes to the public in France.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offers, sales and distributions will be made in France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qualified investors (</w:t>
            </w:r>
            <w:r>
              <w:rPr>
                <w:rFonts w:ascii="Times New Roman" w:hAnsi="Times New Roman"/>
                <w:i/>
                <w:sz w:val="20"/>
              </w:rPr>
              <w:t>investisseurs qualifiés</w:t>
            </w:r>
            <w:r>
              <w:rPr>
                <w:rFonts w:ascii="Times New Roman" w:hAnsi="Times New Roman"/>
                <w:sz w:val="20"/>
              </w:rPr>
              <w:t>) and/or to a restricted circle of investors (</w:t>
            </w:r>
            <w:r>
              <w:rPr>
                <w:rFonts w:ascii="Times New Roman" w:hAnsi="Times New Roman"/>
                <w:i/>
                <w:sz w:val="20"/>
              </w:rPr>
              <w:t>cercle restreint d’investisseurs</w:t>
            </w:r>
            <w:r>
              <w:rPr>
                <w:rFonts w:ascii="Times New Roman" w:hAnsi="Times New Roman"/>
                <w:sz w:val="20"/>
              </w:rPr>
              <w:t xml:space="preserve">), in each case investing for their own account, all as defined in, and in accordance with, articles L.411-2, D.411-1, D.411-2, D.734-1, D.744-1, D.754-1 and D.764-1 of the French Code monétaire et financier;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investment services providers authorized to engage in portfolio management on behalf of third parties;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transaction that, in accordance with article L.411-2-II-1° -or-2° -or 3° of the French Code </w:t>
            </w:r>
            <w:r>
              <w:rPr>
                <w:rFonts w:ascii="Times New Roman" w:hAnsi="Times New Roman"/>
                <w:i/>
                <w:sz w:val="20"/>
              </w:rPr>
              <w:t xml:space="preserve">monétaire et financier </w:t>
            </w:r>
            <w:r>
              <w:rPr>
                <w:rFonts w:ascii="Times New Roman" w:hAnsi="Times New Roman"/>
                <w:sz w:val="20"/>
              </w:rPr>
              <w:t xml:space="preserve">and article 211-2 of the General Regulations (Règlement Général) of the </w:t>
            </w:r>
            <w:r>
              <w:rPr>
                <w:rFonts w:ascii="Times New Roman" w:hAnsi="Times New Roman"/>
                <w:i/>
                <w:sz w:val="20"/>
              </w:rPr>
              <w:t>Autorité des Marchés Financiers</w:t>
            </w:r>
            <w:r>
              <w:rPr>
                <w:rFonts w:ascii="Times New Roman" w:hAnsi="Times New Roman"/>
                <w:sz w:val="20"/>
              </w:rPr>
              <w:t>, does not constitute a public offer (</w:t>
            </w:r>
            <w:r>
              <w:rPr>
                <w:rFonts w:ascii="Times New Roman" w:hAnsi="Times New Roman"/>
                <w:i/>
                <w:sz w:val="20"/>
              </w:rPr>
              <w:t>appel public à l’épargne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may be resold directly or indirectly, only in compliance with articles L.411-1, L.411-2, L.412-1 and L.621-8 through L.621-8-3 of the French Code </w:t>
      </w:r>
      <w:r>
        <w:rPr>
          <w:rFonts w:ascii="Times New Roman" w:hAnsi="Times New Roman"/>
          <w:i/>
          <w:sz w:val="20"/>
        </w:rPr>
        <w:t>monétaire et financier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under the Securities and Futures Act 2001 (“SFA”) by the Monetary Authority of Singapore, and the offer of the notes in Singapore is made primarily pursuant to the exemptions under Sections 274 and 275 of the SFA.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or any person pursuant to Section 275(1A),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debentures and units of shares and debentures of that corporation and the beneficiaries’ rights and interest (howsoever described) in that trust shall not be transferred within six months after that corporation or that trust has subscribed for or acquired the notes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an Accredited Investor, a Relevant Person, or which arises from an offer referred to in Section 275(1A) of the SFA (in the case of that corporation) or Section 276(4)(c)(ii) of the SFA (in the case of that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Singapore SFA Product Classification—Solely for the purposes of its obligations pursuant to Sections 309B(1)(a) and 309B(1)(c) of the SFA, we have determined, and hereby notify all persons (including all relevant persons (as defined in Section 309A(1)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in Switzerland. The notes may not be publicly offered, directly or indirectly, in Switzerland within the meaning of the Swiss Financial Services Act (the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180255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New York, New York, will provide opinions regarding the authorization and validity of the notes for us as to matters governed by the laws of the State of New York. Barnes &amp; Thornburg LLP, Indianapolis, Indiana, will provide opinions regarding the authorization and validity of the notes for us as to all matters governed by the laws of the State of Indiana. Certain legal matters will be passed upon for the underwriters by Davis Polk &amp; Wardwell LLP, New York, New York. </w:t>
      </w:r>
    </w:p>
    <w:p>
      <w:pPr>
        <w:pStyle w:val="TextBody"/>
        <w:bidi w:val="0"/>
        <w:spacing w:before="480" w:after="0"/>
        <w:jc w:val="center"/>
        <w:rPr>
          <w:rFonts w:ascii="Times New Roman" w:hAnsi="Times New Roman"/>
          <w:b/>
          <w:sz w:val="20"/>
        </w:rPr>
      </w:pPr>
      <w:bookmarkStart w:id="15" w:name="supprom180255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each of the three years in the period ended December 31, 2025, incorporated by reference in this prospectus supplement, and the effectiveness of the Company’s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735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657350"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w:t>
      </w:r>
    </w:p>
    <w:p>
      <w:pPr>
        <w:pStyle w:val="TextBody"/>
        <w:bidi w:val="0"/>
        <w:spacing w:before="0" w:after="0"/>
        <w:jc w:val="center"/>
        <w:rPr>
          <w:rFonts w:ascii="Times New Roman" w:hAnsi="Times New Roman"/>
          <w:b/>
          <w:sz w:val="20"/>
        </w:rPr>
      </w:pPr>
      <w:r>
        <w:rPr>
          <w:rFonts w:ascii="Times New Roman" w:hAnsi="Times New Roman"/>
          <w:b/>
          <w:sz w:val="20"/>
        </w:rPr>
        <w:t xml:space="preserve">DEPOSITARY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CONTRACTS </w:t>
      </w:r>
    </w:p>
    <w:p>
      <w:pPr>
        <w:pStyle w:val="TextBody"/>
        <w:bidi w:val="0"/>
        <w:spacing w:before="0" w:after="0"/>
        <w:jc w:val="center"/>
        <w:rPr>
          <w:rFonts w:ascii="Times New Roman" w:hAnsi="Times New Roman"/>
          <w:b/>
          <w:sz w:val="20"/>
        </w:rPr>
      </w:pPr>
      <w:r>
        <w:rPr>
          <w:rFonts w:ascii="Times New Roman" w:hAnsi="Times New Roman"/>
          <w:b/>
          <w:sz w:val="20"/>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and any applicable prospectus supplement that we file with the Securities and Exchange Commission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of Xylem Inc. trades on The New York Stock Exchange under the symbol “XYL.” </w:t>
      </w:r>
    </w:p>
    <w:p>
      <w:pPr>
        <w:pStyle w:val="TextBody"/>
        <w:bidi w:val="0"/>
        <w:spacing w:before="240" w:after="0"/>
        <w:jc w:val="left"/>
        <w:rPr/>
      </w:pPr>
      <w:r>
        <w:rPr>
          <w:rFonts w:ascii="Times New Roman" w:hAnsi="Times New Roman"/>
          <w:b/>
          <w:sz w:val="20"/>
        </w:rPr>
        <w:t>Investing in our securities involves certain risks. See the “Risk Factors” section of our filings with the Securities and Exchange Commission and the applicable prospectus supplement. Also see “</w:t>
      </w:r>
      <w:hyperlink w:anchor="tx180255_6">
        <w:r>
          <w:rPr>
            <w:rStyle w:val="InternetLink"/>
            <w:rFonts w:ascii="Times New Roman" w:hAnsi="Times New Roman"/>
            <w:b/>
            <w:sz w:val="20"/>
          </w:rPr>
          <w:t>Risk Factors</w:t>
        </w:r>
      </w:hyperlink>
      <w:r>
        <w:rPr>
          <w:rFonts w:ascii="Times New Roman" w:hAnsi="Times New Roman"/>
          <w:b/>
          <w:sz w:val="20"/>
        </w:rPr>
        <w:t xml:space="preserve">” on page 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2"/>
        <w:gridCol w:w="350"/>
        <w:gridCol w:w="96"/>
        <w:gridCol w:w="424"/>
        <w:gridCol w:w="63"/>
      </w:tblGrid>
      <w:tr>
        <w:trPr/>
        <w:tc>
          <w:tcPr>
            <w:tcW w:w="9272"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2"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1">
              <w:r>
                <w:rPr>
                  <w:rStyle w:val="InternetLink"/>
                  <w:rFonts w:ascii="Times New Roman" w:hAnsi="Times New Roman"/>
                  <w:b/>
                  <w:sz w:val="20"/>
                </w:rPr>
                <w:t>About This Prospectus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2">
              <w:r>
                <w:rPr>
                  <w:rStyle w:val="InternetLink"/>
                  <w:rFonts w:ascii="Times New Roman" w:hAnsi="Times New Roman"/>
                  <w:b/>
                  <w:sz w:val="20"/>
                </w:rPr>
                <w:t>Where You Can Find More Information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3">
              <w:r>
                <w:rPr>
                  <w:rStyle w:val="InternetLink"/>
                  <w:rFonts w:ascii="Times New Roman" w:hAnsi="Times New Roman"/>
                  <w:b/>
                  <w:sz w:val="20"/>
                </w:rPr>
                <w:t>Incorporation by Reference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4">
              <w:r>
                <w:rPr>
                  <w:rStyle w:val="InternetLink"/>
                  <w:rFonts w:ascii="Times New Roman" w:hAnsi="Times New Roman"/>
                  <w:b/>
                  <w:sz w:val="20"/>
                </w:rPr>
                <w:t>Special Note Regarding Forward-Looking Statements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3</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5">
              <w:r>
                <w:rPr>
                  <w:rStyle w:val="InternetLink"/>
                  <w:rFonts w:ascii="Times New Roman" w:hAnsi="Times New Roman"/>
                  <w:b/>
                  <w:sz w:val="20"/>
                </w:rPr>
                <w:t>About the Registrant</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4</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6">
              <w:r>
                <w:rPr>
                  <w:rStyle w:val="InternetLink"/>
                  <w:rFonts w:ascii="Times New Roman" w:hAnsi="Times New Roman"/>
                  <w:b/>
                  <w:sz w:val="20"/>
                </w:rPr>
                <w:t>Risk Factors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5</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7">
              <w:r>
                <w:rPr>
                  <w:rStyle w:val="InternetLink"/>
                  <w:rFonts w:ascii="Times New Roman" w:hAnsi="Times New Roman"/>
                  <w:b/>
                  <w:sz w:val="20"/>
                </w:rPr>
                <w:t>Use of Proceeds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6</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8">
              <w:r>
                <w:rPr>
                  <w:rStyle w:val="InternetLink"/>
                  <w:rFonts w:ascii="Times New Roman" w:hAnsi="Times New Roman"/>
                  <w:b/>
                  <w:sz w:val="20"/>
                </w:rPr>
                <w:t>Description of Debt Securities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9">
              <w:r>
                <w:rPr>
                  <w:rStyle w:val="InternetLink"/>
                  <w:rFonts w:ascii="Times New Roman" w:hAnsi="Times New Roman"/>
                  <w:b/>
                  <w:sz w:val="20"/>
                </w:rPr>
                <w:t>Description of Capital Stock</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25</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10">
              <w:r>
                <w:rPr>
                  <w:rStyle w:val="InternetLink"/>
                  <w:rFonts w:ascii="Times New Roman" w:hAnsi="Times New Roman"/>
                  <w:b/>
                  <w:sz w:val="20"/>
                </w:rPr>
                <w:t>Description of Other Securities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26</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11">
              <w:r>
                <w:rPr>
                  <w:rStyle w:val="InternetLink"/>
                  <w:rFonts w:ascii="Times New Roman" w:hAnsi="Times New Roman"/>
                  <w:b/>
                  <w:sz w:val="20"/>
                </w:rPr>
                <w:t>Plan of Distribution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27</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20"/>
              <w:jc w:val="left"/>
              <w:rPr/>
            </w:pPr>
            <w:hyperlink w:anchor="tx180255_12">
              <w:r>
                <w:rPr>
                  <w:rStyle w:val="InternetLink"/>
                  <w:rFonts w:ascii="Times New Roman" w:hAnsi="Times New Roman"/>
                  <w:b/>
                  <w:sz w:val="20"/>
                </w:rPr>
                <w:t>Legal Matters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28</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13">
              <w:r>
                <w:rPr>
                  <w:rStyle w:val="InternetLink"/>
                  <w:rFonts w:ascii="Times New Roman" w:hAnsi="Times New Roman"/>
                  <w:b/>
                  <w:sz w:val="20"/>
                </w:rPr>
                <w:t>Experts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80255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utilizing a “shelf” registration process. By using a shelf registration statement, Xylem Inc. may sell, at any time and from time to time in one or more offerings, any combination of the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references in this prospectus to “Xylem,” “Company,” “we,” “us” and “our” refer to Xylem Inc.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different information. We are not making an offer of these securities in any jurisdiction where the offer is not permitted. You should not assume that the information in this prospectus or a prospectus supplement is accurate as of any date other than the date on the front of the document.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a prospectus supplement containing specific information about the terms of that offering. That prospectus supplement may include a discussion of any risk factors or other special considerations applicable to those securities. The prospectus supplement also may add, update or change information in this prospectus. If there is any inconsistency between the information in this prospectus and any prospectus supplement, you should rely on the information in the prospectus supplement. You should read both this prospectus and any prospectus supplement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containing this prospectus, including the exhibits to the registration statement, provides additional information about us and the securities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exhibits to the registration statement contain the full text of certain contracts and other important documents we have summarized in this prospectus. You should review the full text of these documents because these summaries may not contain all the information that you may find important in deciding whether to purchase the securities we offer. The registration statement, including the exhibits, can be read at the SEC’s website or at the SEC’s offices mentioned under the heading “Where You Can Find More Information.” </w:t>
      </w:r>
    </w:p>
    <w:p>
      <w:pPr>
        <w:pStyle w:val="TextBody"/>
        <w:bidi w:val="0"/>
        <w:spacing w:before="480" w:after="0"/>
        <w:jc w:val="center"/>
        <w:rPr>
          <w:rFonts w:ascii="Times New Roman" w:hAnsi="Times New Roman"/>
          <w:b/>
          <w:sz w:val="20"/>
        </w:rPr>
      </w:pPr>
      <w:bookmarkStart w:id="17" w:name="tx180255_2"/>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reports on Form 10-K, quarterly reports on Form 10-Q, current reports on Form 8-K, proxy and information statements and amendments to reports filed or furnished pursuant to Sections 13(a), 14 and 15(d) of the Securities Exchange Act of 1934, as amended (the “Exchange Act”). The SEC maintains a website at www.sec.gov that contains reports, proxy and information statements and other information regarding Xylem Inc. and other companies that file materials with the SEC electronically. Copies of our periodic and current reports and proxy statements may be obtained, free of charge, on the “Investors” section of our website at http://www.xylem.com. This reference to our Internet address is for informational purposes only and shall not, under any circumstances, be deemed to incorporate the information available at or through such Internet address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80255_3"/>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to those documents. We hereby incorporate by reference the documents listed below.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25, 2026 (including the portions of our Definitive Proxy Statement on </w:t>
            </w:r>
            <w:hyperlink r:id="rId15">
              <w:r>
                <w:rPr>
                  <w:rStyle w:val="InternetLink"/>
                  <w:rFonts w:ascii="Times New Roman" w:hAnsi="Times New Roman"/>
                  <w:sz w:val="20"/>
                </w:rPr>
                <w:t>Schedule 14A</w:t>
              </w:r>
            </w:hyperlink>
            <w:r>
              <w:rPr>
                <w:rFonts w:ascii="Times New Roman" w:hAnsi="Times New Roman"/>
                <w:sz w:val="20"/>
              </w:rPr>
              <w:t xml:space="preserve">, filed with the SEC on March 30, 2026,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Quarterly Report on Form 10-Q for the quarterly periods ended March 31, 2026 filed with the SEC on </w:t>
            </w:r>
            <w:hyperlink r:id="rId16">
              <w:r>
                <w:rPr>
                  <w:rStyle w:val="InternetLink"/>
                  <w:rFonts w:ascii="Times New Roman" w:hAnsi="Times New Roman"/>
                  <w:sz w:val="20"/>
                </w:rPr>
                <w:t>April  28, 2026</w:t>
              </w:r>
            </w:hyperlink>
            <w:r>
              <w:rPr>
                <w:rFonts w:ascii="Times New Roman" w:hAnsi="Times New Roman"/>
                <w:sz w:val="20"/>
              </w:rPr>
              <w:t xml:space="preserve"> and June 30, 2026 filed with the SEC on </w:t>
            </w:r>
            <w:hyperlink r:id="rId17">
              <w:r>
                <w:rPr>
                  <w:rStyle w:val="InternetLink"/>
                  <w:rFonts w:ascii="Times New Roman" w:hAnsi="Times New Roman"/>
                  <w:sz w:val="20"/>
                </w:rPr>
                <w:t>July 28,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8">
              <w:r>
                <w:rPr>
                  <w:rStyle w:val="InternetLink"/>
                  <w:rFonts w:ascii="Times New Roman" w:hAnsi="Times New Roman"/>
                  <w:sz w:val="20"/>
                </w:rPr>
                <w:t>February 25, 2026</w:t>
              </w:r>
            </w:hyperlink>
            <w:r>
              <w:rPr>
                <w:rFonts w:ascii="Times New Roman" w:hAnsi="Times New Roman"/>
                <w:sz w:val="20"/>
              </w:rPr>
              <w:t xml:space="preserve">, </w:t>
            </w:r>
            <w:hyperlink r:id="rId19">
              <w:r>
                <w:rPr>
                  <w:rStyle w:val="InternetLink"/>
                  <w:rFonts w:ascii="Times New Roman" w:hAnsi="Times New Roman"/>
                  <w:sz w:val="20"/>
                </w:rPr>
                <w:t>May 18, 2026</w:t>
              </w:r>
            </w:hyperlink>
            <w:r>
              <w:rPr>
                <w:rFonts w:ascii="Times New Roman" w:hAnsi="Times New Roman"/>
                <w:sz w:val="20"/>
              </w:rPr>
              <w:t xml:space="preserve"> and </w:t>
            </w:r>
            <w:hyperlink r:id="rId20">
              <w:r>
                <w:rPr>
                  <w:rStyle w:val="InternetLink"/>
                  <w:rFonts w:ascii="Times New Roman" w:hAnsi="Times New Roman"/>
                  <w:sz w:val="20"/>
                </w:rPr>
                <w:t>May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our common stock, par value $0.01 per share, contained in </w:t>
            </w:r>
            <w:hyperlink r:id="rId21">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2025, including any amendment or report filed for the purposes of updating such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filings we make with the SEC under Sections 13(a), 13(c), 14 or 15(d) of the Exchange Act after the date of this prospectus and before the termination of the offering of the securities made under this prospectus; provided, however, that we are not incorporating by reference any documents or information, including parts of documents that we file with the SEC, that are deemed to be furnished and not filed with the SEC. Unless specifically stated to the contrary, none of the information we disclose under Items 2.02 or 7.01 of any Current Report on Form 8-K that we may from time to time furnish to the SEC will be incorporated by reference into, or otherwise included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copy of this prospectus has been delivered, including any beneficial owner, a copy of any and all of the documents referred to herein that are summarized in and incorporated by reference into this prospectus, if such person makes a written or oral request directed to: </w:t>
      </w:r>
    </w:p>
    <w:p>
      <w:pPr>
        <w:pStyle w:val="TextBody"/>
        <w:bidi w:val="0"/>
        <w:spacing w:before="240" w:after="0"/>
        <w:jc w:val="center"/>
        <w:rPr>
          <w:rFonts w:ascii="Times New Roman" w:hAnsi="Times New Roman"/>
          <w:sz w:val="20"/>
        </w:rPr>
      </w:pPr>
      <w:r>
        <w:rPr>
          <w:rFonts w:ascii="Times New Roman" w:hAnsi="Times New Roman"/>
          <w:sz w:val="20"/>
        </w:rPr>
        <w:t xml:space="preserve">Xylem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301 Water Street SE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20003 </w:t>
      </w:r>
    </w:p>
    <w:p>
      <w:pPr>
        <w:pStyle w:val="TextBody"/>
        <w:bidi w:val="0"/>
        <w:spacing w:before="0" w:after="0"/>
        <w:jc w:val="center"/>
        <w:rPr>
          <w:rFonts w:ascii="Times New Roman" w:hAnsi="Times New Roman"/>
          <w:sz w:val="20"/>
        </w:rPr>
      </w:pPr>
      <w:r>
        <w:rPr>
          <w:rFonts w:ascii="Times New Roman" w:hAnsi="Times New Roman"/>
          <w:sz w:val="20"/>
        </w:rPr>
        <w:t>(202) 869-9150</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ADDITIONAL INFORMATION OR ANY INFORMATION THAT IS DIFFERENT FROM THAT CONTAINED IN OR INCORPORATED BY REFERENCE INTO THIS PROSPECTUS, ANY ACCOMPANYING PROSPECTUS SUPPLEMENT OR ANY FREE WRITING PROSPECTUS PROVIDED IN CONNECTION WITH AN OFFERING. WE TAKE NO RESPONSIBILITY FOR, AND CAN PROVIDE NO ASSURANCE AS TO THE RELIABILITY OF, ANY OTHER INFORMATION THAT OTHERS MAY GIVE YOU. YOU SHOULD NOT ASSUME THAT THE INFORMATION CONTAINED IN THIS PROSPECTUS IS ACCURATE AS OF ANY DATE OTHER THAN THAT DATE, UNLESS WE OTHERWISE NOTE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80255_4"/>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documents incorporated herein by reference, contains “forward-looking statements” within the meaning of Section 27A of the Securities Act of 1933, as amended (the “Securities Act”) and Section 21E of the Exchange Act. Generally, the words “anticipate,” “estimate,” “expect,” “project,” “intend,” “plan,” “contemplate,” “predict,” “outlook,”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expectations reflected in any of our forward-looking statements are reasonable, actual results could differ materially from those projected or assumed in any of our forward-looking statements. Our future financial condition, results of operations, and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availability of funding for customers,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below under “Risk Factors” and those described from time to time in reports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made herein are based on information currently available to us as of the date of this prospectus. We undertake no obligation to publicly update or revise any forward-looking statements, whether as a result of new information, future events or otherwise, except as required by law. You are advised to consult any additional disclosures we make in our Annual Reports on Form 10-K, Quarterly Reports on Form 10-Q and current reports on Form 8-K filed with the SEC.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80255_5"/>
      <w:bookmarkEnd w:id="20"/>
      <w:r>
        <w:rPr>
          <w:rFonts w:ascii="Times New Roman" w:hAnsi="Times New Roman"/>
          <w:b/>
          <w:sz w:val="20"/>
        </w:rPr>
        <w:t xml:space="preserve">ABOUT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Xylem is a leading global water technology company. We design, manufacture and service engineered products and solutions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Water Infrastructure </w:t>
            </w:r>
            <w:r>
              <w:rPr>
                <w:rFonts w:ascii="Times New Roman" w:hAnsi="Times New Roman"/>
                <w:sz w:val="20"/>
              </w:rPr>
              <w:t xml:space="preserve">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and wastewater solutions, for municipal and industrial applications. In the Water Infrastructure segment we reach customers indirectly, through channel partners and distributors, directly and through our service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Applied Water </w:t>
            </w:r>
            <w:r>
              <w:rPr>
                <w:rFonts w:ascii="Times New Roman" w:hAnsi="Times New Roman"/>
                <w:sz w:val="20"/>
              </w:rPr>
              <w:t xml:space="preserve">serves the water usage applications sector with water pressure boosting systems for heating, ventilation and air conditioning, and for fire protection systems to the residential and commercial building solutions markets. In addition, our pumps, heat exchangers and controls provide cooling to power plants and manufacturing facilities, circulation for food and beverage processing, and boosting systems for agricultural irrigation. In the Applied Water segment, we provide the majority of our sales through long-standing relationships with many of the leading independent distributors in the markets we serve, with the remainder going directly to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Measurement and Control Solutions</w:t>
            </w:r>
            <w:r>
              <w:rPr>
                <w:rFonts w:ascii="Times New Roman" w:hAnsi="Times New Roman"/>
                <w:sz w:val="20"/>
              </w:rPr>
              <w:t xml:space="preserve"> primarily serves the utility infrastructure solutions and services sector by delivering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which have been further enhanced by our Xylem Vue platform to enable a holistic view of the water cycle for our customers through cloud-based analytics, remote monitoring and data management with the purpose of optimizing their operating efficiency.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Water Solutions and Services </w:t>
            </w:r>
            <w:r>
              <w:rPr>
                <w:rFonts w:ascii="Times New Roman" w:hAnsi="Times New Roman"/>
                <w:sz w:val="20"/>
              </w:rPr>
              <w:t xml:space="preserve">provides tailored services and solutions, in collaboration with customers, including on-demand water, outsourced water, recycle/reuse, pipeline assessment services,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 In the Water Solutions and Services segment, we leverage our internal and external partners, and extensive service branch networks across the globe, including a rental fleet of transfer and treatment assets to serve our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Xylem Inc. was incorporated under the laws of the State of Indiana on May 4, 2011. Our principal executive offices are located at 301 Water Street SE, Washington, DC 20003 and our telephone number is (202) 869-9150.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80255_6"/>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 Before you decide whether to purchase any of our securities, in addition to the other information, documents or reports included in or incorporated by reference into this prospectus and any accompanying prospectus supplement or other offering materials, you should carefully consider the risk factors in the section entitled “Risk Factors” in any prospectus supplement as well as our Annual Report on Form 10-K for the fiscal year ended December 31, 2025 which is incorporated by reference into this prospectus and any prospectus supplement in their entirety, as the same may be amended, supplemented or superseded from time to time by our filings under the Exchange Act. For more information, see the section entitled “Where You Can Find More Information.” These risks could materially and adversely affect our business, results of operations and financial condition and could result in a partial or complete loss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80255_7"/>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the applicable prospectus supplement, we will use the proceeds of any offering for general corporate purposes, which may include repayment of debt, repurchases of outstanding shares of common stock, payment of dividends, acquisitions of companies or businesses, investments, working capital and capital expenditures. We have not determined the amount of net proceeds to be used specifically for such purposes. As a result, management will retain broad discretion over the allocation of net proceeds. Net proceeds may be temporarily invested prior to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80255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 </w:t>
      </w:r>
    </w:p>
    <w:p>
      <w:pPr>
        <w:pStyle w:val="TextBody"/>
        <w:bidi w:val="0"/>
        <w:spacing w:before="240" w:after="0"/>
        <w:jc w:val="left"/>
        <w:rPr>
          <w:rFonts w:ascii="Times New Roman" w:hAnsi="Times New Roman"/>
          <w:sz w:val="20"/>
        </w:rPr>
      </w:pPr>
      <w:r>
        <w:rPr>
          <w:rFonts w:ascii="Times New Roman" w:hAnsi="Times New Roman"/>
          <w:sz w:val="20"/>
        </w:rPr>
        <w:t xml:space="preserve">Xylem will be the issuer of any debt securities we may offer and references to “we,” “our” or “us” in this description do not, unless the context otherwise indicates, include any of its subsidiaries. Capitalized terms used but not defined in this section have the respective meanings set forth in the applicable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that we may offer will be either senior debt securities or subordinated debt securities. Any senior debt securities will be issued under an indenture, which we refer to as the senior indenture, dated as of March 11, 2016, between us and Deutsche Bank Trust Company Americas, as trustee, as supplemented and amended from time to time.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The terms of each series of debt securities will be set forth in a resolution of the board of directors of the Registrant, an officers’ certificate or by a supplemental indenture. You should read the indentures, including any amendments or supplements or any officers’ certificate setting forth the terms of any series of notes, carefully to fully understand the terms of the debt securities. The forms of the indentures have been filed as exhibits to the registration statement of which this prospectus is a part. The indentures are subject to, and are governed by,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prospectus supplement for the following and other possible terms of each series of the debt securities with respect to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of the series that may be authenticated and delivered under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date or issue dates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premium, if any, and additional amounts, if any, payable with respect to the debt securities of the series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will be issued at par of, at a premium over or a discount from their face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at which the debt securities of the series shall bear interest, if any, and, if applicable, the manner of calculation of such rate or rates, if any, including any procedures to vary or reset such rate or rates, and 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shall accrue, the dates on which such interest will be payable or the manner of determination of such dates, and the record date for the determination of holders to whom interest is payable on any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or defer the payment of interest and the duration of such extension or deferral;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repay or purchase any of the debt securities of the series pursuant to any sinking fund, mandatory redemption, purchase obligation or analogous provisions, including payments made in cash in anticipation of future sinking fund obligations at the option of a holder thereof and the period or periods within which, the price or prices at which, and the terms and conditions upon which debt securities of the series shall be redeemed, repaid,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series shall be issued in whole or in part in the form of a global security or securities, the type of global security to be issued, the identity of the depositary for such global security and the terms and conditions, if any, upon which interests in the debt securities of the series represented by such global security may be exchanged, in whole or in part, for other individual securities represented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subordinated debt securities, the subordination terms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or any multiple of $1,000 in excess thereof, the denominations in which the debt securities of the series shall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additional amounts of the debt securities of the series shall be payable in respect of any taxes, assessments, or other governmental charges withheld or deducted and, if so, whether we will have the option to redeem the debt securities of such series rather than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series are to be issuable in definitive form (whether upon original issue or upon exchange of a temporary debt security for a definitive security of such series) only upon receipt of certain certificates or other documents or upon satisfaction of other conditions, then the form and terms of such certificates, documents and/or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or conversion of the debt securities of such series, whether or not at the option of the holders thereof, for or into new debt securities of a different series or for or into any other securities which may include shares of our capital stock or any of our subsidiaries or securities directly or indirectly convertible into or exchangeable for any such shares or securities unaffiliated with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payment of the principal of, premium, if any, and interest on debt securities of the series shall be payable and the period or periods within which and the terms and conditions upon which such election may be made;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principal or any premium or interest on debt securities of a series may be determined with reference to an index or pursuant to a formula,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 debt securities of a series, at the option of the holders thereof, for other debt securities of the same series of the same aggregate principal amount of a different authorized kind or different authorized denomination or denominations,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guarantees on the debt securities and the identity of any guarantor thereof, the conditions of such guarantee and, if applicable, the terms and conditions upon which such guarantees may be subordinated to other indebtedness of the respective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by a trustee of an authenticating agent in one or more places other than the corporate trust office of such trustee, with power to act on behalf of such trustee, and subject to its direction, in the authentication and delivery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trustees, depositaries, paying agents, transfer agents, exchange agents, conversion agents, registrars or other agents with respect to such series, if different from those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amount of the debt securities of the series, if other than the principal amount thereof, that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restrictive covenants or events of default that will apply to the debt securities of the series, or any changes to the restrictive covenants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debt securities of a series may be defeased if different from the provisions set forth in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and conditions, if any, upon which any series of subordinated debt securities is subordinated to debt securities of another series or to our other indebtedness. The terms will include a description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indebtedness ranking senior to the debt securities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if any, on payments to the holders of the debt securities being offered while a default with respect to the senior indebtedness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requiring holders of the debt securities being offered to remit some payments to the holders of senior indebtedness.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Selection and Notice </w:t>
      </w:r>
    </w:p>
    <w:p>
      <w:pPr>
        <w:pStyle w:val="TextBody"/>
        <w:bidi w:val="0"/>
        <w:spacing w:before="120" w:after="0"/>
        <w:jc w:val="left"/>
        <w:rPr>
          <w:rFonts w:ascii="Times New Roman" w:hAnsi="Times New Roman"/>
          <w:sz w:val="20"/>
        </w:rPr>
      </w:pPr>
      <w:r>
        <w:rPr>
          <w:rFonts w:ascii="Times New Roman" w:hAnsi="Times New Roman"/>
          <w:sz w:val="20"/>
        </w:rPr>
        <w:t xml:space="preserve">If less than all of the debt securities of a series are to be redeemed at any time, the trustee will select the debt securities of such series for redemption by lot, based on the applicable procedures of The Depository Trust Company (“DTC”). </w:t>
      </w:r>
    </w:p>
    <w:p>
      <w:pPr>
        <w:pStyle w:val="TextBody"/>
        <w:bidi w:val="0"/>
        <w:spacing w:before="240" w:after="0"/>
        <w:jc w:val="left"/>
        <w:rPr>
          <w:rFonts w:ascii="Times New Roman" w:hAnsi="Times New Roman"/>
          <w:sz w:val="20"/>
        </w:rPr>
      </w:pPr>
      <w:r>
        <w:rPr>
          <w:rFonts w:ascii="Times New Roman" w:hAnsi="Times New Roman"/>
          <w:sz w:val="20"/>
        </w:rPr>
        <w:t xml:space="preserve">No debt securities in principal amount of $1,000 or less can be redeemed in part. Notices of redemption will be mailed by first-class mail (in case of notes held in book-entry form, by electronic transmission) at least 10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any debt security is to be redeemed in part only, the notice of redemption that relates to that debt security will state the portion of the principal amount of that debt security that is to be redeemed. For debt securities issued in certificated form, a new certificate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Unless we default in payment of the redemption price, on and after the redemption date, interest will cease to accrue on the debt securities or portions of the debt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be liable for selections made by it as contemplated in this section. For any debt securities which are represented by global securities held on behalf of DTC, the Euroclear System (“Euroclear”) or Clearstream Banking S.A. (“Clearstream”), notices may be given by delivery of the relevant notices to DTC, Euroclear or Clearstream for communication to entitled account holders in substitution for the aforesaid mailing. </w:t>
      </w:r>
    </w:p>
    <w:p>
      <w:pPr>
        <w:pStyle w:val="TextBody"/>
        <w:bidi w:val="0"/>
        <w:spacing w:before="360" w:after="0"/>
        <w:jc w:val="left"/>
        <w:rPr>
          <w:rFonts w:ascii="Times New Roman" w:hAnsi="Times New Roman"/>
          <w:b/>
          <w:sz w:val="20"/>
        </w:rPr>
      </w:pPr>
      <w:r>
        <w:rPr>
          <w:rFonts w:ascii="Times New Roman" w:hAnsi="Times New Roman"/>
          <w:b/>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required by the rules and regulations of the SEC, so long as any debt securities are outstanding, we shall file with the trustee, within 15 days after we are required to file the same with the SEC, copies of the annual reports and of the information, documents and other reports (or copies of such portions of any of the foregoing as the SEC may from time to time by rules and regulations prescribe) that we would be required to file with the SEC pursuant to Section 13 or Section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shall be deemed to have complied with the previous sentence to the extent that such information, documents and reports are filed with the SEC via EDGAR or any successor electronic delivery procedure. Delivery of such reports, information and documents to the trustee is for informational purposes only, and the trustee’s receipt of such shall not constitute constructive notice of any information contained therein or determinable from information contained therein, including our compliance with any covenants under the indenture (as to which the trustee is entitled to rely exclusively on officers’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will be “Events of Default” with respect to debt securities of a particular series, except to the extent provided in the supplemental indenture, officers’ certificate or resolution of our board of directors pursuant to which a series of debt securities is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paying interest on any of the debt securities of such series when it becomes due and the default continues for a period of 30 days or more;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paying principal, or premium, if any, on any of the debt securities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sinking or purchase fund or analogous obligation when the same becomes due, and such default continues for 30 days or more;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covenant in the indenture (other than defaults specified above) and the default or breach continues for a period of 90 days or more after we receive written notice from the trustee or we and the trustee receive notice from the holders of at least 25% in aggregate principal amount of the outstanding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reorganization, administration or similar proceedings;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in the supplemental indenture, officers’ certificate or resolution of our board of directors under which such series of debt securities is issued or in the form of security for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the fifth bullet point above) under the indenture occurs with respect to the notes and is continuing, then the trustee or the holders of at least 25% in principal amount of the outstanding debt securities of the affected series may by written notice require us to repay immediately the entire principal amount of the outstanding notes of that series, together with all accrued and unpaid interest and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under the indenture specified in the fifth bullet point above occurs and is continuing, then the entire principal amount of the outstanding debt securities of the affected series will automatically become due and payable immediately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After a declaration of acceleration, the holders of a majority in principal amount of outstanding debt securities of the affected series may rescind this accelerated payment requirement if (i) all existing Events of Default, except for nonpayment of the principal and interest on the debt securities of that series that has become due solely as a result of the accelerated payment requirement, have been cured or waived, (ii) the rescission of acceleration would not conflict with any judgment or decree and (iii) we have paid or deposited with the trustee a sum sufficient to pay all sums paid or advanced by the trustee and the reasonable and duly documented compensation, expenses, disbursements and advances of the trustee, its agents and counsel. The holders of a majority in principal amount of the outstanding debt securities of the affected series also have the right to waive past defaults, except a default in paying principal or interest on any outstanding note of that series, and except in respect of a covenant or a provision that cannot be modified or amended without the consent of all holders of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Holders of at least 25% in principal amount of the outstanding debt securities of the affected series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60-day period the trustee must not have received directions inconsistent with this written request by holders of a majority in principal amount of the notes of that series. These limitations do not apply, however, to a suit instituted by a holder of a note for the enforcement of the payment of principal, interest or any premium on or after the due dates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existence of an Event of Default, the trustee is required to exercise the rights and powers vested in it under the indenture and to use the same degree of care and skill in its exercise as a prudent person would use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reasonable security or indemnity. Subject to certain provisions, the holders of a majority in principal amount of the outstanding debt securities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affected series have the right to direct the time, method and place of conducting any proceeding for any remedy available to the trustee, or exercising any trust or power conferred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within 90 days after any default occurs, give notice of the default to the holders of the notes of the affected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to be charged with knowledge of any Event of Default or knowledge of any cure of any Event of Default unless either (i) an authorized officer or agent of the trustee with direct responsibility for the administration of the indenture has actual knowledge of such Event of Default or (ii) written notice of such Event of Default has been given to such authorized officer of the trustee by the Issuer or any holder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Although the indentures generally do not contain financial or similar restrictive covenants, unless otherwise specified in the applicable prospectus supplement, the debt securities will contain the additional covenants described below that are not contained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Upon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A change of control requiring us to repurchase all, or part, of the debt securities as described below will be triggered in the event that the debt securities notes cease to be rated equal to or higher than BBB- (or the equivalent) by Fitch Inc. (“Fitch”), Baa3 (or the equivalent) by Moody’s Investors Service, Inc. (“Moody’s”) or BBB- (or the equivalent) by Standard &amp; Poor’s Rating Services (“S&amp;P”), and the equivalent investment grade credit rating from any replacement rating agency or rating agencies selected by us on any date during the 60-day period commencing upon the earlier of (1) the first public announcement of the Change of Control or our intention to effect a Change of Control and (2) the consummation of such Change of Control, which period will be extended following consummation of a Change of Control for so long as the rating of the debt securities is under publicly announced consideration for possible downgrade by any of the rating agencies. Unless at least one rating agency is providing a rating for the notes at the commencement of any such period, the notes will be deemed to have ceased to be rated as described above during such period. Notwithstanding the foregoing, no event triggering a change of control will be deemed to have occurred in connection with any particular Change of Control unless and until such Change of Control has actually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triggering a change of control occurs, unless we have exercised our right to redeem the debt securities of a series pursuant to the terms of such series, we will be required to make an offer to repurchase all or, at the holder’s option, any part (equal to $2,000 or any multiple of $1,000 in excess thereof) of each holder’s debt securities on the terms set forth in the debt securities. In such offer, we will be required to offer payment in cash equal to 101% of the aggregate principal amount of the debt securities repurchased plus accrued and unpaid interest, if any, on the debt securities repurchased, to, but not including,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any event triggering a change of control or, at our option, prior to any change of control, but after public announcement of the transaction that constitutes or may constitute the change of control, a notice will be mailed to holders of the notes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such payment date, we will be required, to the extent lawful,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debt securities or portions of debt securities properly tendered pursuant to the offer described in the first paragraph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required payment in respect of all debt securities or portions of notes debt securities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debt securities properly accepted together with an officer’s certificate stating the aggregate principal amount of debt securities or portions of debt securities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be required to promptly mail to each holder who properly tendered debt securities the purchase price for such debt securities, and the trustee will be required to promptly authenticate and mail (or cause to be transferred by book entry) to each such holder a new debt security equal in principal amount to any unpurchased portion of the debt securities surrendered, if any; provided that each new debt security will be in a principal amount of $2,000 or a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upon an event triggering a change of control if a third party makes such an offer in the manner, at the times and otherwise in compliance with the requirements for an offer made by us and such third party purchases all debt securities properly tendered and not withdrawn under its offer. In the event that such third party terminates or defaults its offer, we will be required to make an offer treating the date of such termination or default as though it were the date of such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repurchase any debt securities if there has occurred and is continuing on the relevant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are required to offer to repurchase the debt securities upon the occurrence of a change of control triggering event, we may not have sufficient funds to repurchase the debt securities in cash at such time. In addition, our ability to repurchase the debt securities for cash may be limited by law or the terms of other agreements relating to our indebtedness outstanding at the time. The failure to make such repurchase would result in a default under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those laws and regulations are applicable in connection with the repurchase of the debt securities as a result of a change of control triggering event. To the extent that the provision of any such securities laws or regulations conflicts with the offer provisions in respect of a change of control of the debt securities, we will comply with those securities laws and regulations and will not be deemed to have breached our obligations under such offer provisions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lease,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our assets and those of our subsidiaries, taken as a whole, to another person or group may be uncertain. In such case, holders of the notes may not be able to resolve this uncertainty without resorting to legal 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the following term will be applicable: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one of the following: (1) the direct or indirect sale, lease, transfer, conveyance or other disposition (other than by way of merger, amalgamation, arrangement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consolidation), in one or a series of related transactions, of all or substantially all of our properties or assets and those of our subsidiaries, taken as a whole, to one or more persons, other than to us or one of our subsidiaries; (2) the first day on which a majority of the members of our board of directors is not composed of directors who (a) were members of our board of directors on the issue date or (b) were nominated for election, elected or appointed to our board of directors with the approval of a majority of the directors who were members of our board of directors at the time of such nomination, election or appointment (either by a specific vote or by approval by such directors of our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our voting stock; (4) we consolidate with, or merge with or into, any person, or any person consolidates with, or merges with or into, us, in any such event pursuant to a transaction in which any of the outstanding Voting Stock of us or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 or (5) the adoption of a plan relating to our liquidation or dissolution (other than our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 (2)(A)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Other 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the debt securities will not contain any financial covenants or other restrictive provisions designed to protect holders of the debt securities in the event of a highly leveraged transaction. The indentures contain the following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We will not, and we will not permit any of our restricted subsidiaries to, incur, suffer to exist or guarantee any debt secured by a lien on any principal property or on any shares of stock of (or other interests in) any of our restricted subsidiaries unless we or such restricted subsidiary secures or we cause such restricted subsidiary to secure the debt securities (and any of its or such restricted subsidiary’s other debt, at its option or such restricted subsidiary’s option, as the case may be, not subordinate to the debt securities), equally and ratably with (or prior to) such secured debt, for as long as such secured debt will be so secured. </w:t>
      </w:r>
    </w:p>
    <w:p>
      <w:pPr>
        <w:pStyle w:val="TextBody"/>
        <w:bidi w:val="0"/>
        <w:spacing w:before="240" w:after="0"/>
        <w:jc w:val="left"/>
        <w:rPr>
          <w:rFonts w:ascii="Times New Roman" w:hAnsi="Times New Roman"/>
          <w:sz w:val="20"/>
        </w:rPr>
      </w:pPr>
      <w:r>
        <w:rPr>
          <w:rFonts w:ascii="Times New Roman" w:hAnsi="Times New Roman"/>
          <w:sz w:val="20"/>
        </w:rPr>
        <w:t xml:space="preserve">These restrictions will not, however, apply to debt secured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existing prior to the issuance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on property of or shares of stock of (or other interests in) or debt of any entity existing at the time such entity becomes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on property, shares of stock (or other interests in) or debt of any entity (i) existing at the time of acquisition of such property or shares (or other interests) (including acquisition through merger or consolidation), (ii) to secure the payment of all or any part of the purchase price of such property or shares (or other interests) or the costs of construction or improvement of such property or (iii) to secure any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incurred prior to, at the time of, or within 180 days after the later of the acquisition, the completion of construction or the commencement of full operation of such property or within 180 days after the acquisition of such shares (or other interests) for the purpose of financing all or any part of the purchase price of such property or shares (or other interests) or the costs of construction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in favor of us or any of our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in favor of, or required by contracts with, governmental entities;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refunding of liens referred to in any of the preceding clauses.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we or any of our restricted subsidiaries may incur, suffer to exist or guarantee any debt secured by a lien on any principal property or on any shares of stock of (or other interests in) any of our restricted subsidiaries if, after giving effect thereto and together with the value of attributable debt outstanding pursuant to the second paragraph of the “—Limitation on Sale and Lease-Back Transactions” covenant below, the aggregate amount of such debt does not exceed 15% of our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restrict the transfer by us of a principal property to any of our unrestricted subsidiaries or our ability to change the designation of a subsidiary owning principal property from a restricted subsidiary to an unrestricted subsidiary and, if we were to do so, any such unrestricted subsidiary would not be restricted from incurring secured debt nor would we be required, upon such incurrence, to secure the debt securities equally and ratably with such secured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will not enter into any sale and lease-back transaction with respect to any principal property, other than any such sale and lease-back transaction involving a lease for a term of not more than three years or any such sale and lease-back transaction between us and one of our restricted subsidiaries or between our restricted subsidiaries, unless: (i) we or such restricted subsidiary would be entitled to incur debt secured by a lien on the principal property involved in such sale and lease-back transaction at least equal in amount to the attributable debt with respect to such sale and lease-back transaction, without equally and ratably securing the debt securities, pursuant to the covenant described above under the caption “—Limitation on Liens”; or (ii) the proceeds of such sale and lease-back transaction are at least equal to the fair market value of the affected principal property (as determined in good faith by our board of directors) and we apply an amount equal to the net proceeds of such sale and lease-back transaction within 180 days of such sale and lease-back transaction to any (or a combination) of (a) the prepayment or retirement of the debt securities, (b) the prepayment or retirement (other than any mandatory retirement, mandatory prepayment or sinking fund payment or by payment at maturity) of other debt of us or of one of our restricted subsidiaries (other than debt that is subordinated to the debt securities or debt owed to us or one of our restricted subsidiaries) that matures more than 12 months after its creation or matures less than 12 months after its creation but by its terms being renewable or extendible, at the option of the obligor in respect thereof, beyond 12 months from its creation or (c) the purchase, construction, development, expansion or improvement of other comparable property.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in the preceding paragraph, we will be permitted to enter into sale and lease-back transactions otherwise prohibited by this covenant, the attributable debt with respect to which, together with all debt outstanding pursuant to the third paragraph of the “—Limitation on Liens” covenant above, without duplication, do not exceed 15% of consolidated net tangible assets measured at the closing date of the sale and lease-back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definitions of some terms used in the above description. We refer you to the indenture for a full description of all of these terms, as well as any other terms used herein for which no definition is provided. </w:t>
      </w:r>
    </w:p>
    <w:p>
      <w:pPr>
        <w:pStyle w:val="TextBody"/>
        <w:bidi w:val="0"/>
        <w:spacing w:before="240" w:after="0"/>
        <w:jc w:val="left"/>
        <w:rPr/>
      </w:pPr>
      <w:r>
        <w:rPr/>
        <w:t>“</w:t>
      </w:r>
      <w:r>
        <w:rPr>
          <w:rFonts w:ascii="Times New Roman" w:hAnsi="Times New Roman"/>
          <w:i/>
          <w:sz w:val="20"/>
        </w:rPr>
        <w:t>attributable debt</w:t>
      </w:r>
      <w:r>
        <w:rPr>
          <w:rFonts w:ascii="Times New Roman" w:hAnsi="Times New Roman"/>
          <w:sz w:val="20"/>
        </w:rPr>
        <w:t xml:space="preserve">” with regard to a sale and lease-back transaction with respect to any principal property means, at the time of determination, the present value of the total net amount of rent required to be paid under such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remaining term thereof (including any period for which such lease has been extended), discounted at the rate of interest set forth or implicit in the terms of such lease (or, if not practicable to determine such rate, the weighted average interest rate per annum borne by the notes then outstanding under the indenture) compounded semi-annually. In the case of any lease which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 </w:t>
      </w:r>
    </w:p>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the total amount of our assets and our restricted subsidiaries’ assets 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applicable depreciation, amortization and other valuation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liabilities of ours and our restricted subsidiaries (excluding any intercompany liabilities);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goodwill, trade names, trademarks, patents, unamortized debt discount and expenses and other like intangibles, all as set forth on our and our restricted subsidiaries’ latest consolidated balance sheets prepared in accordance with U.S. GAAP. </w:t>
            </w:r>
          </w:p>
        </w:tc>
      </w:tr>
    </w:tbl>
    <w:p>
      <w:pPr>
        <w:pStyle w:val="TextBody"/>
        <w:bidi w:val="0"/>
        <w:spacing w:before="240" w:after="0"/>
        <w:jc w:val="left"/>
        <w:rPr/>
      </w:pPr>
      <w:r>
        <w:rPr/>
        <w:t>“</w:t>
      </w:r>
      <w:r>
        <w:rPr>
          <w:rFonts w:ascii="Times New Roman" w:hAnsi="Times New Roman"/>
          <w:i/>
          <w:sz w:val="20"/>
        </w:rPr>
        <w:t>debt</w:t>
      </w:r>
      <w:r>
        <w:rPr>
          <w:rFonts w:ascii="Times New Roman" w:hAnsi="Times New Roman"/>
          <w:sz w:val="20"/>
        </w:rPr>
        <w:t xml:space="preserve">” means any indebtedness for borrowed money. </w:t>
      </w:r>
    </w:p>
    <w:p>
      <w:pPr>
        <w:pStyle w:val="TextBody"/>
        <w:bidi w:val="0"/>
        <w:spacing w:before="240" w:after="0"/>
        <w:jc w:val="left"/>
        <w:rPr/>
      </w:pPr>
      <w:r>
        <w:rPr/>
        <w:t>“</w:t>
      </w:r>
      <w:r>
        <w:rPr>
          <w:rFonts w:ascii="Times New Roman" w:hAnsi="Times New Roman"/>
          <w:i/>
          <w:sz w:val="20"/>
        </w:rPr>
        <w:t>principal property</w:t>
      </w:r>
      <w:r>
        <w:rPr>
          <w:rFonts w:ascii="Times New Roman" w:hAnsi="Times New Roman"/>
          <w:sz w:val="20"/>
        </w:rPr>
        <w:t xml:space="preserve">” means any single manufacturing or processing plant, office building or warehouse owned or leased by us or any of our restricted subsidiaries which has a gross book value in excess of 2% of our consolidated net tangible assets other than a plant, warehouse, office building or portion thereof which, in the opinion of our Board of Directors, is not of material importance to the business conducted by the Company and its restricted subsidiaries as an entirety.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at any time, any subsidiary which at the time is not an unrestricted subsidiary of ours.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entity, at least a majority of the outstanding voting stock of which shall at the time be owned, directly or indirectly, by us or by one or more of our subsidiaries, or both.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any subsidiary of ours (not at the time designated as our restricted subsidiary) (1) the major part of whose business consists of finance, banking, credit, leasing, insurance, financial services or other similar operations, or any combination thereof, (2) substantially all the assets of which consist of the capital stock of one or more subsidiaries engaged in the operations referred to in the preceding clause (1), or (3) designated as an unrestricted subsidiary by our Board of Directors and which, in the opinion of our Board of Directors, is not of material importance to the business conducted by the Company and its restricted subsidiaries as an entity.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consolidate or merge with or into, or convey or transfer all or substantially all of our assets to, any entity (including, without limitation, a limited partnership or a limited liability company);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the surviving corporation or, if not, that the successor will be a corporation that is organized and validly existing under the laws of any state of the United States of America or the District of Columbia and will expressly assume by a supplemental indenture our obligations under the indenture and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event of default, and no default or other event which, after notice or lapse of time, or both, would become an event of default, will have happened and be continuing;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delivered to the trustee an opinion of counsel, stating that such consolidation, merger, conveyance or transfer and such supplemental indenture, if any, complies with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any such consolidation, merger, conveyance, transfer or lease, any such successor will succeed to and be substituted for us as obligor on the notes with the same effect as if it had been named in the indenture as obligor.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entitled to conclusively rely on and will accept such opinion as sufficient evidence of the satisfaction of the conditions precedent set forth in the third clause above, in which event it shall be conclusive and binding on the holders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indenture may be amended or modified without the consent of any holder of the debt securities of any series in order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 succession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ambiguities, defects or inconsistencies or make any other change that does not adversely affect in any material respect the interests of any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of our obligations in the case of a merger or consolidation or transfer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guarantors with respect to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forms of the debt securities of any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to and modifications of the indenture or the debt securities of any series issued may be made with the consent of the holders of not less than a majority of the aggregate principal amount of the outstanding series affected by the amendment or modification. However, no modification or amendment may, without the consent of the holder of each affected outstanding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extend the fixed maturity,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 or waive the redemption provisions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principal, any premium or interest is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outstanding of the debt securities of any series which must consent to an amendment, supplement or waiver or consent to take any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payment default with respect to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interest rate or extend the time for payment of interest on the debt securities of any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ranking of the debt securities of any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occurs and is continuing, the trustee will be required to use the degree of care and skill of a prudent person in the conduct of his or her own affairs. The trustee will become obligated to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its powers under the indenture at the request of any of the holders of any debt securities issued under the indenture only after those holders have furnished the trustee reasonable security or indemnity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becomes a creditor of ours,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 </w:t>
      </w:r>
    </w:p>
    <w:p>
      <w:pPr>
        <w:pStyle w:val="TextBody"/>
        <w:bidi w:val="0"/>
        <w:spacing w:before="360" w:after="0"/>
        <w:jc w:val="left"/>
        <w:rPr>
          <w:rFonts w:ascii="Times New Roman" w:hAnsi="Times New Roman"/>
          <w:b/>
          <w:sz w:val="20"/>
        </w:rPr>
      </w:pPr>
      <w:r>
        <w:rPr>
          <w:rFonts w:ascii="Times New Roman" w:hAnsi="Times New Roman"/>
          <w:b/>
          <w:sz w:val="20"/>
        </w:rPr>
        <w:t xml:space="preserve">Paying Agent and Security Registrar </w:t>
      </w:r>
    </w:p>
    <w:p>
      <w:pPr>
        <w:pStyle w:val="TextBody"/>
        <w:bidi w:val="0"/>
        <w:spacing w:before="120" w:after="0"/>
        <w:jc w:val="left"/>
        <w:rPr>
          <w:rFonts w:ascii="Times New Roman" w:hAnsi="Times New Roman"/>
          <w:sz w:val="20"/>
        </w:rPr>
      </w:pPr>
      <w:r>
        <w:rPr>
          <w:rFonts w:ascii="Times New Roman" w:hAnsi="Times New Roman"/>
          <w:sz w:val="20"/>
        </w:rPr>
        <w:t xml:space="preserve">We will maintain one or more paying agents (each, a “Paying Agent”) for any debt securities we issue in New York, New York. We, upon written notice to the trustee accompanied by an officers’ certificate, may appoint one or more Paying Agents, other than the trustee, for all or any series of such debt securities. If we fail to appoint or maintain another entity as Paying Agent, the trustee shall act as such. We or any of our subsidiaries, upon notice to the trustee, may act as Paying Agent. </w:t>
      </w:r>
    </w:p>
    <w:p>
      <w:pPr>
        <w:pStyle w:val="TextBody"/>
        <w:bidi w:val="0"/>
        <w:spacing w:before="240" w:after="0"/>
        <w:jc w:val="left"/>
        <w:rPr>
          <w:rFonts w:ascii="Times New Roman" w:hAnsi="Times New Roman"/>
          <w:sz w:val="20"/>
        </w:rPr>
      </w:pPr>
      <w:r>
        <w:rPr>
          <w:rFonts w:ascii="Times New Roman" w:hAnsi="Times New Roman"/>
          <w:sz w:val="20"/>
        </w:rPr>
        <w:t xml:space="preserve">We will also maintain one or more security registrars (each, a “Security Registrar”) with an office in New York, New York. We, upon written notice to the trustee accompanied by an officers’ certificate, may appoint one or more registrars, other than the trustee, for all or any series of debt securities. If we fail to appoint or maintain another entity as registrar, the trustee shall act as such. We or any of our subsidiaries, upon notice to the trustee, may act as registrar. </w:t>
      </w:r>
    </w:p>
    <w:p>
      <w:pPr>
        <w:pStyle w:val="TextBody"/>
        <w:bidi w:val="0"/>
        <w:spacing w:before="240" w:after="0"/>
        <w:jc w:val="left"/>
        <w:rPr>
          <w:rFonts w:ascii="Times New Roman" w:hAnsi="Times New Roman"/>
          <w:sz w:val="20"/>
        </w:rPr>
      </w:pPr>
      <w:r>
        <w:rPr>
          <w:rFonts w:ascii="Times New Roman" w:hAnsi="Times New Roman"/>
          <w:sz w:val="20"/>
        </w:rPr>
        <w:t xml:space="preserve">The Security Registrar will maintain a register reflecting ownership of debt securities outstanding from time to time, and the Paying Agents will make payments on and facilitate transfer of debt securities on our behalf. We may change any Paying Agents or Security Registrars without prior notice to the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any debt securities issued thereunder shall be deemed to be a contract made under the internal laws of the State of New York, and for all purposes shall be construed in accordance with the laws of the State of New York without regard to conflicts of laws principles that would require the application of any other law. The indenture is subject to the provisions of the Trust Indenture Act that are required to be part of the indenture and shall, to the extent applicable, be governed by such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our obligations with respect to the debt securities of any series under the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debt securities of any series issued that have been authenticated 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debt securities of any series issued that have not been delivered to the trustee for cancellation have become due and payable, will become due and payable within one year, or are to be called for redemption within one year and we have made arrangements satisfactory to the trustee for the giving of notice of redemption by such trustee in our name and at our expense, and in each case, we have irrevocably deposited or caused to be deposited with the trustee sufficient funds to pay and discharge the entire indebtedness on the notes to pay principal, interest and any premium;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the indenture relating to the satisfaction and discharge of the indenture have been complied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elect to have our obligations under the indenture discharged with respect to the outstanding debt securities of any series (“legal defeasance”). Legal defeasance means that we will be deemed to have paid and discharged the entire indebtedness represented by the outstanding debt securities of such series under the indenture,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 of the debt securities to receive principal, interest and any premium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mutilated, destroyed, lost or stolen debt securities and the maintenance of an office or agency for payment for security payments held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have our obligations released with respect to certain covenants in the indenture (“covenant defeasance”). Any omission to comply with these obligations will not constitute a default or an event of default with respect to the debt securities of any series. In the event covenant defeasance occurs, certain events, not including non-payment, bankruptcy and insolvency events, described under “—Events of Default” will no longer constitute an event of default for that series.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the outstanding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for the purpose of making the following payments, specifically pledged as security for, and dedicated solely to the benefits of the holders of the debt securities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in an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that will provide, not later than one day before the due date of any payment, money in an amount;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money and U.S. government obligations (or equivalent government obligations,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sufficient, in the written opinion of a nationally recognized firm of independent registered public accountants to pay and discharge, and which shall be applied by the trustee to pay and discharge, all of the principal (including mandatory sinking fund payments), interest and any premium at due date or maturity;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we have delivered to the trustee an opinion of counsel stating that (i) we have received from, or there has been published by, the U.S. Internal Revenue Service, a ruling, or (ii) since the issuance of the debt securities, there has been a change in applicable U.S. federal income tax law, in either case to the effect that the holders of the debt securities of that series will not recognize income, gain or loss for U.S. federal income tax purposes as a result of the deposit, defeasance and discharge to be effected and will be subject to the same U.S. federal income tax as would be the case if the deposit, defeasance and discharge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have delivered to the trustee an opinion of counsel to the effect that the holders of the debt securities of that series will not recognize income, gain or loss for U.S. federal income tax purposes as a result of the deposit and covenant defeasance to be effected and will be subject to the same U.S. federal income tax as would be the case if the deposit and covenant defeasance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default with respect to the outstanding debt securities of that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it being understood that this condition is not deemed satisfied until after the 91st day;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cause the trustee to have a conflicting interest within the meaning of the Trust Indenture Act, assuming all debt securities of that series were in default within the meaning of such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a breach or violation of, or constitute a default under, any other agreement or instrument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the trust arising from such deposit constituting an investment company within the meaning of the Investment Company Act of 1940, as amended, unless the trust is registered under such Act or exempt from registration;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that all conditions precedent with respect to the defeasance or covenant defeasance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whole or in part in the form of one or more global securities that will be deposited with, or on behalf of, a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denominations of $2,000 or any integral multiple of $1,000 in excess thereof and will be issued in registered form only, without coupons.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any global securities will be deposited with, or on behalf of,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the global securities will be represented through book-entry accounts of financial institutions acting on behalf of beneficial owners as direct or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Investors may elect to hold their interests in the global securities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denominations of $2,000 and multiples of $1,000 in excess thereof. Except as set forth below, the global securities may be transferred, in whole and not in part, only to another nominee of DTC or to a successor of DTC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represented by a global security can be exchanged for definitive securities in registered form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depositary for that global security, and we do not appoint a successor depositary within 90 days after receiving that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DTC ceases to be a clearing agency registered or in good standing under the Exchange Act, as amended, or other applicable statute or regulation, and we do not appoint a successor depositary within 90 days after becoming aware that DTC has ceased to be registered as a clearing agency;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that that global security will be exchangeable for definitive securities in registered form and we notify the trustee of our decision.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 </w:t>
      </w:r>
    </w:p>
    <w:p>
      <w:pPr>
        <w:pStyle w:val="TextBody"/>
        <w:bidi w:val="0"/>
        <w:spacing w:before="240" w:after="0"/>
        <w:jc w:val="left"/>
        <w:rPr>
          <w:rFonts w:ascii="Times New Roman" w:hAnsi="Times New Roman"/>
          <w:sz w:val="20"/>
        </w:rPr>
      </w:pPr>
      <w:r>
        <w:rPr>
          <w:rFonts w:ascii="Times New Roman" w:hAnsi="Times New Roman"/>
          <w:sz w:val="20"/>
        </w:rPr>
        <w:t xml:space="preserve">We will make principal and interest payments on all debt securities represented by a global security to the Paying Agent which in turn will make payment to DTC or its nominee, as the case may be, as the sole registered owner and the sole holder of the debt securities represented by a global security for all purposes under the indenture. Accordingly, we, the trustee and any Paying Agent will have no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relating to, or payments made on account of, beneficial ownership interests in a debt security represented by a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 So long as DTC or its nominee is the registered owner of a global security, DTC or its nominee, as the case may be, will be considered the sole owner and holder of the debt securities represented by that global security for all purposes of the debt securities.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Clearstream </w:t>
      </w:r>
    </w:p>
    <w:p>
      <w:pPr>
        <w:pStyle w:val="TextBody"/>
        <w:bidi w:val="0"/>
        <w:spacing w:before="120" w:after="0"/>
        <w:jc w:val="left"/>
        <w:rPr>
          <w:rFonts w:ascii="Times New Roman" w:hAnsi="Times New Roman"/>
          <w:sz w:val="20"/>
        </w:rPr>
      </w:pPr>
      <w:r>
        <w:rPr>
          <w:rFonts w:ascii="Times New Roman" w:hAnsi="Times New Roman"/>
          <w:sz w:val="20"/>
        </w:rPr>
        <w:t xml:space="preserve">Clearstream has advised us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debt securities held beneficially through Clearstream will be credited to cash accounts of Clearstream Participants in accordance with its rules and procedures, to the extent received by the U.S. Depositary for Clearstream.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w:t>
      </w:r>
    </w:p>
    <w:p>
      <w:pPr>
        <w:pStyle w:val="TextBody"/>
        <w:bidi w:val="0"/>
        <w:spacing w:before="120" w:after="0"/>
        <w:jc w:val="left"/>
        <w:rPr>
          <w:rFonts w:ascii="Times New Roman" w:hAnsi="Times New Roman"/>
          <w:sz w:val="20"/>
        </w:rPr>
      </w:pPr>
      <w:r>
        <w:rPr>
          <w:rFonts w:ascii="Times New Roman" w:hAnsi="Times New Roman"/>
          <w:sz w:val="20"/>
        </w:rPr>
        <w:t xml:space="preserve">Euroclear has advised us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(the “Euroclear Operator”), a bank incorporated under the laws of the Kingdom of Belgium,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Euroclear Operator advises us that it is regulated and examined by the Belgian banking and Finance Commission and the National Bank of Belgium. </w:t>
      </w:r>
    </w:p>
    <w:p>
      <w:pPr>
        <w:pStyle w:val="TextBody"/>
        <w:bidi w:val="0"/>
        <w:spacing w:before="240" w:after="0"/>
        <w:jc w:val="left"/>
        <w:rPr>
          <w:rFonts w:ascii="Times New Roman" w:hAnsi="Times New Roman"/>
          <w:sz w:val="20"/>
        </w:rPr>
      </w:pPr>
      <w:r>
        <w:rPr>
          <w:rFonts w:ascii="Times New Roman" w:hAnsi="Times New Roman"/>
          <w:sz w:val="20"/>
        </w:rPr>
        <w:t xml:space="preserve">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debt securities held beneficially through Euroclear will be credited to the cash accounts of Euroclear Participants in accordance with the Terms and Conditions, to the extent received by the U.S. Depositary for Euroclear. </w:t>
      </w:r>
    </w:p>
    <w:p>
      <w:pPr>
        <w:pStyle w:val="TextBody"/>
        <w:bidi w:val="0"/>
        <w:spacing w:before="240" w:after="0"/>
        <w:jc w:val="left"/>
        <w:rPr>
          <w:rFonts w:ascii="Times New Roman" w:hAnsi="Times New Roman"/>
          <w:sz w:val="20"/>
        </w:rPr>
      </w:pPr>
      <w:r>
        <w:rPr>
          <w:rFonts w:ascii="Times New Roman" w:hAnsi="Times New Roman"/>
          <w:sz w:val="20"/>
        </w:rPr>
        <w:t xml:space="preserve">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Global 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Neither we nor any paying agent will have any responsibility for the performance by DTC, Euroclear or Clearstream or their respective direct or indirect participants of their obligations under the rules and procedures governing their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80255_9"/>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We are authorized to issue 750,000,000 shares of common stock, par value $0.01 per share, and 50,000,000 shares of preferred stock, having no stated par value. No shares of preferred stock are currently outstanding. All outstanding shares of common stock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terms of our common stock is not complete and is qualified in its entirety by reference to our fourth amended and restated articles of incorporation and our fourth amended and restated by-laws, each of which is incorporated by reference into this prospectus as exhibits.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per share on all matters to be voted on by shareholders. There is no provision for cumulative voting with regard to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and 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all the rights of the holders of the preferred stock, the holders of shares of common stock shall be entitled to receive, when, as and if declared by the board of directors, out of funds legally available for the payment thereof, dividends payable in cash, stock or otherwise. Upon any liquidation, dissolution or winding up, whether voluntary or involuntary, and subject to the rights of the holders of the preferred stock, the remaining assets of Xylem Inc. available for distribution shall be distributed to the holders of the common stock ratably according to the number of shares of common stock held by such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have no preemptive rights and no rights to convert their common stock into any other securities, and our common stock is not subject to any redemption or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of our Articles of Incorporation, our By-laws and Indiana Law </w:t>
      </w:r>
    </w:p>
    <w:p>
      <w:pPr>
        <w:pStyle w:val="TextBody"/>
        <w:bidi w:val="0"/>
        <w:spacing w:before="120" w:after="0"/>
        <w:jc w:val="left"/>
        <w:rPr>
          <w:rFonts w:ascii="Times New Roman" w:hAnsi="Times New Roman"/>
          <w:sz w:val="20"/>
        </w:rPr>
      </w:pPr>
      <w:r>
        <w:rPr>
          <w:rFonts w:ascii="Times New Roman" w:hAnsi="Times New Roman"/>
          <w:sz w:val="20"/>
        </w:rPr>
        <w:t xml:space="preserve">Various provisions contained in our articles of incorporation, our by-laws and Indiana law could delay or discourage some transactions involving an actual or potential change in control of Xylem Inc. and may limit the ability of our shareholders to remove current management or approve transactions that our shareholders may deem to be in their best interests. Provisions in our articles of incorporation and our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establish one or more series of undesignated preferred stock, the terms of which can be determined by the board of directors at the time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authorize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board of directors to supplement, amend, or repeal the by-laws and to adopt new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 special meeting of the shareholders may be called by (i) the board of directors, (ii) the chair of the board of directors, or (iii) the secretary upon the request of at least 25 percent of the outstanding shares of common stock entitled to vote on the matter or matters to be brought before the proposed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shareholder meetings, provide an advance written notice procedure with respect to shareholder nomination for directors and bringing other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directors may fill any vacancies on our board of directors, including newly created board seats resulting from an increase in the authorized number of directors and vacancies resulting from death, retirement, resignation, or removal.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80255_10"/>
      <w:bookmarkEnd w:id="25"/>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preferred stock, depositary shares, purchase contracts, warrants or units that may be offered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80255_11"/>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through agents, through underwriters or dealers, directly to one or more purchasers, through a combination of any of these methods of sale or through any other methods described in a prospectus supplement. 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dealers may be paid compensation for offering and selling the securities. That compensation may be in the form of discounts, concessions or commissions to be received from us or from the purchasers of the securities. We will identify the specific plan of distribution, including any underwriters, dealers, agents or direct purchasers and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whether or not an underwriter may engage in stabilizing transactions, over-allotment transactions, syndicate covering transactions and penalty bids.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the guidelines of the Financial Industry Regulatory Authority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80255_12"/>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Gibson, Dunn &amp; Crutcher LLP will pass upon the validity of any securities issued under this prospectus as to matters governed by the laws of the State of New York; Barnes &amp; Thornburg LLP will pass upon the validity of any securities issued under this prospectus as to all matters governed by the laws of the State of Indiana. Any underwriters will be represented by their own legal counsel. </w:t>
      </w:r>
    </w:p>
    <w:p>
      <w:pPr>
        <w:pStyle w:val="TextBody"/>
        <w:bidi w:val="0"/>
        <w:spacing w:before="480" w:after="0"/>
        <w:jc w:val="center"/>
        <w:rPr>
          <w:rFonts w:ascii="Times New Roman" w:hAnsi="Times New Roman"/>
          <w:b/>
          <w:sz w:val="20"/>
        </w:rPr>
      </w:pPr>
      <w:bookmarkStart w:id="28" w:name="tx180255_13"/>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Xylem Inc. incorporated by reference in this Prospectus, and the effectiveness of Xylem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6"/>
        </w:rPr>
      </w:pPr>
      <w:r>
        <w:rPr>
          <w:rFonts w:ascii="Times New Roman" w:hAnsi="Times New Roman"/>
          <w:b/>
          <w:sz w:val="36"/>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3160" cy="9582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2423160" cy="95821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Xylem Inc. </w:t>
      </w:r>
    </w:p>
    <w:p>
      <w:pPr>
        <w:pStyle w:val="TextBody"/>
        <w:bidi w:val="0"/>
        <w:spacing w:before="480" w:after="0"/>
        <w:jc w:val="center"/>
        <w:rPr>
          <w:rFonts w:ascii="Times New Roman" w:hAnsi="Times New Roman"/>
          <w:b/>
          <w:sz w:val="28"/>
        </w:rPr>
      </w:pPr>
      <w:r>
        <w:rPr>
          <w:rFonts w:ascii="Times New Roman" w:hAnsi="Times New Roman"/>
          <w:b/>
          <w:sz w:val="28"/>
        </w:rPr>
        <w:t xml:space="preserve">$       % Senior Notes due 20 </w:t>
      </w:r>
    </w:p>
    <w:p>
      <w:pPr>
        <w:pStyle w:val="TextBody"/>
        <w:bidi w:val="0"/>
        <w:spacing w:before="0" w:after="0"/>
        <w:jc w:val="center"/>
        <w:rPr>
          <w:rFonts w:ascii="Times New Roman" w:hAnsi="Times New Roman"/>
          <w:b/>
          <w:sz w:val="28"/>
        </w:rPr>
      </w:pPr>
      <w:r>
        <w:rPr>
          <w:rFonts w:ascii="Times New Roman" w:hAnsi="Times New Roman"/>
          <w:b/>
          <w:sz w:val="28"/>
        </w:rPr>
        <w:t xml:space="preserve">$       % Senior Notes due 20 </w:t>
      </w:r>
    </w:p>
    <w:p>
      <w:pPr>
        <w:pStyle w:val="TextBody"/>
        <w:bidi w:val="0"/>
        <w:spacing w:before="0" w:after="0"/>
        <w:jc w:val="center"/>
        <w:rPr>
          <w:rFonts w:ascii="Times New Roman" w:hAnsi="Times New Roman"/>
          <w:b/>
          <w:sz w:val="28"/>
        </w:rPr>
      </w:pPr>
      <w:r>
        <w:rPr>
          <w:rFonts w:ascii="Times New Roman" w:hAnsi="Times New Roman"/>
          <w:b/>
          <w:sz w:val="28"/>
        </w:rPr>
        <w:t xml:space="preserve">$       % Senior Notes due 20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PRELIMINARY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3367"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Citigroup</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ING</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J.P. Morgan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3"/>
        <w:gridCol w:w="100"/>
        <w:gridCol w:w="5002"/>
      </w:tblGrid>
      <w:tr>
        <w:trPr/>
        <w:tc>
          <w:tcPr>
            <w:tcW w:w="510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center"/>
              <w:rPr>
                <w:rFonts w:ascii="Times New Roman" w:hAnsi="Times New Roman"/>
                <w:b/>
                <w:sz w:val="32"/>
              </w:rPr>
            </w:pPr>
            <w:r>
              <w:rPr>
                <w:rFonts w:ascii="Times New Roman" w:hAnsi="Times New Roman"/>
                <w:b/>
                <w:sz w:val="32"/>
              </w:rPr>
              <w:t>BNP PARIBAS</w:t>
            </w:r>
          </w:p>
        </w:tc>
        <w:tc>
          <w:tcPr>
            <w:tcW w:w="100"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0"/>
              <w:jc w:val="center"/>
              <w:rPr>
                <w:rFonts w:ascii="Times New Roman" w:hAnsi="Times New Roman"/>
                <w:b/>
                <w:sz w:val="32"/>
              </w:rPr>
            </w:pPr>
            <w:r>
              <w:rPr>
                <w:rFonts w:ascii="Times New Roman" w:hAnsi="Times New Roman"/>
                <w:b/>
                <w:sz w:val="32"/>
              </w:rPr>
              <w:t>Wells Fargo Securities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24472/000152447226000012/xyl-20251231.htm" TargetMode="External"/><Relationship Id="rId4" Type="http://schemas.openxmlformats.org/officeDocument/2006/relationships/hyperlink" Target="http://www.sec.gov/Archives/edgar/data/../../../ix?doc=/Archives/edgar/data/1524472/000110465926036678/xyl-20260514xdef14a.htm" TargetMode="External"/><Relationship Id="rId5" Type="http://schemas.openxmlformats.org/officeDocument/2006/relationships/hyperlink" Target="http://www.sec.gov/Archives/edgar/data/../../../ix?doc=/Archives/edgar/data/1524472/000152447226000068/xyl-20260331.htm" TargetMode="External"/><Relationship Id="rId6" Type="http://schemas.openxmlformats.org/officeDocument/2006/relationships/hyperlink" Target="http://www.sec.gov/Archives/edgar/data/../../../ix?doc=/Archives/edgar/data/1524472/000152447226000110/xyl-20260630.htm" TargetMode="External"/><Relationship Id="rId7" Type="http://schemas.openxmlformats.org/officeDocument/2006/relationships/hyperlink" Target="http://www.sec.gov/Archives/edgar/data/../../../ix?doc=/Archives/edgar/data/1524472/000152447226000014/xyl-20260225.htm" TargetMode="External"/><Relationship Id="rId8" Type="http://schemas.openxmlformats.org/officeDocument/2006/relationships/hyperlink" Target="http://www.sec.gov/Archives/edgar/data/../../../ix?doc=/Archives/edgar/data/1524472/000152447226000091/xyl-20260514.htm" TargetMode="External"/><Relationship Id="rId9" Type="http://schemas.openxmlformats.org/officeDocument/2006/relationships/hyperlink" Target="http://www.sec.gov/Archives/edgar/data/../../../ix?doc=/Archives/edgar/data/0001524472/000119312526248342/d142135d8k.htm" TargetMode="External"/><Relationship Id="rId10" Type="http://schemas.openxmlformats.org/officeDocument/2006/relationships/hyperlink" Target="http://www.sec.gov/Archives/edgar/data/../../../ix?doc=/Archives/edgar/data/1524472/000152447226000119/xyl-20260813.htm" TargetMode="External"/><Relationship Id="rId11" Type="http://schemas.openxmlformats.org/officeDocument/2006/relationships/hyperlink" Target="http://www.sec.gov/Archives/edgar/data/../../../ix?doc=/Archives/edgar/data/1524472/000152447226000123/xyl-20260813.htm" TargetMode="External"/><Relationship Id="rId12" Type="http://schemas.openxmlformats.org/officeDocument/2006/relationships/hyperlink" Target="http://www.sec.gov/Archives/edgar/data/../../../ix?doc=/Archives/edgar/data/1524472/000152447226000132/xyl-20260908.htm" TargetMode="External"/><Relationship Id="rId13" Type="http://schemas.openxmlformats.org/officeDocument/2006/relationships/image" Target="media/image2.jpeg"/><Relationship Id="rId14" Type="http://schemas.openxmlformats.org/officeDocument/2006/relationships/hyperlink" Target="http://www.sec.gov/Archives/edgar/data/../../../ix?doc=/Archives/edgar/data/0001524472/000152447226000012/xyl-20251231.htm" TargetMode="External"/><Relationship Id="rId15" Type="http://schemas.openxmlformats.org/officeDocument/2006/relationships/hyperlink" Target="http://www.sec.gov/Archives/edgar/data/../../../ix?doc=/Archives/edgar/data/0001524472/000110465926036678/xyl-20260514xdef14a.htm" TargetMode="External"/><Relationship Id="rId16" Type="http://schemas.openxmlformats.org/officeDocument/2006/relationships/hyperlink" Target="http://www.sec.gov/Archives/edgar/data/../../../ix?doc=/Archives/edgar/data/0001524472/000152447226000068/xyl-20260331.htm" TargetMode="External"/><Relationship Id="rId17" Type="http://schemas.openxmlformats.org/officeDocument/2006/relationships/hyperlink" Target="http://www.sec.gov/Archives/edgar/data/../../../ix?doc=/Archives/edgar/data/0001524472/000152447226000110/xyl-20260630.htm" TargetMode="External"/><Relationship Id="rId18" Type="http://schemas.openxmlformats.org/officeDocument/2006/relationships/hyperlink" Target="http://www.sec.gov/Archives/edgar/data/../../../ix?doc=/Archives/edgar/data/0001524472/000152447226000014/xyl-20260225.htm" TargetMode="External"/><Relationship Id="rId19" Type="http://schemas.openxmlformats.org/officeDocument/2006/relationships/hyperlink" Target="http://www.sec.gov/Archives/edgar/data/../../../ix?doc=/Archives/edgar/data/0001524472/000152447226000091/xyl-20260514.htm" TargetMode="External"/><Relationship Id="rId20" Type="http://schemas.openxmlformats.org/officeDocument/2006/relationships/hyperlink" Target="http://www.sec.gov/Archives/edgar/data/../../../ix?doc=/Archives/edgar/data/0001524472/000119312526248342/d142135d8k.htm" TargetMode="External"/><Relationship Id="rId21" Type="http://schemas.openxmlformats.org/officeDocument/2006/relationships/hyperlink" Target="http://www.sec.gov/Archives/edgar/data/1524472/000152447223000009/xyl12312022ex41.htm" TargetMode="External"/><Relationship Id="rId22" Type="http://schemas.openxmlformats.org/officeDocument/2006/relationships/image" Target="media/image3.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35606</Words>
  <Characters>185960</Characters>
  <CharactersWithSpaces>222735</CharactersWithSpaces>
  <Paragraphs>2000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